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016ACB" w14:textId="13D600AC" w:rsidR="002126C9" w:rsidRPr="00EC4F25" w:rsidRDefault="000659F4" w:rsidP="00E87BD6">
      <w:pPr>
        <w:rPr>
          <w:rFonts w:ascii="Raleway" w:hAnsi="Raleway"/>
          <w:b/>
          <w:color w:val="FF0000"/>
          <w:lang w:eastAsia="pl-PL"/>
        </w:rPr>
        <w:sectPr w:rsidR="002126C9" w:rsidRPr="00EC4F25" w:rsidSect="00F72864">
          <w:footerReference w:type="default" r:id="rId8"/>
          <w:footerReference w:type="first" r:id="rId9"/>
          <w:type w:val="continuous"/>
          <w:pgSz w:w="11906" w:h="16838" w:code="9"/>
          <w:pgMar w:top="0" w:right="0" w:bottom="0" w:left="0" w:header="0" w:footer="0" w:gutter="0"/>
          <w:pgNumType w:start="0"/>
          <w:cols w:space="708"/>
          <w:docGrid w:linePitch="360"/>
        </w:sectPr>
      </w:pPr>
      <w:bookmarkStart w:id="0" w:name="_Hlk169037959"/>
      <w:bookmarkStart w:id="1" w:name="_Hlk156332507"/>
      <w:bookmarkEnd w:id="0"/>
      <w:r>
        <w:rPr>
          <w:rFonts w:ascii="Raleway" w:hAnsi="Raleway"/>
          <w:b/>
          <w:noProof/>
          <w:color w:val="FF0000"/>
          <w:lang w:eastAsia="pl-PL"/>
        </w:rPr>
        <w:drawing>
          <wp:inline distT="0" distB="0" distL="0" distR="0" wp14:anchorId="13E4794A" wp14:editId="0CE4F3F5">
            <wp:extent cx="7559040" cy="10692130"/>
            <wp:effectExtent l="0" t="0" r="3810" b="0"/>
            <wp:docPr id="1848271508" name="Obraz 184827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71508" name="2024-05-11_nr.1_okładka_najnowaszaPM-W.png"/>
                    <pic:cNvPicPr/>
                  </pic:nvPicPr>
                  <pic:blipFill>
                    <a:blip r:embed="rId10">
                      <a:extLst>
                        <a:ext uri="{28A0092B-C50C-407E-A947-70E740481C1C}">
                          <a14:useLocalDpi xmlns:a14="http://schemas.microsoft.com/office/drawing/2010/main" val="0"/>
                        </a:ext>
                      </a:extLst>
                    </a:blip>
                    <a:stretch>
                      <a:fillRect/>
                    </a:stretch>
                  </pic:blipFill>
                  <pic:spPr>
                    <a:xfrm>
                      <a:off x="0" y="0"/>
                      <a:ext cx="7559040" cy="10692130"/>
                    </a:xfrm>
                    <a:prstGeom prst="rect">
                      <a:avLst/>
                    </a:prstGeom>
                  </pic:spPr>
                </pic:pic>
              </a:graphicData>
            </a:graphic>
          </wp:inline>
        </w:drawing>
      </w:r>
      <w:r w:rsidR="00A31235">
        <w:rPr>
          <w:rFonts w:ascii="Raleway" w:hAnsi="Raleway"/>
          <w:b/>
          <w:color w:val="FF0000"/>
          <w:lang w:eastAsia="pl-PL"/>
        </w:rPr>
        <w:softHyphen/>
      </w:r>
      <w:r w:rsidR="00A31235">
        <w:rPr>
          <w:rFonts w:ascii="Raleway" w:hAnsi="Raleway"/>
          <w:b/>
          <w:color w:val="FF0000"/>
          <w:lang w:eastAsia="pl-PL"/>
        </w:rPr>
        <w:softHyphen/>
      </w:r>
      <w:r w:rsidR="00A31235">
        <w:rPr>
          <w:rFonts w:ascii="Raleway" w:hAnsi="Raleway"/>
          <w:b/>
          <w:color w:val="FF0000"/>
          <w:lang w:eastAsia="pl-PL"/>
        </w:rPr>
        <w:softHyphen/>
      </w:r>
      <w:r w:rsidR="00A31235">
        <w:rPr>
          <w:rFonts w:ascii="Raleway" w:hAnsi="Raleway"/>
          <w:b/>
          <w:color w:val="FF0000"/>
          <w:lang w:eastAsia="pl-PL"/>
        </w:rPr>
        <w:softHyphen/>
      </w:r>
    </w:p>
    <w:p w14:paraId="12F58841" w14:textId="1F2F3030" w:rsidR="00097D07" w:rsidRPr="00453D21" w:rsidRDefault="00015241" w:rsidP="00097D07">
      <w:pPr>
        <w:spacing w:line="235" w:lineRule="atLeast"/>
        <w:ind w:left="2124" w:firstLine="708"/>
        <w:jc w:val="right"/>
        <w:rPr>
          <w:rFonts w:ascii="Times New Roman" w:hAnsi="Times New Roman" w:cs="Times New Roman"/>
          <w:i/>
          <w:iCs/>
          <w:color w:val="000000"/>
        </w:rPr>
      </w:pPr>
      <w:bookmarkStart w:id="2" w:name="_Hlk162816061"/>
      <w:r w:rsidRPr="00453D21">
        <w:rPr>
          <w:rFonts w:ascii="Times New Roman" w:hAnsi="Times New Roman" w:cs="Times New Roman"/>
          <w:i/>
          <w:iCs/>
          <w:color w:val="000000"/>
        </w:rPr>
        <w:lastRenderedPageBreak/>
        <w:t xml:space="preserve">Warszawa, </w:t>
      </w:r>
      <w:r w:rsidR="00443644">
        <w:rPr>
          <w:rFonts w:ascii="Times New Roman" w:hAnsi="Times New Roman" w:cs="Times New Roman"/>
          <w:i/>
          <w:iCs/>
          <w:color w:val="000000"/>
        </w:rPr>
        <w:t>3</w:t>
      </w:r>
      <w:r w:rsidRPr="00453D21">
        <w:rPr>
          <w:rFonts w:ascii="Times New Roman" w:hAnsi="Times New Roman" w:cs="Times New Roman"/>
          <w:i/>
          <w:iCs/>
          <w:color w:val="000000"/>
        </w:rPr>
        <w:t>1</w:t>
      </w:r>
      <w:r w:rsidR="00453D21">
        <w:rPr>
          <w:rFonts w:ascii="Times New Roman" w:hAnsi="Times New Roman" w:cs="Times New Roman"/>
          <w:i/>
          <w:iCs/>
          <w:color w:val="000000"/>
        </w:rPr>
        <w:t xml:space="preserve"> </w:t>
      </w:r>
      <w:r w:rsidR="00443644">
        <w:rPr>
          <w:rFonts w:ascii="Times New Roman" w:hAnsi="Times New Roman" w:cs="Times New Roman"/>
          <w:i/>
          <w:iCs/>
          <w:color w:val="000000"/>
        </w:rPr>
        <w:t xml:space="preserve">maja </w:t>
      </w:r>
      <w:r w:rsidR="00097D07" w:rsidRPr="00453D21">
        <w:rPr>
          <w:rFonts w:ascii="Times New Roman" w:hAnsi="Times New Roman" w:cs="Times New Roman"/>
          <w:i/>
          <w:iCs/>
          <w:color w:val="000000"/>
        </w:rPr>
        <w:t>2024 r.</w:t>
      </w:r>
    </w:p>
    <w:p w14:paraId="4C572F75" w14:textId="77777777" w:rsidR="00453D21" w:rsidRDefault="00453D21" w:rsidP="00453D21">
      <w:pPr>
        <w:pStyle w:val="Standard"/>
        <w:ind w:firstLine="567"/>
        <w:rPr>
          <w:rFonts w:hint="eastAsia"/>
          <w:i/>
          <w:iCs/>
        </w:rPr>
      </w:pPr>
      <w:r>
        <w:rPr>
          <w:i/>
          <w:iCs/>
        </w:rPr>
        <w:t>Szanowni Państwo, Szanowni Czytelnicy,</w:t>
      </w:r>
    </w:p>
    <w:p w14:paraId="47C469CE" w14:textId="77777777" w:rsidR="00453D21" w:rsidRDefault="00453D21" w:rsidP="00453D21">
      <w:pPr>
        <w:pStyle w:val="Standard"/>
        <w:ind w:firstLine="567"/>
        <w:rPr>
          <w:rFonts w:hint="eastAsia"/>
        </w:rPr>
      </w:pPr>
    </w:p>
    <w:p w14:paraId="551BD68E" w14:textId="50D05C40" w:rsidR="00453D21" w:rsidRDefault="00453D21" w:rsidP="00453D21">
      <w:pPr>
        <w:pStyle w:val="Standard"/>
        <w:ind w:firstLine="567"/>
        <w:jc w:val="both"/>
        <w:rPr>
          <w:rFonts w:hint="eastAsia"/>
        </w:rPr>
      </w:pPr>
      <w:r>
        <w:t xml:space="preserve">jest nam ogromnie miło, że możemy zaprosić do lektury pierwszego numeru „KWARTALNIKA STOWI THINK-TANK WSZYSTKO o IP w PL”. Po zaprezentowaniu zeszłorocznego obszernego numeru pilotażowego </w:t>
      </w:r>
      <w:r w:rsidR="00E90C45">
        <w:t xml:space="preserve">- cieszymy się, </w:t>
      </w:r>
      <w:r>
        <w:t>rozpocz</w:t>
      </w:r>
      <w:r w:rsidR="00E90C45">
        <w:t xml:space="preserve">ynając </w:t>
      </w:r>
      <w:r>
        <w:t>publikację serii</w:t>
      </w:r>
      <w:r w:rsidR="00E90C45">
        <w:t xml:space="preserve"> i</w:t>
      </w:r>
      <w:r>
        <w:t xml:space="preserve"> wyraża</w:t>
      </w:r>
      <w:r w:rsidR="00E90C45">
        <w:t xml:space="preserve">my </w:t>
      </w:r>
      <w:r>
        <w:t>nadzieję, że zamieszczone w niej materiały zainteresują Szanownych Czytelników.</w:t>
      </w:r>
    </w:p>
    <w:p w14:paraId="2802F3CF" w14:textId="77777777" w:rsidR="00453D21" w:rsidRDefault="00453D21" w:rsidP="00453D21">
      <w:pPr>
        <w:pStyle w:val="Standard"/>
        <w:ind w:firstLine="567"/>
        <w:jc w:val="both"/>
        <w:rPr>
          <w:rFonts w:hint="eastAsia"/>
          <w:sz w:val="10"/>
          <w:szCs w:val="10"/>
        </w:rPr>
      </w:pPr>
    </w:p>
    <w:p w14:paraId="14500719" w14:textId="77777777" w:rsidR="00453D21" w:rsidRDefault="00453D21" w:rsidP="00453D21">
      <w:pPr>
        <w:pStyle w:val="Standard"/>
        <w:ind w:firstLine="567"/>
        <w:jc w:val="both"/>
        <w:rPr>
          <w:rFonts w:hint="eastAsia"/>
        </w:rPr>
      </w:pPr>
      <w:r>
        <w:t>Jako Zespół Redakcyjny i równocześnie członkowie Stowarzyszenia Własności Intelektualnej Przyjazne Instrumenty IP (StoWI), będącego wydawcą Kwartalnika, realizujemy cele statutowe Stowarzyszenia, a jako Redakcja czasopisma wpisanego do Rejestru Dzienników i Czasopism Sądu Okręgowego w Warszawie - działamy używając środków właściwych dla prasy.</w:t>
      </w:r>
    </w:p>
    <w:p w14:paraId="5D2CF4B7" w14:textId="77777777" w:rsidR="00453D21" w:rsidRDefault="00453D21" w:rsidP="00453D21">
      <w:pPr>
        <w:pStyle w:val="Standard"/>
        <w:ind w:firstLine="567"/>
        <w:jc w:val="both"/>
        <w:rPr>
          <w:rFonts w:hint="eastAsia"/>
          <w:sz w:val="10"/>
          <w:szCs w:val="10"/>
        </w:rPr>
      </w:pPr>
    </w:p>
    <w:p w14:paraId="20B4F7E2" w14:textId="77777777" w:rsidR="00453D21" w:rsidRDefault="00453D21" w:rsidP="00453D21">
      <w:pPr>
        <w:pStyle w:val="Standard"/>
        <w:ind w:firstLine="567"/>
        <w:jc w:val="both"/>
        <w:rPr>
          <w:rFonts w:hint="eastAsia"/>
        </w:rPr>
      </w:pPr>
      <w:r>
        <w:rPr>
          <w:b/>
          <w:bCs/>
        </w:rPr>
        <w:t>Konstytucja</w:t>
      </w:r>
      <w:r>
        <w:t xml:space="preserve"> Rzeczypospolitej Polskiej w </w:t>
      </w:r>
      <w:r>
        <w:rPr>
          <w:b/>
          <w:bCs/>
        </w:rPr>
        <w:t>art. 14</w:t>
      </w:r>
      <w:r>
        <w:t xml:space="preserve"> zapewnia wolność prasy i innych środków społecznego przekazu. Z kolei </w:t>
      </w:r>
      <w:r>
        <w:rPr>
          <w:b/>
          <w:bCs/>
        </w:rPr>
        <w:t>art. 1</w:t>
      </w:r>
      <w:r>
        <w:t xml:space="preserve"> ustawy z dnia 26 stycznia 1984 r. </w:t>
      </w:r>
      <w:r>
        <w:rPr>
          <w:b/>
          <w:bCs/>
        </w:rPr>
        <w:t>Prawo prasowe</w:t>
      </w:r>
      <w:r>
        <w:t xml:space="preserve"> (Dz. U. z 2018 r. poz. 1914) stanowi, że: „</w:t>
      </w:r>
      <w:r>
        <w:rPr>
          <w:b/>
          <w:bCs/>
          <w:i/>
          <w:iCs/>
        </w:rPr>
        <w:t>Prasa, zgodnie z Konstytucją Rzeczypospolitej Polskiej, korzysta z wolności wypowiedzi i urzeczywistnia prawo obywateli do ich rzetelnego informowania, jawności życia publicznego oraz kontroli i krytyki społecznej</w:t>
      </w:r>
      <w:r>
        <w:t xml:space="preserve">.”. </w:t>
      </w:r>
    </w:p>
    <w:p w14:paraId="5996660D" w14:textId="77777777" w:rsidR="00453D21" w:rsidRDefault="00453D21" w:rsidP="00453D21">
      <w:pPr>
        <w:pStyle w:val="Standard"/>
        <w:jc w:val="both"/>
        <w:rPr>
          <w:rFonts w:hint="eastAsia"/>
        </w:rPr>
      </w:pPr>
      <w:r>
        <w:t>Z wolności przysługującej prasie będziemy korzystać w sposób rzetelny i odpowiedzialny, a jeżeli pojawią się akcenty krytyczne, służyć one mają wyższemu dobru, którym jest wypracowanie modelowych, przyjaznych dla użytkowników systemu IP rozwiązań legislacyjnych i organizacyjnych wspomagających rozwój IP z korzyścią dla polskiej gospodarki.</w:t>
      </w:r>
    </w:p>
    <w:p w14:paraId="79D5EF77" w14:textId="77777777" w:rsidR="00453D21" w:rsidRDefault="00453D21" w:rsidP="00453D21">
      <w:pPr>
        <w:pStyle w:val="Standard"/>
        <w:ind w:firstLine="567"/>
        <w:jc w:val="both"/>
        <w:rPr>
          <w:rFonts w:hint="eastAsia"/>
          <w:sz w:val="10"/>
          <w:szCs w:val="10"/>
        </w:rPr>
      </w:pPr>
    </w:p>
    <w:p w14:paraId="1F5093E8" w14:textId="353E3FBD" w:rsidR="00453D21" w:rsidRDefault="00453D21" w:rsidP="00453D21">
      <w:pPr>
        <w:pStyle w:val="Standard"/>
        <w:ind w:firstLine="567"/>
        <w:jc w:val="both"/>
        <w:rPr>
          <w:rFonts w:hint="eastAsia"/>
        </w:rPr>
      </w:pPr>
      <w:r>
        <w:t>Pragniemy informować Państwa o istotnych wydarzeniach z obszaru własności intelektualnej, również o takich zdarzeniach, które - na szczęście dla użytkowników systemu własności intelektualnej - nie nastąpiły, chociaż istniało realne zagrożenie ich urzeczywistni</w:t>
      </w:r>
      <w:r w:rsidR="00840731">
        <w:t>enia</w:t>
      </w:r>
      <w:r>
        <w:t xml:space="preserve">. Ostatnio takim niedoszłym do skutku wydarzeniem było dalsze procedowanie projektu nowej ustawy Prawo własności przemysłowej, opatrzonego numerem UD263. </w:t>
      </w:r>
    </w:p>
    <w:p w14:paraId="7146DF81" w14:textId="54EFCF2A" w:rsidR="00453D21" w:rsidRDefault="00453D21" w:rsidP="00453D21">
      <w:pPr>
        <w:pStyle w:val="Standard"/>
        <w:jc w:val="both"/>
        <w:rPr>
          <w:rFonts w:hint="eastAsia"/>
        </w:rPr>
      </w:pPr>
      <w:r>
        <w:t xml:space="preserve">Projekt pochodzący z okresu minionego </w:t>
      </w:r>
      <w:r w:rsidR="00840731">
        <w:t>-</w:t>
      </w:r>
      <w:r>
        <w:t xml:space="preserve"> </w:t>
      </w:r>
      <w:r w:rsidR="00840731">
        <w:t xml:space="preserve">fortunnie </w:t>
      </w:r>
      <w:r>
        <w:t>zakończonego w dniu</w:t>
      </w:r>
      <w:r>
        <w:rPr>
          <w:b/>
          <w:bCs/>
        </w:rPr>
        <w:t xml:space="preserve"> 15 października 2023 r</w:t>
      </w:r>
      <w:r>
        <w:t>. - próbowano później reaktywować, na szczęście bezskutecznie.</w:t>
      </w:r>
    </w:p>
    <w:p w14:paraId="46F948DB" w14:textId="77777777" w:rsidR="00453D21" w:rsidRDefault="00453D21" w:rsidP="00453D21">
      <w:pPr>
        <w:pStyle w:val="Standard"/>
        <w:jc w:val="both"/>
        <w:rPr>
          <w:rFonts w:hint="eastAsia"/>
        </w:rPr>
      </w:pPr>
      <w:r>
        <w:t>Obecnie Projekt UD263 uzupełnia bogate zasoby archiwalne Rządowego Centrum Legislacji. Wydarzeniom tym poświęcamy sporo uwagi w najnowszym numerze naszego Kwartalnika, przy czym nie tyle interesuje nas zawartość treściowa samego projektu UD263, co starania zmierzające do terminacji prac nad projektem, a zatem działania mające na celu ochronę użytkowników systemu własności przemysłowej przed modelem ochrony proponowanym w długo forsowanym projekcie UD263.</w:t>
      </w:r>
    </w:p>
    <w:p w14:paraId="646CD019" w14:textId="77777777" w:rsidR="00453D21" w:rsidRPr="005D35E3" w:rsidRDefault="00453D21" w:rsidP="00453D21">
      <w:pPr>
        <w:pStyle w:val="Standard"/>
        <w:jc w:val="both"/>
        <w:rPr>
          <w:rFonts w:hint="eastAsia"/>
          <w:sz w:val="10"/>
          <w:szCs w:val="10"/>
        </w:rPr>
      </w:pPr>
      <w:r>
        <w:t xml:space="preserve"> </w:t>
      </w:r>
      <w:r>
        <w:tab/>
      </w:r>
    </w:p>
    <w:p w14:paraId="3D78476B" w14:textId="77777777" w:rsidR="00453D21" w:rsidRDefault="00453D21" w:rsidP="00453D21">
      <w:pPr>
        <w:pStyle w:val="Standard"/>
        <w:tabs>
          <w:tab w:val="left" w:pos="567"/>
        </w:tabs>
        <w:jc w:val="both"/>
        <w:rPr>
          <w:rFonts w:hint="eastAsia"/>
        </w:rPr>
      </w:pPr>
      <w:r>
        <w:t xml:space="preserve"> </w:t>
      </w:r>
      <w:r>
        <w:tab/>
        <w:t xml:space="preserve">Najnowszy numer Kwartalnika zawiera również inne interesujące materiały, między innymi cenne interpelacje poselskie oraz orzeczenia. </w:t>
      </w:r>
    </w:p>
    <w:p w14:paraId="4A58A2C5" w14:textId="77777777" w:rsidR="00453D21" w:rsidRPr="005D35E3" w:rsidRDefault="00453D21" w:rsidP="00453D21">
      <w:pPr>
        <w:pStyle w:val="Standard"/>
        <w:tabs>
          <w:tab w:val="left" w:pos="567"/>
        </w:tabs>
        <w:jc w:val="both"/>
        <w:rPr>
          <w:rFonts w:hint="eastAsia"/>
          <w:sz w:val="10"/>
          <w:szCs w:val="10"/>
        </w:rPr>
      </w:pPr>
      <w:r>
        <w:tab/>
      </w:r>
    </w:p>
    <w:p w14:paraId="456943AC" w14:textId="77777777" w:rsidR="00453D21" w:rsidRDefault="00453D21" w:rsidP="00453D21">
      <w:pPr>
        <w:pStyle w:val="Standard"/>
        <w:tabs>
          <w:tab w:val="left" w:pos="567"/>
        </w:tabs>
        <w:jc w:val="both"/>
        <w:rPr>
          <w:rFonts w:hint="eastAsia"/>
        </w:rPr>
      </w:pPr>
      <w:r>
        <w:tab/>
        <w:t>A zatem - zapraszamy do lektury.</w:t>
      </w:r>
    </w:p>
    <w:p w14:paraId="7255EABC" w14:textId="77777777" w:rsidR="00453D21" w:rsidRDefault="00453D21" w:rsidP="00453D21">
      <w:pPr>
        <w:pStyle w:val="Standard"/>
        <w:rPr>
          <w:rFonts w:hint="eastAsia"/>
          <w:sz w:val="10"/>
          <w:szCs w:val="10"/>
        </w:rPr>
      </w:pPr>
    </w:p>
    <w:p w14:paraId="651B128D" w14:textId="13854E04" w:rsidR="00453D21" w:rsidRDefault="00453D21" w:rsidP="00453D21">
      <w:pPr>
        <w:pStyle w:val="Standard"/>
        <w:ind w:firstLine="567"/>
        <w:jc w:val="both"/>
        <w:rPr>
          <w:rFonts w:hint="eastAsia"/>
        </w:rPr>
      </w:pPr>
      <w:r>
        <w:t xml:space="preserve">W imieniu swoim oraz Zespołu Redakcyjnego Kwartalnika, który dodaje w </w:t>
      </w:r>
      <w:r>
        <w:rPr>
          <w:i/>
          <w:iCs/>
        </w:rPr>
        <w:t xml:space="preserve">post </w:t>
      </w:r>
      <w:proofErr w:type="spellStart"/>
      <w:r>
        <w:rPr>
          <w:i/>
          <w:iCs/>
        </w:rPr>
        <w:t>scriptum</w:t>
      </w:r>
      <w:proofErr w:type="spellEnd"/>
      <w:r>
        <w:rPr>
          <w:rStyle w:val="Uwydatnienie"/>
          <w:rFonts w:ascii="Arial" w:hAnsi="Arial" w:cs="Arial"/>
          <w:color w:val="5F6368"/>
          <w:sz w:val="21"/>
          <w:szCs w:val="21"/>
          <w:shd w:val="clear" w:color="auto" w:fill="FFFFFF"/>
        </w:rPr>
        <w:t xml:space="preserve"> </w:t>
      </w:r>
      <w:r w:rsidR="00B329F3">
        <w:t xml:space="preserve">kilka </w:t>
      </w:r>
      <w:r w:rsidR="001B5832" w:rsidRPr="001B5832">
        <w:t>słów oraz</w:t>
      </w:r>
      <w:r w:rsidR="001B5832">
        <w:rPr>
          <w:rStyle w:val="Uwydatnienie"/>
          <w:rFonts w:ascii="Arial" w:hAnsi="Arial" w:cs="Arial"/>
          <w:i w:val="0"/>
          <w:iCs w:val="0"/>
          <w:color w:val="5F6368"/>
          <w:sz w:val="21"/>
          <w:szCs w:val="21"/>
          <w:shd w:val="clear" w:color="auto" w:fill="FFFFFF"/>
        </w:rPr>
        <w:t xml:space="preserve"> </w:t>
      </w:r>
      <w:r>
        <w:t>wspomnienie entuzjastycznych wypowiedzi na temat wadliwego projektu UD26</w:t>
      </w:r>
      <w:r w:rsidR="00840731">
        <w:t>3</w:t>
      </w:r>
      <w:r>
        <w:t xml:space="preserve"> oraz obecnej współpracy Urzędu Patentowego RP z Polską Izbą Rzeczników Patentowych -</w:t>
      </w:r>
    </w:p>
    <w:p w14:paraId="5AA3868F" w14:textId="77777777" w:rsidR="00453D21" w:rsidRDefault="00453D21" w:rsidP="00453D21">
      <w:pPr>
        <w:pStyle w:val="Standard"/>
        <w:rPr>
          <w:rFonts w:hint="eastAsia"/>
          <w:sz w:val="14"/>
          <w:szCs w:val="12"/>
        </w:rPr>
      </w:pPr>
    </w:p>
    <w:p w14:paraId="4E6E05E6" w14:textId="77777777" w:rsidR="00453D21" w:rsidRDefault="00453D21" w:rsidP="00453D21">
      <w:pPr>
        <w:pStyle w:val="Standard"/>
        <w:rPr>
          <w:rFonts w:hint="eastAsia"/>
          <w:i/>
          <w:iCs/>
        </w:rPr>
      </w:pPr>
      <w:r>
        <w:rPr>
          <w:i/>
          <w:iCs/>
        </w:rPr>
        <w:t xml:space="preserve">         </w:t>
      </w:r>
    </w:p>
    <w:p w14:paraId="6DE51C3F" w14:textId="77777777" w:rsidR="00453D21" w:rsidRDefault="00453D21" w:rsidP="00453D21">
      <w:pPr>
        <w:pStyle w:val="Standard"/>
        <w:rPr>
          <w:rFonts w:hint="eastAsia"/>
          <w:i/>
          <w:iCs/>
        </w:rPr>
      </w:pPr>
      <w:r>
        <w:rPr>
          <w:i/>
          <w:iCs/>
        </w:rPr>
        <w:t xml:space="preserve">                                                        Redaktor naczelny - Marek BESLER </w:t>
      </w:r>
    </w:p>
    <w:p w14:paraId="097998F9" w14:textId="77777777" w:rsidR="00453D21" w:rsidRDefault="00453D21" w:rsidP="00453D21">
      <w:pPr>
        <w:pStyle w:val="Standard"/>
        <w:jc w:val="both"/>
        <w:rPr>
          <w:rFonts w:hint="eastAsia"/>
        </w:rPr>
      </w:pPr>
    </w:p>
    <w:p w14:paraId="18EE3425" w14:textId="77777777" w:rsidR="00453D21" w:rsidRDefault="00453D21" w:rsidP="00453D21">
      <w:pPr>
        <w:pStyle w:val="Standard"/>
        <w:jc w:val="center"/>
        <w:rPr>
          <w:rFonts w:hint="eastAsia"/>
        </w:rPr>
      </w:pPr>
      <w:r>
        <w:t>* * *</w:t>
      </w:r>
    </w:p>
    <w:p w14:paraId="05531EF3" w14:textId="77777777" w:rsidR="00453D21" w:rsidRDefault="00453D21" w:rsidP="00453D21">
      <w:pPr>
        <w:pStyle w:val="Standard"/>
        <w:ind w:firstLine="567"/>
        <w:jc w:val="both"/>
        <w:rPr>
          <w:rFonts w:hint="eastAsia"/>
        </w:rPr>
      </w:pPr>
      <w:r>
        <w:t>P.S.</w:t>
      </w:r>
    </w:p>
    <w:p w14:paraId="60D709E5" w14:textId="77777777" w:rsidR="00453D21" w:rsidRDefault="00453D21" w:rsidP="00453D21">
      <w:pPr>
        <w:pStyle w:val="Standard"/>
        <w:ind w:firstLine="567"/>
        <w:jc w:val="both"/>
        <w:rPr>
          <w:rFonts w:hint="eastAsia"/>
        </w:rPr>
      </w:pPr>
      <w:r>
        <w:t>Na szczęście właśnie zatrzymano prace nad wadliwym projektem nowej ustawy Prawo własności przemysłowej UD263.</w:t>
      </w:r>
    </w:p>
    <w:p w14:paraId="34A38A2E" w14:textId="299C8897" w:rsidR="00453D21" w:rsidRDefault="00453D21" w:rsidP="00453D21">
      <w:pPr>
        <w:pStyle w:val="Standard"/>
        <w:jc w:val="both"/>
        <w:rPr>
          <w:rFonts w:hint="eastAsia"/>
        </w:rPr>
      </w:pPr>
      <w:r>
        <w:lastRenderedPageBreak/>
        <w:t xml:space="preserve">W sytuacji, gdy istniało realne zagrożenie, że rządzący uwierzą deklaracjom i zapewnieniom </w:t>
      </w:r>
      <w:r w:rsidR="008C6840">
        <w:br/>
      </w:r>
      <w:r>
        <w:t xml:space="preserve">o nieistniejących jego walorach </w:t>
      </w:r>
      <w:r w:rsidR="001B5832">
        <w:t xml:space="preserve">- za zamknięcie tego niebezpiecznego tematu </w:t>
      </w:r>
      <w:r>
        <w:t>należy przede wszystkim nieustannie dziękować Rządowi - pracami którego kieruje Pan Premier Donald TUSK.</w:t>
      </w:r>
    </w:p>
    <w:p w14:paraId="7B610586" w14:textId="77777777" w:rsidR="008C6840" w:rsidRPr="008C6840" w:rsidRDefault="008C6840" w:rsidP="00453D21">
      <w:pPr>
        <w:pStyle w:val="Standard"/>
        <w:jc w:val="both"/>
        <w:rPr>
          <w:rFonts w:hint="eastAsia"/>
          <w:sz w:val="10"/>
          <w:szCs w:val="10"/>
        </w:rPr>
      </w:pPr>
    </w:p>
    <w:p w14:paraId="49F11F69" w14:textId="0DC93774" w:rsidR="009F66A3" w:rsidRDefault="00453D21" w:rsidP="00453D21">
      <w:pPr>
        <w:pStyle w:val="Standard"/>
        <w:jc w:val="both"/>
        <w:rPr>
          <w:rFonts w:hint="eastAsia"/>
        </w:rPr>
      </w:pPr>
      <w:r>
        <w:t xml:space="preserve">Warto </w:t>
      </w:r>
      <w:r w:rsidR="008C6840">
        <w:t xml:space="preserve">też </w:t>
      </w:r>
      <w:r>
        <w:t>przypomnieć</w:t>
      </w:r>
      <w:r w:rsidR="009F66A3">
        <w:t xml:space="preserve">: </w:t>
      </w:r>
      <w:r>
        <w:t>kto, kiedy i jak wypowiadał się o projekcie</w:t>
      </w:r>
      <w:r w:rsidR="009F66A3">
        <w:t xml:space="preserve"> UD263</w:t>
      </w:r>
      <w:r>
        <w:t xml:space="preserve">. </w:t>
      </w:r>
    </w:p>
    <w:p w14:paraId="197C0743" w14:textId="77777777" w:rsidR="008C6840" w:rsidRPr="008C6840" w:rsidRDefault="008C6840" w:rsidP="00453D21">
      <w:pPr>
        <w:pStyle w:val="Standard"/>
        <w:jc w:val="both"/>
        <w:rPr>
          <w:rFonts w:hint="eastAsia"/>
          <w:sz w:val="10"/>
          <w:szCs w:val="10"/>
        </w:rPr>
      </w:pPr>
    </w:p>
    <w:p w14:paraId="67D3C6FF" w14:textId="541DE236" w:rsidR="00453D21" w:rsidRDefault="00453D21" w:rsidP="00453D21">
      <w:pPr>
        <w:pStyle w:val="Standard"/>
        <w:jc w:val="both"/>
        <w:rPr>
          <w:rFonts w:hint="eastAsia"/>
        </w:rPr>
      </w:pPr>
      <w:r>
        <w:t xml:space="preserve">Pytanie </w:t>
      </w:r>
      <w:r>
        <w:rPr>
          <w:i/>
          <w:iCs/>
        </w:rPr>
        <w:t>„Qui bono?”</w:t>
      </w:r>
      <w:r>
        <w:t xml:space="preserve"> </w:t>
      </w:r>
      <w:r w:rsidR="0085476F">
        <w:t>-</w:t>
      </w:r>
      <w:r>
        <w:t xml:space="preserve"> </w:t>
      </w:r>
      <w:r w:rsidR="0085476F">
        <w:t xml:space="preserve">nie musi </w:t>
      </w:r>
      <w:r w:rsidR="001B5832">
        <w:t xml:space="preserve">już </w:t>
      </w:r>
      <w:r w:rsidR="0085476F">
        <w:t xml:space="preserve">pozostawać </w:t>
      </w:r>
      <w:r>
        <w:t>pytaniem otwartym</w:t>
      </w:r>
      <w:r w:rsidR="00EB289C">
        <w:t>, o czym piszemy</w:t>
      </w:r>
      <w:r w:rsidR="00EB289C">
        <w:br/>
        <w:t>w podsumowaniu.</w:t>
      </w:r>
    </w:p>
    <w:p w14:paraId="1ECE02D6" w14:textId="42E61BE0" w:rsidR="00B07EF6" w:rsidRDefault="00B07EF6" w:rsidP="00B07EF6">
      <w:pPr>
        <w:pStyle w:val="Standard"/>
        <w:jc w:val="center"/>
        <w:rPr>
          <w:rFonts w:hint="eastAsia"/>
        </w:rPr>
      </w:pPr>
      <w:r>
        <w:t>* * *</w:t>
      </w:r>
    </w:p>
    <w:p w14:paraId="39C4E227" w14:textId="77777777" w:rsidR="00B07EF6" w:rsidRPr="007B46C9" w:rsidRDefault="00B07EF6" w:rsidP="00453D21">
      <w:pPr>
        <w:pStyle w:val="Standard"/>
        <w:jc w:val="both"/>
        <w:rPr>
          <w:rFonts w:hint="eastAsia"/>
          <w:b/>
          <w:bCs/>
          <w:sz w:val="12"/>
          <w:szCs w:val="12"/>
        </w:rPr>
      </w:pPr>
    </w:p>
    <w:p w14:paraId="2A1BA479" w14:textId="4D9D94AD" w:rsidR="00453D21" w:rsidRPr="00397E68" w:rsidRDefault="00453D21" w:rsidP="00453D21">
      <w:pPr>
        <w:pStyle w:val="Standard"/>
        <w:jc w:val="both"/>
        <w:rPr>
          <w:rFonts w:hint="eastAsia"/>
          <w:color w:val="2E74B5" w:themeColor="accent5" w:themeShade="BF"/>
        </w:rPr>
      </w:pPr>
      <w:r>
        <w:rPr>
          <w:b/>
          <w:bCs/>
        </w:rPr>
        <w:t>Edyta DEMBY-SIWEK, Prezes Urzędu Patentowego RP</w:t>
      </w:r>
      <w:r>
        <w:t xml:space="preserve"> </w:t>
      </w:r>
      <w:r>
        <w:rPr>
          <w:b/>
          <w:bCs/>
        </w:rPr>
        <w:t>na łamach platformy społecznościowej YouTube odpowiadała latem 2021 r. na pytania, które zadawał Marek GOZDYRA</w:t>
      </w:r>
      <w:r>
        <w:t xml:space="preserve"> </w:t>
      </w:r>
      <w:hyperlink r:id="rId11" w:history="1">
        <w:r w:rsidRPr="00397E68">
          <w:rPr>
            <w:color w:val="2E74B5" w:themeColor="accent5" w:themeShade="BF"/>
          </w:rPr>
          <w:t>https://stowi.pl/edyta-demby-siwek</w:t>
        </w:r>
        <w:bookmarkStart w:id="3" w:name="_Hlt168089079"/>
        <w:bookmarkStart w:id="4" w:name="_Hlt168089080"/>
        <w:bookmarkEnd w:id="3"/>
        <w:bookmarkEnd w:id="4"/>
        <w:r w:rsidRPr="00397E68">
          <w:rPr>
            <w:color w:val="2E74B5" w:themeColor="accent5" w:themeShade="BF"/>
          </w:rPr>
          <w:t>-prezes-urzedu-patentowego-rp/</w:t>
        </w:r>
      </w:hyperlink>
      <w:r w:rsidRPr="00397E68">
        <w:rPr>
          <w:color w:val="2E74B5" w:themeColor="accent5" w:themeShade="BF"/>
        </w:rPr>
        <w:t xml:space="preserve">  </w:t>
      </w:r>
    </w:p>
    <w:p w14:paraId="01818EFA" w14:textId="77777777" w:rsidR="00453D21" w:rsidRDefault="00453D21" w:rsidP="00453D21">
      <w:pPr>
        <w:pStyle w:val="Standard"/>
        <w:jc w:val="both"/>
        <w:rPr>
          <w:rFonts w:hint="eastAsia"/>
          <w:b/>
          <w:bCs/>
        </w:rPr>
      </w:pPr>
      <w:r>
        <w:rPr>
          <w:b/>
          <w:bCs/>
        </w:rPr>
        <w:t xml:space="preserve">Nagranie to zostało usunięte z mediów społecznościowych. Zachowało się jednak w zarchiwizowanych zasobach StoWI i od 8 czerwca 2023 r. jest nieustannie dostępne na stronie Stowarzyszenia. </w:t>
      </w:r>
    </w:p>
    <w:p w14:paraId="6256B834" w14:textId="77777777" w:rsidR="00453D21" w:rsidRDefault="00453D21" w:rsidP="00453D21">
      <w:pPr>
        <w:pStyle w:val="Standard"/>
        <w:ind w:left="567" w:hanging="567"/>
        <w:jc w:val="both"/>
        <w:rPr>
          <w:rFonts w:hint="eastAsia"/>
        </w:rPr>
      </w:pPr>
      <w:r>
        <w:rPr>
          <w:b/>
          <w:bCs/>
          <w:shd w:val="clear" w:color="auto" w:fill="E8E8E8"/>
        </w:rPr>
        <w:t>2021</w:t>
      </w:r>
      <w:r>
        <w:rPr>
          <w:b/>
          <w:bCs/>
        </w:rPr>
        <w:t xml:space="preserve"> r</w:t>
      </w:r>
      <w:r>
        <w:t>.:</w:t>
      </w:r>
    </w:p>
    <w:p w14:paraId="33E58340" w14:textId="321042DC" w:rsidR="00453D21" w:rsidRDefault="00453D21" w:rsidP="00DB51DA">
      <w:pPr>
        <w:spacing w:after="0"/>
        <w:rPr>
          <w:rFonts w:ascii="Times New Roman" w:hAnsi="Times New Roman" w:cs="Times New Roman"/>
          <w:b/>
          <w:bCs/>
          <w:sz w:val="24"/>
          <w:szCs w:val="24"/>
        </w:rPr>
      </w:pPr>
      <w:r w:rsidRPr="00D36FCB">
        <w:rPr>
          <w:rFonts w:ascii="Times New Roman" w:hAnsi="Times New Roman" w:cs="Times New Roman"/>
          <w:sz w:val="24"/>
          <w:szCs w:val="24"/>
        </w:rPr>
        <w:t>[17:18]</w:t>
      </w:r>
      <w:r w:rsidR="00DB51DA">
        <w:rPr>
          <w:rFonts w:ascii="Times New Roman" w:hAnsi="Times New Roman" w:cs="Times New Roman"/>
          <w:sz w:val="24"/>
          <w:szCs w:val="24"/>
        </w:rPr>
        <w:t xml:space="preserve"> </w:t>
      </w:r>
      <w:r w:rsidRPr="00D36FCB">
        <w:rPr>
          <w:rFonts w:ascii="Times New Roman" w:hAnsi="Times New Roman" w:cs="Times New Roman"/>
          <w:b/>
          <w:bCs/>
          <w:sz w:val="24"/>
          <w:szCs w:val="24"/>
        </w:rPr>
        <w:t>MG:</w:t>
      </w:r>
      <w:r w:rsidRPr="00D36FCB">
        <w:rPr>
          <w:rFonts w:ascii="Times New Roman" w:hAnsi="Times New Roman" w:cs="Times New Roman"/>
          <w:sz w:val="24"/>
          <w:szCs w:val="24"/>
        </w:rPr>
        <w:t xml:space="preserve"> </w:t>
      </w:r>
      <w:r w:rsidRPr="00D36FCB">
        <w:rPr>
          <w:rFonts w:ascii="Times New Roman" w:hAnsi="Times New Roman" w:cs="Times New Roman"/>
          <w:b/>
          <w:bCs/>
          <w:sz w:val="24"/>
          <w:szCs w:val="24"/>
        </w:rPr>
        <w:t>Jakie jest dziś największe wyzwanie stojące przed UPRP?</w:t>
      </w:r>
    </w:p>
    <w:p w14:paraId="599F088D" w14:textId="77777777" w:rsidR="00D36FCB" w:rsidRPr="00D36FCB" w:rsidRDefault="00D36FCB" w:rsidP="00453D21">
      <w:pPr>
        <w:spacing w:after="0"/>
        <w:rPr>
          <w:rFonts w:ascii="Times New Roman" w:hAnsi="Times New Roman" w:cs="Times New Roman"/>
          <w:sz w:val="10"/>
          <w:szCs w:val="10"/>
        </w:rPr>
      </w:pPr>
    </w:p>
    <w:p w14:paraId="06E903D2" w14:textId="0E0A9113" w:rsidR="00453D21" w:rsidRPr="00D36FCB" w:rsidRDefault="00453D21" w:rsidP="00DB51DA">
      <w:pPr>
        <w:spacing w:after="0" w:line="240" w:lineRule="auto"/>
        <w:ind w:left="567"/>
        <w:rPr>
          <w:rFonts w:ascii="Times New Roman" w:hAnsi="Times New Roman" w:cs="Times New Roman"/>
          <w:sz w:val="24"/>
          <w:szCs w:val="24"/>
        </w:rPr>
      </w:pPr>
      <w:r w:rsidRPr="00D36FCB">
        <w:rPr>
          <w:rFonts w:ascii="Times New Roman" w:hAnsi="Times New Roman" w:cs="Times New Roman"/>
          <w:b/>
          <w:bCs/>
          <w:sz w:val="24"/>
          <w:szCs w:val="24"/>
        </w:rPr>
        <w:t>ED-S:</w:t>
      </w:r>
      <w:r w:rsidRPr="00D36FCB">
        <w:rPr>
          <w:rFonts w:ascii="Times New Roman" w:hAnsi="Times New Roman" w:cs="Times New Roman"/>
          <w:sz w:val="24"/>
          <w:szCs w:val="24"/>
        </w:rPr>
        <w:t xml:space="preserve"> Nowa </w:t>
      </w:r>
      <w:r w:rsidRPr="00D36FCB">
        <w:rPr>
          <w:rFonts w:ascii="Times New Roman" w:hAnsi="Times New Roman" w:cs="Times New Roman"/>
          <w:color w:val="C00000"/>
          <w:sz w:val="24"/>
          <w:szCs w:val="24"/>
          <w:shd w:val="clear" w:color="auto" w:fill="E8E8E8"/>
        </w:rPr>
        <w:t>ustawa Prawo własności przemysłowej</w:t>
      </w:r>
      <w:r w:rsidRPr="00D36FCB">
        <w:rPr>
          <w:rFonts w:ascii="Times New Roman" w:hAnsi="Times New Roman" w:cs="Times New Roman"/>
          <w:sz w:val="24"/>
          <w:szCs w:val="24"/>
        </w:rPr>
        <w:t xml:space="preserve">. Na przełomie </w:t>
      </w:r>
      <w:r w:rsidRPr="00D36FCB">
        <w:rPr>
          <w:rFonts w:ascii="Times New Roman" w:hAnsi="Times New Roman" w:cs="Times New Roman"/>
          <w:color w:val="C00000"/>
          <w:sz w:val="24"/>
          <w:szCs w:val="24"/>
          <w:shd w:val="clear" w:color="auto" w:fill="E8E8E8"/>
        </w:rPr>
        <w:t>lipca i sierpnia</w:t>
      </w:r>
      <w:r w:rsidRPr="00D36FCB">
        <w:rPr>
          <w:rFonts w:ascii="Times New Roman" w:hAnsi="Times New Roman" w:cs="Times New Roman"/>
          <w:sz w:val="24"/>
          <w:szCs w:val="24"/>
        </w:rPr>
        <w:t xml:space="preserve"> nowa ustawa została wpisana do programu prac Radu Ministrów. </w:t>
      </w:r>
    </w:p>
    <w:p w14:paraId="34445366" w14:textId="77777777" w:rsidR="00453D21" w:rsidRPr="00D36FCB" w:rsidRDefault="00453D21" w:rsidP="00DB51DA">
      <w:pPr>
        <w:spacing w:after="0" w:line="240" w:lineRule="auto"/>
        <w:ind w:left="567"/>
        <w:rPr>
          <w:rFonts w:ascii="Times New Roman" w:hAnsi="Times New Roman" w:cs="Times New Roman"/>
          <w:sz w:val="24"/>
          <w:szCs w:val="24"/>
        </w:rPr>
      </w:pPr>
      <w:r w:rsidRPr="00D36FCB">
        <w:rPr>
          <w:rFonts w:ascii="Times New Roman" w:hAnsi="Times New Roman" w:cs="Times New Roman"/>
          <w:color w:val="C00000"/>
          <w:sz w:val="24"/>
          <w:szCs w:val="24"/>
          <w:shd w:val="clear" w:color="auto" w:fill="E8E8E8"/>
        </w:rPr>
        <w:t>Wspólnie z Ministerstwem Rozwoju i Technologii stworzyliśmy projekt</w:t>
      </w:r>
      <w:r w:rsidRPr="00D36FCB">
        <w:rPr>
          <w:rFonts w:ascii="Times New Roman" w:hAnsi="Times New Roman" w:cs="Times New Roman"/>
          <w:sz w:val="24"/>
          <w:szCs w:val="24"/>
        </w:rPr>
        <w:t xml:space="preserve">. (…) </w:t>
      </w:r>
      <w:r w:rsidRPr="00D36FCB">
        <w:rPr>
          <w:rFonts w:ascii="Times New Roman" w:hAnsi="Times New Roman" w:cs="Times New Roman"/>
          <w:color w:val="C00000"/>
          <w:sz w:val="24"/>
          <w:szCs w:val="24"/>
          <w:shd w:val="clear" w:color="auto" w:fill="E8E8E8"/>
        </w:rPr>
        <w:t>Współpraca z Ministerstwem jest bardzo dobra</w:t>
      </w:r>
      <w:r w:rsidRPr="00D36FCB">
        <w:rPr>
          <w:rFonts w:ascii="Times New Roman" w:hAnsi="Times New Roman" w:cs="Times New Roman"/>
          <w:sz w:val="24"/>
          <w:szCs w:val="24"/>
        </w:rPr>
        <w:t xml:space="preserve">. Z Departamentem Innowacyjności i Przemysłu. Naprawdę </w:t>
      </w:r>
      <w:r w:rsidRPr="00D36FCB">
        <w:rPr>
          <w:rFonts w:ascii="Times New Roman" w:hAnsi="Times New Roman" w:cs="Times New Roman"/>
          <w:color w:val="C00000"/>
          <w:sz w:val="24"/>
          <w:szCs w:val="24"/>
          <w:shd w:val="clear" w:color="auto" w:fill="E8E8E8"/>
        </w:rPr>
        <w:t>widzę, że mamy wspólne podobne podejście do wielu rozwiązań</w:t>
      </w:r>
      <w:r w:rsidRPr="00D36FCB">
        <w:rPr>
          <w:rFonts w:ascii="Times New Roman" w:hAnsi="Times New Roman" w:cs="Times New Roman"/>
          <w:sz w:val="24"/>
          <w:szCs w:val="24"/>
        </w:rPr>
        <w:t xml:space="preserve">. </w:t>
      </w:r>
    </w:p>
    <w:p w14:paraId="42181B58" w14:textId="77777777" w:rsidR="00D36FCB" w:rsidRPr="00D36FCB" w:rsidRDefault="00D36FCB" w:rsidP="00DB51DA">
      <w:pPr>
        <w:spacing w:after="0" w:line="240" w:lineRule="auto"/>
        <w:ind w:left="567"/>
        <w:rPr>
          <w:rFonts w:ascii="Times New Roman" w:hAnsi="Times New Roman" w:cs="Times New Roman"/>
          <w:sz w:val="10"/>
          <w:szCs w:val="10"/>
        </w:rPr>
      </w:pPr>
    </w:p>
    <w:p w14:paraId="3C404E2A" w14:textId="466C4178" w:rsidR="00453D21" w:rsidRPr="00D36FCB" w:rsidRDefault="00453D21" w:rsidP="00DB51DA">
      <w:pPr>
        <w:spacing w:after="0" w:line="240" w:lineRule="auto"/>
        <w:ind w:left="567"/>
        <w:rPr>
          <w:rFonts w:ascii="Times New Roman" w:hAnsi="Times New Roman" w:cs="Times New Roman"/>
          <w:sz w:val="24"/>
          <w:szCs w:val="24"/>
        </w:rPr>
      </w:pPr>
      <w:r w:rsidRPr="00D36FCB">
        <w:rPr>
          <w:rFonts w:ascii="Times New Roman" w:hAnsi="Times New Roman" w:cs="Times New Roman"/>
          <w:b/>
          <w:bCs/>
          <w:sz w:val="24"/>
          <w:szCs w:val="24"/>
        </w:rPr>
        <w:t>MG:</w:t>
      </w:r>
      <w:r w:rsidRPr="00D36FCB">
        <w:rPr>
          <w:rFonts w:ascii="Times New Roman" w:hAnsi="Times New Roman" w:cs="Times New Roman"/>
          <w:sz w:val="24"/>
          <w:szCs w:val="24"/>
        </w:rPr>
        <w:t xml:space="preserve"> </w:t>
      </w:r>
      <w:r w:rsidRPr="00D36FCB">
        <w:rPr>
          <w:rFonts w:ascii="Times New Roman" w:hAnsi="Times New Roman" w:cs="Times New Roman"/>
          <w:b/>
          <w:bCs/>
          <w:sz w:val="24"/>
          <w:szCs w:val="24"/>
        </w:rPr>
        <w:t>Czy dobrze zrozumiałem. Czy ta ustawa jest od nowa, czy ona jest poprawiona?</w:t>
      </w:r>
    </w:p>
    <w:p w14:paraId="275788ED" w14:textId="77777777" w:rsidR="00D36FCB" w:rsidRPr="00D36FCB" w:rsidRDefault="00D36FCB" w:rsidP="00DB51DA">
      <w:pPr>
        <w:spacing w:after="0" w:line="240" w:lineRule="auto"/>
        <w:ind w:left="567"/>
        <w:rPr>
          <w:rFonts w:ascii="Times New Roman" w:hAnsi="Times New Roman" w:cs="Times New Roman"/>
          <w:b/>
          <w:bCs/>
          <w:sz w:val="10"/>
          <w:szCs w:val="10"/>
        </w:rPr>
      </w:pPr>
    </w:p>
    <w:p w14:paraId="0A03807F" w14:textId="31DDDC41" w:rsidR="00453D21" w:rsidRPr="00D36FCB" w:rsidRDefault="00453D21" w:rsidP="00DB51DA">
      <w:pPr>
        <w:spacing w:after="0" w:line="240" w:lineRule="auto"/>
        <w:ind w:left="567"/>
        <w:rPr>
          <w:rFonts w:ascii="Times New Roman" w:hAnsi="Times New Roman" w:cs="Times New Roman"/>
          <w:sz w:val="24"/>
          <w:szCs w:val="24"/>
        </w:rPr>
      </w:pPr>
      <w:r w:rsidRPr="00D36FCB">
        <w:rPr>
          <w:rFonts w:ascii="Times New Roman" w:hAnsi="Times New Roman" w:cs="Times New Roman"/>
          <w:b/>
          <w:bCs/>
          <w:sz w:val="24"/>
          <w:szCs w:val="24"/>
        </w:rPr>
        <w:t>ED-S:</w:t>
      </w:r>
      <w:r w:rsidRPr="00D36FCB">
        <w:rPr>
          <w:rFonts w:ascii="Times New Roman" w:hAnsi="Times New Roman" w:cs="Times New Roman"/>
          <w:sz w:val="24"/>
          <w:szCs w:val="24"/>
        </w:rPr>
        <w:t xml:space="preserve"> Cała ustawa jest na nowo napisana. (…).</w:t>
      </w:r>
    </w:p>
    <w:p w14:paraId="1F3798F9" w14:textId="77777777" w:rsidR="00D36FCB" w:rsidRPr="00D36FCB" w:rsidRDefault="00D36FCB" w:rsidP="00DB51DA">
      <w:pPr>
        <w:spacing w:after="0" w:line="240" w:lineRule="auto"/>
        <w:ind w:left="567"/>
        <w:rPr>
          <w:rFonts w:ascii="Times New Roman" w:hAnsi="Times New Roman" w:cs="Times New Roman"/>
          <w:b/>
          <w:bCs/>
          <w:sz w:val="10"/>
          <w:szCs w:val="10"/>
        </w:rPr>
      </w:pPr>
    </w:p>
    <w:p w14:paraId="43653671" w14:textId="642CA15F" w:rsidR="00453D21" w:rsidRPr="00D36FCB" w:rsidRDefault="00453D21" w:rsidP="00DB51DA">
      <w:pPr>
        <w:spacing w:after="0" w:line="240" w:lineRule="auto"/>
        <w:ind w:left="567"/>
        <w:rPr>
          <w:rFonts w:ascii="Times New Roman" w:hAnsi="Times New Roman" w:cs="Times New Roman"/>
          <w:b/>
          <w:bCs/>
          <w:sz w:val="24"/>
          <w:szCs w:val="24"/>
        </w:rPr>
      </w:pPr>
      <w:r w:rsidRPr="00D36FCB">
        <w:rPr>
          <w:rFonts w:ascii="Times New Roman" w:hAnsi="Times New Roman" w:cs="Times New Roman"/>
          <w:b/>
          <w:bCs/>
          <w:sz w:val="24"/>
          <w:szCs w:val="24"/>
        </w:rPr>
        <w:t>MG: A myśli Pani Prezes, że w przyszłym roku to jest realny termin, kiedy ta ustawa mogłaby być już gotowa?</w:t>
      </w:r>
    </w:p>
    <w:p w14:paraId="6107B656" w14:textId="77777777" w:rsidR="00D36FCB" w:rsidRPr="00D36FCB" w:rsidRDefault="00D36FCB" w:rsidP="00DB51DA">
      <w:pPr>
        <w:spacing w:after="0" w:line="240" w:lineRule="auto"/>
        <w:ind w:left="567"/>
        <w:rPr>
          <w:rFonts w:ascii="Times New Roman" w:hAnsi="Times New Roman" w:cs="Times New Roman"/>
          <w:b/>
          <w:bCs/>
          <w:sz w:val="10"/>
          <w:szCs w:val="10"/>
        </w:rPr>
      </w:pPr>
    </w:p>
    <w:p w14:paraId="1CE670A2" w14:textId="32F44BAB" w:rsidR="00453D21" w:rsidRPr="00D36FCB" w:rsidRDefault="00453D21" w:rsidP="00DB51DA">
      <w:pPr>
        <w:spacing w:after="0" w:line="240" w:lineRule="auto"/>
        <w:ind w:left="567"/>
        <w:rPr>
          <w:rFonts w:ascii="Times New Roman" w:hAnsi="Times New Roman" w:cs="Times New Roman"/>
          <w:sz w:val="24"/>
          <w:szCs w:val="24"/>
        </w:rPr>
      </w:pPr>
      <w:r w:rsidRPr="00D36FCB">
        <w:rPr>
          <w:rFonts w:ascii="Times New Roman" w:hAnsi="Times New Roman" w:cs="Times New Roman"/>
          <w:b/>
          <w:bCs/>
          <w:sz w:val="24"/>
          <w:szCs w:val="24"/>
        </w:rPr>
        <w:t>ED-S:</w:t>
      </w:r>
      <w:r w:rsidRPr="00D36FCB">
        <w:rPr>
          <w:rFonts w:ascii="Times New Roman" w:hAnsi="Times New Roman" w:cs="Times New Roman"/>
          <w:sz w:val="24"/>
          <w:szCs w:val="24"/>
        </w:rPr>
        <w:t xml:space="preserve"> Mam nadzieję, że </w:t>
      </w:r>
      <w:r w:rsidRPr="00D36FCB">
        <w:rPr>
          <w:rFonts w:ascii="Times New Roman" w:hAnsi="Times New Roman" w:cs="Times New Roman"/>
          <w:color w:val="C00000"/>
          <w:sz w:val="24"/>
          <w:szCs w:val="24"/>
          <w:shd w:val="clear" w:color="auto" w:fill="E8E8E8"/>
        </w:rPr>
        <w:t>jeszcze w tym roku</w:t>
      </w:r>
      <w:r w:rsidRPr="00D36FCB">
        <w:rPr>
          <w:rFonts w:ascii="Times New Roman" w:hAnsi="Times New Roman" w:cs="Times New Roman"/>
          <w:color w:val="C00000"/>
          <w:sz w:val="24"/>
          <w:szCs w:val="24"/>
        </w:rPr>
        <w:t xml:space="preserve">. </w:t>
      </w:r>
      <w:r w:rsidRPr="00D36FCB">
        <w:rPr>
          <w:rFonts w:ascii="Times New Roman" w:hAnsi="Times New Roman" w:cs="Times New Roman"/>
          <w:color w:val="C00000"/>
          <w:sz w:val="24"/>
          <w:szCs w:val="24"/>
          <w:shd w:val="clear" w:color="auto" w:fill="E8E8E8"/>
        </w:rPr>
        <w:t>W ostatnim kwartale</w:t>
      </w:r>
      <w:r w:rsidRPr="00D36FCB">
        <w:rPr>
          <w:rFonts w:ascii="Times New Roman" w:hAnsi="Times New Roman" w:cs="Times New Roman"/>
          <w:sz w:val="24"/>
          <w:szCs w:val="24"/>
        </w:rPr>
        <w:t xml:space="preserve"> Rada Ministrów</w:t>
      </w:r>
      <w:r w:rsidRPr="00D36FCB">
        <w:rPr>
          <w:rFonts w:ascii="Times New Roman" w:hAnsi="Times New Roman" w:cs="Times New Roman"/>
          <w:color w:val="C00000"/>
          <w:sz w:val="24"/>
          <w:szCs w:val="24"/>
          <w:shd w:val="clear" w:color="auto" w:fill="E8E8E8"/>
        </w:rPr>
        <w:t xml:space="preserve"> ma przyjąć ten projekt</w:t>
      </w:r>
      <w:r w:rsidRPr="00D36FCB">
        <w:rPr>
          <w:rFonts w:ascii="Times New Roman" w:hAnsi="Times New Roman" w:cs="Times New Roman"/>
          <w:color w:val="C00000"/>
          <w:sz w:val="24"/>
          <w:szCs w:val="24"/>
        </w:rPr>
        <w:t xml:space="preserve">. </w:t>
      </w:r>
    </w:p>
    <w:p w14:paraId="4DB0013A" w14:textId="77777777" w:rsidR="00FA3A7E" w:rsidRDefault="00FA3A7E" w:rsidP="00453D21">
      <w:pPr>
        <w:pStyle w:val="Standard"/>
        <w:jc w:val="center"/>
        <w:rPr>
          <w:rFonts w:hint="eastAsia"/>
        </w:rPr>
      </w:pPr>
    </w:p>
    <w:p w14:paraId="588F6FAD" w14:textId="5D4C2839" w:rsidR="00453D21" w:rsidRDefault="00453D21" w:rsidP="00453D21">
      <w:pPr>
        <w:pStyle w:val="Standard"/>
        <w:jc w:val="center"/>
        <w:rPr>
          <w:rFonts w:hint="eastAsia"/>
        </w:rPr>
      </w:pPr>
      <w:r>
        <w:t>* * *</w:t>
      </w:r>
    </w:p>
    <w:p w14:paraId="11BC186B" w14:textId="34AE9B06" w:rsidR="00453D21" w:rsidRPr="00397E68" w:rsidRDefault="00513EF4" w:rsidP="00453D21">
      <w:pPr>
        <w:pStyle w:val="Standard"/>
        <w:jc w:val="both"/>
        <w:rPr>
          <w:rFonts w:hint="eastAsia"/>
          <w:color w:val="2E74B5" w:themeColor="accent5" w:themeShade="BF"/>
        </w:rPr>
      </w:pPr>
      <w:r>
        <w:rPr>
          <w:b/>
          <w:bCs/>
        </w:rPr>
        <w:t>Jesienią 2022 r. g</w:t>
      </w:r>
      <w:r w:rsidR="00453D21">
        <w:rPr>
          <w:b/>
          <w:bCs/>
        </w:rPr>
        <w:t xml:space="preserve">rupa 130 posłów ówczesnej opozycji (z różnych kół parlamentarnych, lecz połączonych wspólnym niepokojem o Polskę) skierowała do Mateusza MORAWIECKIEGO - wówczas Premiera RP - interpelację poselską zawierającą kilka uwag i trzy pytania. Dziś na szczęście można byłoby sformułować je w czasie przeszłym </w:t>
      </w:r>
      <w:hyperlink r:id="rId12" w:history="1">
        <w:r w:rsidR="00453D21" w:rsidRPr="00397E68">
          <w:rPr>
            <w:color w:val="2E74B5" w:themeColor="accent5" w:themeShade="BF"/>
          </w:rPr>
          <w:t>https://stowi.pl/interpelacja-nr-37332/</w:t>
        </w:r>
      </w:hyperlink>
      <w:r w:rsidR="00453D21" w:rsidRPr="00397E68">
        <w:rPr>
          <w:color w:val="2E74B5" w:themeColor="accent5" w:themeShade="BF"/>
        </w:rPr>
        <w:t xml:space="preserve"> :</w:t>
      </w:r>
    </w:p>
    <w:p w14:paraId="780168CE" w14:textId="77777777" w:rsidR="00453D21" w:rsidRDefault="00453D21" w:rsidP="00453D21">
      <w:pPr>
        <w:pStyle w:val="Standard"/>
        <w:rPr>
          <w:rFonts w:hint="eastAsia"/>
          <w:b/>
          <w:bCs/>
          <w:shd w:val="clear" w:color="auto" w:fill="E8E8E8"/>
        </w:rPr>
      </w:pPr>
      <w:r>
        <w:rPr>
          <w:b/>
          <w:bCs/>
          <w:shd w:val="clear" w:color="auto" w:fill="E8E8E8"/>
        </w:rPr>
        <w:t>2022.11.11</w:t>
      </w:r>
    </w:p>
    <w:p w14:paraId="691E9FEB" w14:textId="77777777" w:rsidR="00453D21" w:rsidRDefault="00453D21" w:rsidP="00DB51DA">
      <w:pPr>
        <w:pStyle w:val="Standard"/>
        <w:ind w:left="567"/>
        <w:rPr>
          <w:rFonts w:hint="eastAsia"/>
        </w:rPr>
      </w:pPr>
      <w:r>
        <w:t xml:space="preserve">(…) prowadzone są obecnie prace nad nową ustawą Prawo własności przemysłowej - </w:t>
      </w:r>
      <w:r>
        <w:rPr>
          <w:color w:val="C00000"/>
          <w:shd w:val="clear" w:color="auto" w:fill="E8E8E8"/>
        </w:rPr>
        <w:t>UD263</w:t>
      </w:r>
      <w:r>
        <w:t xml:space="preserve">, który to projekt: </w:t>
      </w:r>
    </w:p>
    <w:p w14:paraId="56E9E897" w14:textId="77777777" w:rsidR="00453D21" w:rsidRPr="00513EF4" w:rsidRDefault="00453D21" w:rsidP="00DB51DA">
      <w:pPr>
        <w:pStyle w:val="Standard"/>
        <w:ind w:left="567"/>
        <w:rPr>
          <w:rFonts w:ascii="Times New Roman" w:hAnsi="Times New Roman" w:cs="Times New Roman"/>
        </w:rPr>
      </w:pPr>
      <w:r w:rsidRPr="00513EF4">
        <w:rPr>
          <w:rFonts w:ascii="Times New Roman" w:hAnsi="Times New Roman" w:cs="Times New Roman"/>
        </w:rPr>
        <w:t xml:space="preserve">1) zawiera </w:t>
      </w:r>
      <w:r w:rsidRPr="00513EF4">
        <w:rPr>
          <w:rFonts w:ascii="Times New Roman" w:hAnsi="Times New Roman" w:cs="Times New Roman"/>
          <w:color w:val="C00000"/>
          <w:shd w:val="clear" w:color="auto" w:fill="E8E8E8"/>
        </w:rPr>
        <w:t>propozycje</w:t>
      </w:r>
      <w:r w:rsidRPr="00513EF4">
        <w:rPr>
          <w:rFonts w:ascii="Times New Roman" w:hAnsi="Times New Roman" w:cs="Times New Roman"/>
        </w:rPr>
        <w:t xml:space="preserve"> prowadzące po raz kolejny do </w:t>
      </w:r>
      <w:r w:rsidRPr="00513EF4">
        <w:rPr>
          <w:rFonts w:ascii="Times New Roman" w:hAnsi="Times New Roman" w:cs="Times New Roman"/>
          <w:color w:val="C00000"/>
          <w:shd w:val="clear" w:color="auto" w:fill="E8E8E8"/>
        </w:rPr>
        <w:t>błędnej implementacji</w:t>
      </w:r>
      <w:r w:rsidRPr="00513EF4">
        <w:rPr>
          <w:rFonts w:ascii="Times New Roman" w:hAnsi="Times New Roman" w:cs="Times New Roman"/>
        </w:rPr>
        <w:t xml:space="preserve"> (…);</w:t>
      </w:r>
    </w:p>
    <w:p w14:paraId="42184C9E" w14:textId="77777777" w:rsidR="00513EF4" w:rsidRPr="005D35E3" w:rsidRDefault="00513EF4" w:rsidP="00DB51DA">
      <w:pPr>
        <w:pStyle w:val="Standard"/>
        <w:ind w:left="567"/>
        <w:rPr>
          <w:rFonts w:ascii="Times New Roman" w:hAnsi="Times New Roman" w:cs="Times New Roman"/>
          <w:sz w:val="2"/>
          <w:szCs w:val="2"/>
        </w:rPr>
      </w:pPr>
    </w:p>
    <w:p w14:paraId="668CCA1C" w14:textId="6EE4297B" w:rsidR="00453D21" w:rsidRPr="00513EF4" w:rsidRDefault="00453D21" w:rsidP="00DB51DA">
      <w:pPr>
        <w:pStyle w:val="Standard"/>
        <w:ind w:left="567"/>
        <w:rPr>
          <w:rFonts w:ascii="Times New Roman" w:hAnsi="Times New Roman" w:cs="Times New Roman"/>
        </w:rPr>
      </w:pPr>
      <w:r w:rsidRPr="00513EF4">
        <w:rPr>
          <w:rFonts w:ascii="Times New Roman" w:hAnsi="Times New Roman" w:cs="Times New Roman"/>
        </w:rPr>
        <w:t xml:space="preserve">2) opracowany został </w:t>
      </w:r>
      <w:r w:rsidRPr="00513EF4">
        <w:rPr>
          <w:rFonts w:ascii="Times New Roman" w:hAnsi="Times New Roman" w:cs="Times New Roman"/>
          <w:color w:val="C00000"/>
          <w:shd w:val="clear" w:color="auto" w:fill="E8E8E8"/>
        </w:rPr>
        <w:t>bez uwzględnienia</w:t>
      </w:r>
      <w:r w:rsidRPr="00513EF4">
        <w:rPr>
          <w:rFonts w:ascii="Times New Roman" w:hAnsi="Times New Roman" w:cs="Times New Roman"/>
        </w:rPr>
        <w:t xml:space="preserve"> zbliżającego się </w:t>
      </w:r>
      <w:r w:rsidRPr="00513EF4">
        <w:rPr>
          <w:rFonts w:ascii="Times New Roman" w:hAnsi="Times New Roman" w:cs="Times New Roman"/>
          <w:color w:val="C00000"/>
          <w:shd w:val="clear" w:color="auto" w:fill="E8E8E8"/>
        </w:rPr>
        <w:t>obowiązku powiadomienia</w:t>
      </w:r>
      <w:r w:rsidRPr="00513EF4">
        <w:rPr>
          <w:rFonts w:ascii="Times New Roman" w:hAnsi="Times New Roman" w:cs="Times New Roman"/>
        </w:rPr>
        <w:t xml:space="preserve"> (…) </w:t>
      </w:r>
      <w:r w:rsidRPr="00513EF4">
        <w:rPr>
          <w:rFonts w:ascii="Times New Roman" w:hAnsi="Times New Roman" w:cs="Times New Roman"/>
          <w:color w:val="C00000"/>
          <w:shd w:val="clear" w:color="auto" w:fill="E8E8E8"/>
        </w:rPr>
        <w:t>o zmianach</w:t>
      </w:r>
      <w:r w:rsidRPr="00513EF4">
        <w:rPr>
          <w:rFonts w:ascii="Times New Roman" w:hAnsi="Times New Roman" w:cs="Times New Roman"/>
        </w:rPr>
        <w:t xml:space="preserve"> (w celu zachowania spójności systemów);</w:t>
      </w:r>
    </w:p>
    <w:p w14:paraId="42328B88" w14:textId="0102523F" w:rsidR="00453D21" w:rsidRPr="00513EF4" w:rsidRDefault="00453D21" w:rsidP="00DB51DA">
      <w:pPr>
        <w:pStyle w:val="Standard"/>
        <w:ind w:left="567"/>
        <w:rPr>
          <w:rFonts w:ascii="Times New Roman" w:hAnsi="Times New Roman" w:cs="Times New Roman"/>
        </w:rPr>
      </w:pPr>
      <w:r w:rsidRPr="00513EF4">
        <w:rPr>
          <w:rFonts w:ascii="Times New Roman" w:hAnsi="Times New Roman" w:cs="Times New Roman"/>
        </w:rPr>
        <w:t xml:space="preserve">3) </w:t>
      </w:r>
      <w:r w:rsidRPr="00513EF4">
        <w:rPr>
          <w:rFonts w:ascii="Times New Roman" w:hAnsi="Times New Roman" w:cs="Times New Roman"/>
          <w:color w:val="C00000"/>
          <w:shd w:val="clear" w:color="auto" w:fill="E8E8E8"/>
        </w:rPr>
        <w:t>oceniany jest krytycznie</w:t>
      </w:r>
      <w:r w:rsidRPr="00513EF4">
        <w:rPr>
          <w:rFonts w:ascii="Times New Roman" w:hAnsi="Times New Roman" w:cs="Times New Roman"/>
        </w:rPr>
        <w:t xml:space="preserve"> w nadsyłanych stanowiskach (…);</w:t>
      </w:r>
    </w:p>
    <w:p w14:paraId="281FC7CF" w14:textId="394029D5" w:rsidR="00453D21" w:rsidRPr="00513EF4" w:rsidRDefault="00453D21" w:rsidP="00DB51DA">
      <w:pPr>
        <w:pStyle w:val="Standard"/>
        <w:ind w:left="567"/>
        <w:rPr>
          <w:rFonts w:ascii="Times New Roman" w:hAnsi="Times New Roman" w:cs="Times New Roman"/>
        </w:rPr>
      </w:pPr>
      <w:r w:rsidRPr="00513EF4">
        <w:rPr>
          <w:rFonts w:ascii="Times New Roman" w:hAnsi="Times New Roman" w:cs="Times New Roman"/>
        </w:rPr>
        <w:t xml:space="preserve">4) proponuje </w:t>
      </w:r>
      <w:r w:rsidRPr="00513EF4">
        <w:rPr>
          <w:rFonts w:ascii="Times New Roman" w:hAnsi="Times New Roman" w:cs="Times New Roman"/>
          <w:color w:val="C00000"/>
          <w:shd w:val="clear" w:color="auto" w:fill="E8E8E8"/>
        </w:rPr>
        <w:t>zadziwiająco nieporadne rozwiązania</w:t>
      </w:r>
      <w:r w:rsidRPr="00513EF4">
        <w:rPr>
          <w:rFonts w:ascii="Times New Roman" w:hAnsi="Times New Roman" w:cs="Times New Roman"/>
        </w:rPr>
        <w:t xml:space="preserve"> (…);</w:t>
      </w:r>
    </w:p>
    <w:p w14:paraId="66411D26" w14:textId="31F55ECC" w:rsidR="00453D21" w:rsidRPr="00513EF4" w:rsidRDefault="00453D21" w:rsidP="00DB51DA">
      <w:pPr>
        <w:pStyle w:val="Standard"/>
        <w:tabs>
          <w:tab w:val="left" w:pos="851"/>
        </w:tabs>
        <w:ind w:left="567"/>
        <w:rPr>
          <w:rFonts w:ascii="Times New Roman" w:hAnsi="Times New Roman" w:cs="Times New Roman"/>
        </w:rPr>
      </w:pPr>
      <w:r w:rsidRPr="00513EF4">
        <w:rPr>
          <w:rFonts w:ascii="Times New Roman" w:hAnsi="Times New Roman" w:cs="Times New Roman"/>
        </w:rPr>
        <w:t xml:space="preserve">5) </w:t>
      </w:r>
      <w:r w:rsidRPr="00513EF4">
        <w:rPr>
          <w:rFonts w:ascii="Times New Roman" w:hAnsi="Times New Roman" w:cs="Times New Roman"/>
          <w:color w:val="C00000"/>
          <w:shd w:val="clear" w:color="auto" w:fill="E8E8E8"/>
        </w:rPr>
        <w:t>jest niekompletny</w:t>
      </w:r>
      <w:r w:rsidRPr="00513EF4">
        <w:rPr>
          <w:rFonts w:ascii="Times New Roman" w:hAnsi="Times New Roman" w:cs="Times New Roman"/>
        </w:rPr>
        <w:t xml:space="preserve"> (…) jest </w:t>
      </w:r>
      <w:r w:rsidRPr="00513EF4">
        <w:rPr>
          <w:rFonts w:ascii="Times New Roman" w:hAnsi="Times New Roman" w:cs="Times New Roman"/>
          <w:color w:val="C00000"/>
          <w:shd w:val="clear" w:color="auto" w:fill="E8E8E8"/>
        </w:rPr>
        <w:t>procedowany</w:t>
      </w:r>
      <w:r w:rsidRPr="00513EF4">
        <w:rPr>
          <w:rFonts w:ascii="Times New Roman" w:hAnsi="Times New Roman" w:cs="Times New Roman"/>
        </w:rPr>
        <w:t xml:space="preserve"> przez projektodawcę </w:t>
      </w:r>
      <w:r w:rsidRPr="00513EF4">
        <w:rPr>
          <w:rFonts w:ascii="Times New Roman" w:hAnsi="Times New Roman" w:cs="Times New Roman"/>
          <w:color w:val="C00000"/>
          <w:shd w:val="clear" w:color="auto" w:fill="E8E8E8"/>
        </w:rPr>
        <w:t>w kadłubowej postaci</w:t>
      </w:r>
      <w:r w:rsidRPr="00513EF4">
        <w:rPr>
          <w:rFonts w:ascii="Times New Roman" w:hAnsi="Times New Roman" w:cs="Times New Roman"/>
        </w:rPr>
        <w:t xml:space="preserve"> bez niezbędnych przepisów intertemporalnych oraz </w:t>
      </w:r>
      <w:r w:rsidRPr="00513EF4">
        <w:rPr>
          <w:rFonts w:ascii="Times New Roman" w:hAnsi="Times New Roman" w:cs="Times New Roman"/>
          <w:color w:val="C00000"/>
          <w:shd w:val="clear" w:color="auto" w:fill="E8E8E8"/>
        </w:rPr>
        <w:t>pomimo braku</w:t>
      </w:r>
      <w:r w:rsidRPr="00513EF4">
        <w:rPr>
          <w:rFonts w:ascii="Times New Roman" w:hAnsi="Times New Roman" w:cs="Times New Roman"/>
        </w:rPr>
        <w:t xml:space="preserve"> </w:t>
      </w:r>
      <w:r w:rsidRPr="00513EF4">
        <w:rPr>
          <w:rFonts w:ascii="Times New Roman" w:hAnsi="Times New Roman" w:cs="Times New Roman"/>
          <w:color w:val="C00000"/>
          <w:shd w:val="clear" w:color="auto" w:fill="E8E8E8"/>
        </w:rPr>
        <w:t>skorelowanej</w:t>
      </w:r>
      <w:r w:rsidRPr="00513EF4">
        <w:rPr>
          <w:rFonts w:ascii="Times New Roman" w:hAnsi="Times New Roman" w:cs="Times New Roman"/>
        </w:rPr>
        <w:t xml:space="preserve"> z projektem UD263 </w:t>
      </w:r>
      <w:r w:rsidRPr="00513EF4">
        <w:rPr>
          <w:rFonts w:ascii="Times New Roman" w:hAnsi="Times New Roman" w:cs="Times New Roman"/>
          <w:color w:val="C00000"/>
          <w:shd w:val="clear" w:color="auto" w:fill="E8E8E8"/>
        </w:rPr>
        <w:t>koncepcji aktów wykonawczych</w:t>
      </w:r>
      <w:r w:rsidRPr="00513EF4">
        <w:rPr>
          <w:rFonts w:ascii="Times New Roman" w:hAnsi="Times New Roman" w:cs="Times New Roman"/>
        </w:rPr>
        <w:t>, (…);</w:t>
      </w:r>
    </w:p>
    <w:p w14:paraId="6B08298C" w14:textId="2D42788D" w:rsidR="00453D21" w:rsidRPr="00513EF4" w:rsidRDefault="00453D21" w:rsidP="00DB51DA">
      <w:pPr>
        <w:pStyle w:val="Standard"/>
        <w:tabs>
          <w:tab w:val="left" w:pos="851"/>
        </w:tabs>
        <w:ind w:left="567"/>
        <w:rPr>
          <w:rFonts w:ascii="Times New Roman" w:hAnsi="Times New Roman" w:cs="Times New Roman"/>
        </w:rPr>
      </w:pPr>
      <w:r w:rsidRPr="00513EF4">
        <w:rPr>
          <w:rFonts w:ascii="Times New Roman" w:hAnsi="Times New Roman" w:cs="Times New Roman"/>
        </w:rPr>
        <w:t xml:space="preserve">6) (…) nie powinien być procedowany zważywszy, że </w:t>
      </w:r>
      <w:r w:rsidRPr="00513EF4">
        <w:rPr>
          <w:rFonts w:ascii="Times New Roman" w:hAnsi="Times New Roman" w:cs="Times New Roman"/>
          <w:color w:val="C00000"/>
          <w:shd w:val="clear" w:color="auto" w:fill="E8E8E8"/>
        </w:rPr>
        <w:t>już obecnie</w:t>
      </w:r>
      <w:r w:rsidRPr="00513EF4">
        <w:rPr>
          <w:rFonts w:ascii="Times New Roman" w:hAnsi="Times New Roman" w:cs="Times New Roman"/>
        </w:rPr>
        <w:t xml:space="preserve"> </w:t>
      </w:r>
      <w:r w:rsidRPr="00513EF4">
        <w:rPr>
          <w:rFonts w:ascii="Times New Roman" w:hAnsi="Times New Roman" w:cs="Times New Roman"/>
          <w:color w:val="C00000"/>
          <w:shd w:val="clear" w:color="auto" w:fill="E8E8E8"/>
        </w:rPr>
        <w:t xml:space="preserve">Urząd </w:t>
      </w:r>
      <w:r w:rsidRPr="00513EF4">
        <w:rPr>
          <w:rFonts w:ascii="Times New Roman" w:hAnsi="Times New Roman" w:cs="Times New Roman"/>
        </w:rPr>
        <w:t xml:space="preserve">Patentowy RP </w:t>
      </w:r>
      <w:r w:rsidRPr="00513EF4">
        <w:rPr>
          <w:rFonts w:ascii="Times New Roman" w:hAnsi="Times New Roman" w:cs="Times New Roman"/>
          <w:color w:val="C00000"/>
          <w:shd w:val="clear" w:color="auto" w:fill="E8E8E8"/>
        </w:rPr>
        <w:t>nie podołał obowiązkowi przestrzegania</w:t>
      </w:r>
      <w:r w:rsidRPr="00513EF4">
        <w:rPr>
          <w:rFonts w:ascii="Times New Roman" w:hAnsi="Times New Roman" w:cs="Times New Roman"/>
        </w:rPr>
        <w:t xml:space="preserve"> (…), np.:</w:t>
      </w:r>
    </w:p>
    <w:p w14:paraId="2542FAFF" w14:textId="77777777" w:rsidR="00453D21" w:rsidRPr="00513EF4" w:rsidRDefault="00453D21" w:rsidP="001F6BE3">
      <w:pPr>
        <w:pStyle w:val="Standard"/>
        <w:numPr>
          <w:ilvl w:val="0"/>
          <w:numId w:val="51"/>
        </w:numPr>
        <w:ind w:left="567" w:hanging="425"/>
        <w:rPr>
          <w:rFonts w:ascii="Times New Roman" w:hAnsi="Times New Roman" w:cs="Times New Roman"/>
        </w:rPr>
      </w:pPr>
      <w:r w:rsidRPr="00513EF4">
        <w:rPr>
          <w:rFonts w:ascii="Times New Roman" w:hAnsi="Times New Roman" w:cs="Times New Roman"/>
          <w:color w:val="C00000"/>
          <w:shd w:val="clear" w:color="auto" w:fill="E8E8E8"/>
        </w:rPr>
        <w:t>nie zadbał</w:t>
      </w:r>
      <w:r w:rsidRPr="00513EF4">
        <w:rPr>
          <w:rFonts w:ascii="Times New Roman" w:hAnsi="Times New Roman" w:cs="Times New Roman"/>
        </w:rPr>
        <w:t xml:space="preserve"> </w:t>
      </w:r>
      <w:r w:rsidRPr="00513EF4">
        <w:rPr>
          <w:rFonts w:ascii="Times New Roman" w:hAnsi="Times New Roman" w:cs="Times New Roman"/>
          <w:color w:val="C00000"/>
          <w:shd w:val="clear" w:color="auto" w:fill="E8E8E8"/>
        </w:rPr>
        <w:t>o sformułowanie jasnych zapisów</w:t>
      </w:r>
      <w:r w:rsidRPr="00513EF4">
        <w:rPr>
          <w:rFonts w:ascii="Times New Roman" w:hAnsi="Times New Roman" w:cs="Times New Roman"/>
        </w:rPr>
        <w:t xml:space="preserve"> w obowiązującym obecnie (…),</w:t>
      </w:r>
    </w:p>
    <w:p w14:paraId="15A3D345" w14:textId="77777777" w:rsidR="00453D21" w:rsidRPr="00513EF4" w:rsidRDefault="00453D21" w:rsidP="001F6BE3">
      <w:pPr>
        <w:pStyle w:val="Standard"/>
        <w:numPr>
          <w:ilvl w:val="0"/>
          <w:numId w:val="51"/>
        </w:numPr>
        <w:ind w:left="567" w:hanging="425"/>
        <w:rPr>
          <w:rFonts w:ascii="Times New Roman" w:hAnsi="Times New Roman" w:cs="Times New Roman"/>
        </w:rPr>
      </w:pPr>
      <w:r w:rsidRPr="00513EF4">
        <w:rPr>
          <w:rFonts w:ascii="Times New Roman" w:hAnsi="Times New Roman" w:cs="Times New Roman"/>
        </w:rPr>
        <w:t xml:space="preserve">urząd </w:t>
      </w:r>
      <w:r w:rsidRPr="00513EF4">
        <w:rPr>
          <w:rFonts w:ascii="Times New Roman" w:hAnsi="Times New Roman" w:cs="Times New Roman"/>
          <w:color w:val="C00000"/>
          <w:shd w:val="clear" w:color="auto" w:fill="E8E8E8"/>
        </w:rPr>
        <w:t>nie sprostał</w:t>
      </w:r>
      <w:r w:rsidRPr="00513EF4">
        <w:rPr>
          <w:rFonts w:ascii="Times New Roman" w:hAnsi="Times New Roman" w:cs="Times New Roman"/>
        </w:rPr>
        <w:t xml:space="preserve"> także </w:t>
      </w:r>
      <w:r w:rsidRPr="00513EF4">
        <w:rPr>
          <w:rFonts w:ascii="Times New Roman" w:hAnsi="Times New Roman" w:cs="Times New Roman"/>
          <w:color w:val="C00000"/>
          <w:shd w:val="clear" w:color="auto" w:fill="E8E8E8"/>
        </w:rPr>
        <w:t>zadaniu</w:t>
      </w:r>
      <w:r w:rsidRPr="00513EF4">
        <w:rPr>
          <w:rFonts w:ascii="Times New Roman" w:hAnsi="Times New Roman" w:cs="Times New Roman"/>
        </w:rPr>
        <w:t xml:space="preserve"> </w:t>
      </w:r>
      <w:r w:rsidRPr="00513EF4">
        <w:rPr>
          <w:rFonts w:ascii="Times New Roman" w:hAnsi="Times New Roman" w:cs="Times New Roman"/>
          <w:color w:val="C00000"/>
          <w:shd w:val="clear" w:color="auto" w:fill="E8E8E8"/>
        </w:rPr>
        <w:t>przestrzegania</w:t>
      </w:r>
      <w:r w:rsidRPr="00513EF4">
        <w:rPr>
          <w:rFonts w:ascii="Times New Roman" w:hAnsi="Times New Roman" w:cs="Times New Roman"/>
        </w:rPr>
        <w:t xml:space="preserve"> obowiązującego obecnie (zaledwie od pięciu lat) </w:t>
      </w:r>
      <w:r w:rsidRPr="00513EF4">
        <w:rPr>
          <w:rFonts w:ascii="Times New Roman" w:hAnsi="Times New Roman" w:cs="Times New Roman"/>
          <w:color w:val="C00000"/>
          <w:shd w:val="clear" w:color="auto" w:fill="E8E8E8"/>
        </w:rPr>
        <w:t>rozporządzenia</w:t>
      </w:r>
      <w:r w:rsidRPr="00513EF4">
        <w:rPr>
          <w:rFonts w:ascii="Times New Roman" w:hAnsi="Times New Roman" w:cs="Times New Roman"/>
        </w:rPr>
        <w:t xml:space="preserve"> (…),</w:t>
      </w:r>
    </w:p>
    <w:p w14:paraId="0E972D04" w14:textId="77777777" w:rsidR="00513EF4" w:rsidRPr="00513EF4" w:rsidRDefault="00513EF4" w:rsidP="00DB51DA">
      <w:pPr>
        <w:pStyle w:val="Standard"/>
        <w:ind w:left="567" w:hanging="567"/>
        <w:rPr>
          <w:rFonts w:hint="eastAsia"/>
          <w:sz w:val="10"/>
          <w:szCs w:val="4"/>
        </w:rPr>
      </w:pPr>
    </w:p>
    <w:p w14:paraId="48ECAE3F" w14:textId="08D25CF4" w:rsidR="00453D21" w:rsidRDefault="007359F4" w:rsidP="00DB51DA">
      <w:pPr>
        <w:pStyle w:val="Standard"/>
        <w:tabs>
          <w:tab w:val="left" w:pos="851"/>
        </w:tabs>
        <w:ind w:left="567"/>
        <w:rPr>
          <w:rFonts w:hint="eastAsia"/>
        </w:rPr>
      </w:pPr>
      <w:r>
        <w:lastRenderedPageBreak/>
        <w:t xml:space="preserve"> </w:t>
      </w:r>
      <w:r w:rsidR="00453D21">
        <w:t xml:space="preserve">Urząd Patentowy </w:t>
      </w:r>
      <w:r w:rsidR="00453D21">
        <w:rPr>
          <w:color w:val="C00000"/>
          <w:shd w:val="clear" w:color="auto" w:fill="E8E8E8"/>
        </w:rPr>
        <w:t>nie podołał</w:t>
      </w:r>
      <w:r w:rsidR="00453D21">
        <w:t xml:space="preserve"> również </w:t>
      </w:r>
      <w:r w:rsidR="00453D21">
        <w:rPr>
          <w:color w:val="C00000"/>
          <w:shd w:val="clear" w:color="auto" w:fill="E8E8E8"/>
        </w:rPr>
        <w:t xml:space="preserve">obowiązkowi </w:t>
      </w:r>
      <w:r w:rsidR="00453D21">
        <w:t xml:space="preserve">bieżącego </w:t>
      </w:r>
      <w:r w:rsidR="00453D21">
        <w:rPr>
          <w:color w:val="C00000"/>
          <w:shd w:val="clear" w:color="auto" w:fill="E8E8E8"/>
        </w:rPr>
        <w:t xml:space="preserve">udostępniania informacji o </w:t>
      </w:r>
      <w:r w:rsidR="00453D21">
        <w:t xml:space="preserve">wydanych </w:t>
      </w:r>
      <w:r w:rsidR="00453D21">
        <w:rPr>
          <w:color w:val="C00000"/>
          <w:shd w:val="clear" w:color="auto" w:fill="E8E8E8"/>
        </w:rPr>
        <w:t>decyzjach</w:t>
      </w:r>
      <w:r w:rsidR="00453D21">
        <w:t xml:space="preserve"> dotyczących </w:t>
      </w:r>
      <w:r w:rsidR="00453D21">
        <w:rPr>
          <w:color w:val="C00000"/>
          <w:shd w:val="clear" w:color="auto" w:fill="E8E8E8"/>
        </w:rPr>
        <w:t>danego prawa</w:t>
      </w:r>
      <w:r w:rsidR="00453D21">
        <w:t xml:space="preserve"> udzielonego przez ten Urząd (…),</w:t>
      </w:r>
    </w:p>
    <w:p w14:paraId="105A5ED3" w14:textId="77777777" w:rsidR="00453D21" w:rsidRDefault="00453D21" w:rsidP="00DB51DA">
      <w:pPr>
        <w:pStyle w:val="Standard"/>
        <w:tabs>
          <w:tab w:val="left" w:pos="851"/>
        </w:tabs>
        <w:ind w:left="567"/>
        <w:rPr>
          <w:rFonts w:hint="eastAsia"/>
        </w:rPr>
      </w:pPr>
      <w:r>
        <w:t xml:space="preserve">7) projekt nowej ustawy Prawo własności przemysłowej UD263 - </w:t>
      </w:r>
      <w:r>
        <w:rPr>
          <w:color w:val="C00000"/>
          <w:shd w:val="clear" w:color="auto" w:fill="E8E8E8"/>
        </w:rPr>
        <w:t>jest tak nieudany</w:t>
      </w:r>
      <w:r>
        <w:t xml:space="preserve">, </w:t>
      </w:r>
      <w:r>
        <w:rPr>
          <w:color w:val="C00000"/>
          <w:shd w:val="clear" w:color="auto" w:fill="E8E8E8"/>
        </w:rPr>
        <w:t>że najwłaściwszym będzie</w:t>
      </w:r>
      <w:r>
        <w:t>, gdy (…);</w:t>
      </w:r>
    </w:p>
    <w:p w14:paraId="75F48264" w14:textId="77777777" w:rsidR="00453D21" w:rsidRDefault="00453D21" w:rsidP="00DB51DA">
      <w:pPr>
        <w:pStyle w:val="Standard"/>
        <w:tabs>
          <w:tab w:val="left" w:pos="851"/>
        </w:tabs>
        <w:ind w:left="567"/>
        <w:rPr>
          <w:rFonts w:hint="eastAsia"/>
        </w:rPr>
      </w:pPr>
      <w:r>
        <w:t xml:space="preserve">8) jest oczywiste, że (…) </w:t>
      </w:r>
      <w:r>
        <w:rPr>
          <w:color w:val="C00000"/>
          <w:shd w:val="clear" w:color="auto" w:fill="E8E8E8"/>
        </w:rPr>
        <w:t>pilną staje się</w:t>
      </w:r>
      <w:r>
        <w:t xml:space="preserve"> jeszcze </w:t>
      </w:r>
      <w:r>
        <w:rPr>
          <w:color w:val="C00000"/>
          <w:shd w:val="clear" w:color="auto" w:fill="E8E8E8"/>
        </w:rPr>
        <w:t xml:space="preserve">konieczność </w:t>
      </w:r>
      <w:r>
        <w:t>uzupełnienie rubryki „</w:t>
      </w:r>
      <w:r>
        <w:rPr>
          <w:i/>
          <w:iCs/>
        </w:rPr>
        <w:t>Zaniechanie prac nad projektem</w:t>
      </w:r>
      <w:r>
        <w:t xml:space="preserve">.”; </w:t>
      </w:r>
    </w:p>
    <w:p w14:paraId="403B29F1" w14:textId="77777777" w:rsidR="00453D21" w:rsidRDefault="00453D21" w:rsidP="00DB51DA">
      <w:pPr>
        <w:pStyle w:val="Standard"/>
        <w:tabs>
          <w:tab w:val="left" w:pos="851"/>
        </w:tabs>
        <w:ind w:left="567"/>
        <w:rPr>
          <w:rFonts w:hint="eastAsia"/>
        </w:rPr>
      </w:pPr>
      <w:r>
        <w:t xml:space="preserve">9) (…) </w:t>
      </w:r>
      <w:r>
        <w:rPr>
          <w:color w:val="C00000"/>
          <w:shd w:val="clear" w:color="auto" w:fill="E8E8E8"/>
        </w:rPr>
        <w:t>ustalenia metodyki działań naprawczych</w:t>
      </w:r>
      <w:r>
        <w:t>, które doprowadzą nareszcie do (…);</w:t>
      </w:r>
    </w:p>
    <w:p w14:paraId="38C4E6E1" w14:textId="77777777" w:rsidR="00453D21" w:rsidRDefault="00453D21" w:rsidP="00DB51DA">
      <w:pPr>
        <w:pStyle w:val="Standard"/>
        <w:tabs>
          <w:tab w:val="left" w:pos="851"/>
        </w:tabs>
        <w:ind w:left="567"/>
        <w:rPr>
          <w:rFonts w:hint="eastAsia"/>
        </w:rPr>
      </w:pPr>
      <w:r>
        <w:t xml:space="preserve">10) (…) projekt UD263 </w:t>
      </w:r>
      <w:r>
        <w:rPr>
          <w:color w:val="C00000"/>
          <w:shd w:val="clear" w:color="auto" w:fill="E8E8E8"/>
        </w:rPr>
        <w:t>nie eliminuje</w:t>
      </w:r>
      <w:r>
        <w:t xml:space="preserve"> przedstawionych wyżej </w:t>
      </w:r>
      <w:r>
        <w:rPr>
          <w:color w:val="C00000"/>
          <w:shd w:val="clear" w:color="auto" w:fill="E8E8E8"/>
        </w:rPr>
        <w:t>zagrożeń</w:t>
      </w:r>
      <w:r>
        <w:t xml:space="preserve">, przedstawia </w:t>
      </w:r>
      <w:r>
        <w:rPr>
          <w:color w:val="C00000"/>
          <w:shd w:val="clear" w:color="auto" w:fill="E8E8E8"/>
        </w:rPr>
        <w:t>kontrowersyjne przepisy</w:t>
      </w:r>
      <w:r>
        <w:t xml:space="preserve"> (…) </w:t>
      </w:r>
      <w:r>
        <w:rPr>
          <w:color w:val="C00000"/>
          <w:shd w:val="clear" w:color="auto" w:fill="E8E8E8"/>
        </w:rPr>
        <w:t>nie dopełniono</w:t>
      </w:r>
      <w:r>
        <w:t xml:space="preserve"> w nim</w:t>
      </w:r>
      <w:r>
        <w:rPr>
          <w:color w:val="C00000"/>
          <w:shd w:val="clear" w:color="auto" w:fill="E8E8E8"/>
        </w:rPr>
        <w:t xml:space="preserve"> obowiązku wskazania</w:t>
      </w:r>
      <w:r>
        <w:t xml:space="preserve"> alternatywnych </w:t>
      </w:r>
      <w:r>
        <w:rPr>
          <w:color w:val="C00000"/>
          <w:shd w:val="clear" w:color="auto" w:fill="E8E8E8"/>
        </w:rPr>
        <w:t>rozwiązań prawnych</w:t>
      </w:r>
      <w:r>
        <w:t xml:space="preserve"> (które zapobiegłyby</w:t>
      </w:r>
      <w:r>
        <w:rPr>
          <w:color w:val="C00000"/>
          <w:shd w:val="clear" w:color="auto" w:fill="E8E8E8"/>
        </w:rPr>
        <w:t xml:space="preserve"> demontowaniu</w:t>
      </w:r>
      <w:r>
        <w:t xml:space="preserve"> systemu prawa własności przemysłowej w Polsce i </w:t>
      </w:r>
      <w:r>
        <w:rPr>
          <w:color w:val="C00000"/>
          <w:shd w:val="clear" w:color="auto" w:fill="E8E8E8"/>
        </w:rPr>
        <w:t>układaniu w odmiennym porządku tych samych</w:t>
      </w:r>
      <w:r>
        <w:t xml:space="preserve"> wadliwych </w:t>
      </w:r>
      <w:r>
        <w:rPr>
          <w:color w:val="C00000"/>
          <w:shd w:val="clear" w:color="auto" w:fill="E8E8E8"/>
        </w:rPr>
        <w:t>przepisów</w:t>
      </w:r>
      <w:r>
        <w:t xml:space="preserve"> uzupełnionych o nowe, błędne), (…) UD263 - potęguje </w:t>
      </w:r>
      <w:r>
        <w:rPr>
          <w:color w:val="C00000"/>
          <w:shd w:val="clear" w:color="auto" w:fill="E8E8E8"/>
        </w:rPr>
        <w:t>stan niepewności i niepokój</w:t>
      </w:r>
      <w:r>
        <w:t xml:space="preserve"> środowisk zainteresowanych poprawieniem stanu polskiego prawa (…).</w:t>
      </w:r>
    </w:p>
    <w:p w14:paraId="008C9C17" w14:textId="77777777" w:rsidR="005D35E3" w:rsidRPr="005D35E3" w:rsidRDefault="005D35E3" w:rsidP="00DB51DA">
      <w:pPr>
        <w:pStyle w:val="Standard"/>
        <w:ind w:left="567"/>
        <w:jc w:val="both"/>
        <w:rPr>
          <w:rFonts w:hint="eastAsia"/>
          <w:sz w:val="10"/>
          <w:szCs w:val="8"/>
        </w:rPr>
      </w:pPr>
    </w:p>
    <w:p w14:paraId="74DA27E4" w14:textId="7C310B54" w:rsidR="00453D21" w:rsidRDefault="00453D21" w:rsidP="00DB51DA">
      <w:pPr>
        <w:pStyle w:val="Standard"/>
        <w:ind w:left="567"/>
        <w:jc w:val="both"/>
        <w:rPr>
          <w:rFonts w:hint="eastAsia"/>
        </w:rPr>
      </w:pPr>
      <w:r>
        <w:t>W podsumowaniu uzasadnienia projektu ustawy UD263 przeczytać można: „</w:t>
      </w:r>
      <w:r>
        <w:rPr>
          <w:i/>
          <w:iCs/>
        </w:rPr>
        <w:t>Nie ma możliwości podjęcia alternatywnych w stosunku do uchwalenia projektowanej ustawy środków umożliwiających osiągnięcie zamierzonego celu</w:t>
      </w:r>
      <w:r>
        <w:t xml:space="preserve">.” - </w:t>
      </w:r>
      <w:r>
        <w:rPr>
          <w:color w:val="C00000"/>
          <w:shd w:val="clear" w:color="auto" w:fill="E8E8E8"/>
        </w:rPr>
        <w:t>epatuje się</w:t>
      </w:r>
      <w:r>
        <w:t xml:space="preserve"> tu takimi</w:t>
      </w:r>
      <w:r>
        <w:rPr>
          <w:color w:val="C00000"/>
          <w:shd w:val="clear" w:color="auto" w:fill="E8E8E8"/>
        </w:rPr>
        <w:t xml:space="preserve"> stwierdzeniami bez </w:t>
      </w:r>
      <w:r>
        <w:t xml:space="preserve">przedstawienia </w:t>
      </w:r>
      <w:r>
        <w:rPr>
          <w:color w:val="C00000"/>
          <w:shd w:val="clear" w:color="auto" w:fill="E8E8E8"/>
        </w:rPr>
        <w:t>uzasadnienia</w:t>
      </w:r>
      <w:r>
        <w:t xml:space="preserve"> tego stanowiska. </w:t>
      </w:r>
    </w:p>
    <w:p w14:paraId="70395414" w14:textId="77777777" w:rsidR="00453D21" w:rsidRPr="00FA3A7E" w:rsidRDefault="00453D21" w:rsidP="00453D21">
      <w:pPr>
        <w:pStyle w:val="Standard"/>
        <w:jc w:val="center"/>
        <w:rPr>
          <w:rFonts w:hint="eastAsia"/>
        </w:rPr>
      </w:pPr>
    </w:p>
    <w:p w14:paraId="625B8604" w14:textId="77777777" w:rsidR="00453D21" w:rsidRDefault="00453D21" w:rsidP="00453D21">
      <w:pPr>
        <w:pStyle w:val="Standard"/>
        <w:jc w:val="center"/>
        <w:rPr>
          <w:rFonts w:hint="eastAsia"/>
        </w:rPr>
      </w:pPr>
      <w:r>
        <w:t>* * *</w:t>
      </w:r>
    </w:p>
    <w:p w14:paraId="6C311FF1" w14:textId="77777777" w:rsidR="00453D21" w:rsidRPr="009306C5" w:rsidRDefault="00453D21" w:rsidP="009306C5">
      <w:pPr>
        <w:pStyle w:val="Standard"/>
        <w:jc w:val="both"/>
        <w:rPr>
          <w:rFonts w:hint="eastAsia"/>
        </w:rPr>
      </w:pPr>
      <w:r w:rsidRPr="009306C5">
        <w:rPr>
          <w:b/>
          <w:bCs/>
        </w:rPr>
        <w:t xml:space="preserve">Kamila KRÓL, Podsekretarz stanu w Ministerstwie Rozwoju i Technologii oraz Edyta DEMBY-SIWEK, Prezes Urzędu Patentowego RP w czasie posiedzenia Komisji Sejmowej: </w:t>
      </w:r>
      <w:hyperlink r:id="rId13" w:history="1">
        <w:r w:rsidRPr="00397E68">
          <w:rPr>
            <w:color w:val="2E74B5" w:themeColor="accent5" w:themeShade="BF"/>
          </w:rPr>
          <w:t>https://orka.sejm.gov.pl/za</w:t>
        </w:r>
        <w:bookmarkStart w:id="5" w:name="_Hlt168220824"/>
        <w:bookmarkStart w:id="6" w:name="_Hlt168220825"/>
        <w:r w:rsidRPr="00397E68">
          <w:rPr>
            <w:color w:val="2E74B5" w:themeColor="accent5" w:themeShade="BF"/>
          </w:rPr>
          <w:t>p</w:t>
        </w:r>
        <w:bookmarkEnd w:id="5"/>
        <w:bookmarkEnd w:id="6"/>
        <w:r w:rsidRPr="00397E68">
          <w:rPr>
            <w:color w:val="2E74B5" w:themeColor="accent5" w:themeShade="BF"/>
          </w:rPr>
          <w:t>isy9.nsf/0/F653D708A7088ED6C125890B004A56AA/%24File/03250</w:t>
        </w:r>
        <w:bookmarkStart w:id="7" w:name="_Hlt168111612"/>
        <w:bookmarkEnd w:id="7"/>
        <w:r w:rsidRPr="00397E68">
          <w:rPr>
            <w:color w:val="2E74B5" w:themeColor="accent5" w:themeShade="BF"/>
          </w:rPr>
          <w:t xml:space="preserve">09 </w:t>
        </w:r>
      </w:hyperlink>
      <w:hyperlink r:id="rId14" w:history="1">
        <w:r w:rsidRPr="00397E68">
          <w:rPr>
            <w:color w:val="2E74B5" w:themeColor="accent5" w:themeShade="BF"/>
          </w:rPr>
          <w:t>.pdf</w:t>
        </w:r>
      </w:hyperlink>
      <w:hyperlink r:id="rId15" w:history="1">
        <w:r w:rsidRPr="00397E68">
          <w:rPr>
            <w:color w:val="2E74B5" w:themeColor="accent5" w:themeShade="BF"/>
          </w:rPr>
          <w:t xml:space="preserve"> </w:t>
        </w:r>
      </w:hyperlink>
      <w:r w:rsidRPr="00397E68">
        <w:rPr>
          <w:color w:val="2E74B5" w:themeColor="accent5" w:themeShade="BF"/>
        </w:rPr>
        <w:t xml:space="preserve">: </w:t>
      </w:r>
      <w:r w:rsidRPr="009306C5">
        <w:rPr>
          <w:b/>
        </w:rPr>
        <w:t>zapewniały parlamentarzystów o sukcesach Urzędu Patentowego RP</w:t>
      </w:r>
    </w:p>
    <w:p w14:paraId="33A34E3F" w14:textId="77777777" w:rsidR="00453D21" w:rsidRPr="009306C5" w:rsidRDefault="00453D21" w:rsidP="009306C5">
      <w:pPr>
        <w:pStyle w:val="Standard"/>
        <w:jc w:val="both"/>
        <w:rPr>
          <w:rFonts w:hint="eastAsia"/>
        </w:rPr>
      </w:pPr>
      <w:r w:rsidRPr="009306C5">
        <w:rPr>
          <w:b/>
          <w:bCs/>
          <w:shd w:val="clear" w:color="auto" w:fill="E8E8E8"/>
        </w:rPr>
        <w:t>2022.11.16</w:t>
      </w:r>
      <w:r w:rsidRPr="009306C5">
        <w:t>:</w:t>
      </w:r>
    </w:p>
    <w:p w14:paraId="1AFD9DBB" w14:textId="77777777" w:rsidR="00453D21" w:rsidRPr="009306C5" w:rsidRDefault="00453D21" w:rsidP="009306C5">
      <w:pPr>
        <w:spacing w:after="0" w:line="240" w:lineRule="auto"/>
        <w:ind w:right="839"/>
        <w:jc w:val="both"/>
        <w:rPr>
          <w:rFonts w:ascii="Times New Roman" w:hAnsi="Times New Roman" w:cs="Times New Roman"/>
          <w:sz w:val="24"/>
          <w:szCs w:val="24"/>
        </w:rPr>
      </w:pPr>
      <w:r w:rsidRPr="009306C5">
        <w:rPr>
          <w:rFonts w:ascii="Times New Roman" w:hAnsi="Times New Roman" w:cs="Times New Roman"/>
          <w:b/>
          <w:iCs/>
          <w:color w:val="00000A"/>
          <w:sz w:val="24"/>
          <w:szCs w:val="24"/>
        </w:rPr>
        <w:t>Podsekretarz stanu w Ministerstwie Rozwoju i Technologii Kamila KRÓL</w:t>
      </w:r>
      <w:r w:rsidRPr="009306C5">
        <w:rPr>
          <w:rFonts w:ascii="Times New Roman" w:hAnsi="Times New Roman" w:cs="Times New Roman"/>
          <w:iCs/>
          <w:color w:val="00000A"/>
          <w:sz w:val="24"/>
          <w:szCs w:val="24"/>
        </w:rPr>
        <w:t>: (…)</w:t>
      </w:r>
    </w:p>
    <w:p w14:paraId="0E98D66B" w14:textId="77777777" w:rsidR="00453D21" w:rsidRPr="009306C5" w:rsidRDefault="00453D21" w:rsidP="00DB51DA">
      <w:pPr>
        <w:spacing w:after="0" w:line="240" w:lineRule="auto"/>
        <w:ind w:left="567" w:right="-26"/>
        <w:jc w:val="both"/>
        <w:rPr>
          <w:rFonts w:ascii="Times New Roman" w:hAnsi="Times New Roman" w:cs="Times New Roman"/>
          <w:sz w:val="24"/>
          <w:szCs w:val="24"/>
        </w:rPr>
      </w:pPr>
      <w:r w:rsidRPr="009306C5">
        <w:rPr>
          <w:rFonts w:ascii="Times New Roman" w:hAnsi="Times New Roman" w:cs="Times New Roman"/>
          <w:iCs/>
          <w:color w:val="00000A"/>
          <w:sz w:val="24"/>
          <w:szCs w:val="24"/>
        </w:rPr>
        <w:t>Jeśli chodzi o </w:t>
      </w:r>
      <w:r w:rsidRPr="009306C5">
        <w:rPr>
          <w:rFonts w:ascii="Times New Roman" w:hAnsi="Times New Roman" w:cs="Times New Roman"/>
          <w:bCs/>
          <w:iCs/>
          <w:color w:val="C00000"/>
          <w:sz w:val="24"/>
          <w:szCs w:val="24"/>
          <w:shd w:val="clear" w:color="auto" w:fill="E8E8E8"/>
        </w:rPr>
        <w:t>nowy</w:t>
      </w:r>
      <w:r w:rsidRPr="009306C5">
        <w:rPr>
          <w:rFonts w:ascii="Times New Roman" w:hAnsi="Times New Roman" w:cs="Times New Roman"/>
          <w:iCs/>
          <w:color w:val="00000A"/>
          <w:sz w:val="24"/>
          <w:szCs w:val="24"/>
        </w:rPr>
        <w:t xml:space="preserve"> </w:t>
      </w:r>
      <w:r w:rsidRPr="009306C5">
        <w:rPr>
          <w:rFonts w:ascii="Times New Roman" w:hAnsi="Times New Roman" w:cs="Times New Roman"/>
          <w:bCs/>
          <w:iCs/>
          <w:color w:val="C00000"/>
          <w:sz w:val="24"/>
          <w:szCs w:val="24"/>
          <w:shd w:val="clear" w:color="auto" w:fill="E8E8E8"/>
        </w:rPr>
        <w:t>projekt ustawy</w:t>
      </w:r>
      <w:r w:rsidRPr="009306C5">
        <w:rPr>
          <w:rFonts w:ascii="Times New Roman" w:hAnsi="Times New Roman" w:cs="Times New Roman"/>
          <w:iCs/>
          <w:color w:val="00000A"/>
          <w:sz w:val="24"/>
          <w:szCs w:val="24"/>
        </w:rPr>
        <w:t xml:space="preserve"> - Prawo własności przemysłowej, to </w:t>
      </w:r>
      <w:r w:rsidRPr="009306C5">
        <w:rPr>
          <w:rFonts w:ascii="Times New Roman" w:hAnsi="Times New Roman" w:cs="Times New Roman"/>
          <w:bCs/>
          <w:iCs/>
          <w:color w:val="C00000"/>
          <w:sz w:val="24"/>
          <w:szCs w:val="24"/>
          <w:shd w:val="clear" w:color="auto" w:fill="E8E8E8"/>
        </w:rPr>
        <w:t>ma</w:t>
      </w:r>
      <w:r w:rsidRPr="009306C5">
        <w:rPr>
          <w:rFonts w:ascii="Times New Roman" w:hAnsi="Times New Roman" w:cs="Times New Roman"/>
          <w:iCs/>
          <w:color w:val="00000A"/>
          <w:sz w:val="24"/>
          <w:szCs w:val="24"/>
        </w:rPr>
        <w:t xml:space="preserve"> on </w:t>
      </w:r>
      <w:r w:rsidRPr="009306C5">
        <w:rPr>
          <w:rFonts w:ascii="Times New Roman" w:hAnsi="Times New Roman" w:cs="Times New Roman"/>
          <w:bCs/>
          <w:iCs/>
          <w:color w:val="C00000"/>
          <w:sz w:val="24"/>
          <w:szCs w:val="24"/>
          <w:shd w:val="clear" w:color="auto" w:fill="E8E8E8"/>
        </w:rPr>
        <w:t>na celu</w:t>
      </w:r>
      <w:r w:rsidRPr="009306C5">
        <w:rPr>
          <w:rFonts w:ascii="Times New Roman" w:hAnsi="Times New Roman" w:cs="Times New Roman"/>
          <w:iCs/>
          <w:color w:val="00000A"/>
          <w:sz w:val="24"/>
          <w:szCs w:val="24"/>
        </w:rPr>
        <w:t xml:space="preserve"> </w:t>
      </w:r>
      <w:r w:rsidRPr="009306C5">
        <w:rPr>
          <w:rFonts w:ascii="Times New Roman" w:hAnsi="Times New Roman" w:cs="Times New Roman"/>
          <w:bCs/>
          <w:iCs/>
          <w:color w:val="C00000"/>
          <w:sz w:val="24"/>
          <w:szCs w:val="24"/>
          <w:shd w:val="clear" w:color="auto" w:fill="E8E8E8"/>
        </w:rPr>
        <w:t>w sposób kompleksowy uregulować</w:t>
      </w:r>
      <w:r w:rsidRPr="009306C5">
        <w:rPr>
          <w:rFonts w:ascii="Times New Roman" w:hAnsi="Times New Roman" w:cs="Times New Roman"/>
          <w:iCs/>
          <w:color w:val="00000A"/>
          <w:sz w:val="24"/>
          <w:szCs w:val="24"/>
        </w:rPr>
        <w:t xml:space="preserve"> zagadnienia związane z ochroną własności (…).</w:t>
      </w:r>
    </w:p>
    <w:p w14:paraId="1866854A" w14:textId="77777777" w:rsidR="00453D21" w:rsidRPr="009306C5" w:rsidRDefault="00453D21" w:rsidP="00DB51DA">
      <w:pPr>
        <w:spacing w:after="0" w:line="240" w:lineRule="auto"/>
        <w:ind w:left="567" w:right="-26"/>
        <w:jc w:val="both"/>
        <w:rPr>
          <w:rFonts w:ascii="Times New Roman" w:hAnsi="Times New Roman" w:cs="Times New Roman"/>
          <w:sz w:val="24"/>
          <w:szCs w:val="24"/>
        </w:rPr>
      </w:pPr>
      <w:r w:rsidRPr="009306C5">
        <w:rPr>
          <w:rFonts w:ascii="Times New Roman" w:hAnsi="Times New Roman" w:cs="Times New Roman"/>
          <w:iCs/>
          <w:color w:val="00000A"/>
          <w:sz w:val="24"/>
          <w:szCs w:val="24"/>
        </w:rPr>
        <w:t xml:space="preserve">Generalnie rzecz ujmując, przedstawione przeze mnie </w:t>
      </w:r>
      <w:r w:rsidRPr="009306C5">
        <w:rPr>
          <w:rFonts w:ascii="Times New Roman" w:hAnsi="Times New Roman" w:cs="Times New Roman"/>
          <w:bCs/>
          <w:iCs/>
          <w:color w:val="C00000"/>
          <w:sz w:val="24"/>
          <w:szCs w:val="24"/>
          <w:shd w:val="clear" w:color="auto" w:fill="E8E8E8"/>
        </w:rPr>
        <w:t xml:space="preserve">działania przyczyniły się do awansu Polski </w:t>
      </w:r>
      <w:r w:rsidRPr="009306C5">
        <w:rPr>
          <w:rFonts w:ascii="Times New Roman" w:hAnsi="Times New Roman" w:cs="Times New Roman"/>
          <w:bCs/>
          <w:iCs/>
          <w:color w:val="00000A"/>
          <w:sz w:val="24"/>
          <w:szCs w:val="24"/>
        </w:rPr>
        <w:t xml:space="preserve">(…). </w:t>
      </w:r>
      <w:r w:rsidRPr="009306C5">
        <w:rPr>
          <w:rFonts w:ascii="Times New Roman" w:hAnsi="Times New Roman" w:cs="Times New Roman"/>
          <w:iCs/>
          <w:color w:val="00000A"/>
          <w:sz w:val="24"/>
          <w:szCs w:val="24"/>
        </w:rPr>
        <w:t>Przewodniczący poseł Krzysztof TCHÓRZEWSKI (</w:t>
      </w:r>
      <w:r w:rsidRPr="009306C5">
        <w:rPr>
          <w:rFonts w:ascii="Times New Roman" w:hAnsi="Times New Roman" w:cs="Times New Roman"/>
          <w:bCs/>
          <w:iCs/>
          <w:color w:val="C00000"/>
          <w:sz w:val="24"/>
          <w:szCs w:val="24"/>
          <w:shd w:val="clear" w:color="auto" w:fill="E8E8E8"/>
        </w:rPr>
        <w:t>PiS</w:t>
      </w:r>
      <w:r w:rsidRPr="009306C5">
        <w:rPr>
          <w:rFonts w:ascii="Times New Roman" w:hAnsi="Times New Roman" w:cs="Times New Roman"/>
          <w:iCs/>
          <w:color w:val="00000A"/>
          <w:sz w:val="24"/>
          <w:szCs w:val="24"/>
        </w:rPr>
        <w:t xml:space="preserve">): Dziękuję bardzo. Poproszę teraz panią prezes Edytę DEMBY-SIWEK o przedstawienie swojej informacji. </w:t>
      </w:r>
      <w:r w:rsidRPr="009306C5">
        <w:rPr>
          <w:rFonts w:ascii="Times New Roman" w:hAnsi="Times New Roman" w:cs="Times New Roman"/>
          <w:iCs/>
          <w:sz w:val="24"/>
          <w:szCs w:val="24"/>
        </w:rPr>
        <w:t xml:space="preserve"> </w:t>
      </w:r>
    </w:p>
    <w:p w14:paraId="30142720" w14:textId="77777777" w:rsidR="00453D21" w:rsidRPr="009306C5" w:rsidRDefault="00453D21" w:rsidP="009306C5">
      <w:pPr>
        <w:spacing w:after="0" w:line="240" w:lineRule="auto"/>
        <w:ind w:left="567" w:hanging="567"/>
        <w:rPr>
          <w:rFonts w:ascii="Times New Roman" w:hAnsi="Times New Roman" w:cs="Times New Roman"/>
          <w:sz w:val="24"/>
          <w:szCs w:val="24"/>
        </w:rPr>
      </w:pPr>
      <w:r w:rsidRPr="009306C5">
        <w:rPr>
          <w:rFonts w:ascii="Times New Roman" w:hAnsi="Times New Roman" w:cs="Times New Roman"/>
          <w:b/>
          <w:iCs/>
          <w:color w:val="00000A"/>
          <w:sz w:val="24"/>
          <w:szCs w:val="24"/>
        </w:rPr>
        <w:t>Prezes Urzędu Patentowego Rzeczypospolitej Polskiej Edyta DEMBY-SIWEK</w:t>
      </w:r>
      <w:r w:rsidRPr="009306C5">
        <w:rPr>
          <w:rFonts w:ascii="Times New Roman" w:hAnsi="Times New Roman" w:cs="Times New Roman"/>
          <w:bCs/>
          <w:iCs/>
          <w:color w:val="00000A"/>
          <w:sz w:val="24"/>
          <w:szCs w:val="24"/>
        </w:rPr>
        <w:t>:</w:t>
      </w:r>
      <w:r w:rsidRPr="009306C5">
        <w:rPr>
          <w:rFonts w:ascii="Times New Roman" w:hAnsi="Times New Roman" w:cs="Times New Roman"/>
          <w:b/>
          <w:iCs/>
          <w:color w:val="00000A"/>
          <w:sz w:val="24"/>
          <w:szCs w:val="24"/>
        </w:rPr>
        <w:t xml:space="preserve"> </w:t>
      </w:r>
      <w:r w:rsidRPr="009306C5">
        <w:rPr>
          <w:rFonts w:ascii="Times New Roman" w:hAnsi="Times New Roman" w:cs="Times New Roman"/>
          <w:bCs/>
          <w:iCs/>
          <w:color w:val="00000A"/>
          <w:sz w:val="24"/>
          <w:szCs w:val="24"/>
        </w:rPr>
        <w:t>(…)</w:t>
      </w:r>
    </w:p>
    <w:p w14:paraId="102DB5CB" w14:textId="3F24AD27" w:rsidR="00453D21" w:rsidRPr="009306C5" w:rsidRDefault="00453D21" w:rsidP="00DB51DA">
      <w:pPr>
        <w:spacing w:after="0" w:line="240" w:lineRule="auto"/>
        <w:ind w:left="567" w:right="53"/>
        <w:jc w:val="both"/>
        <w:rPr>
          <w:rFonts w:ascii="Times New Roman" w:hAnsi="Times New Roman" w:cs="Times New Roman"/>
          <w:sz w:val="24"/>
          <w:szCs w:val="24"/>
        </w:rPr>
      </w:pPr>
      <w:r w:rsidRPr="009306C5">
        <w:rPr>
          <w:rFonts w:ascii="Times New Roman" w:hAnsi="Times New Roman" w:cs="Times New Roman"/>
          <w:bCs/>
          <w:iCs/>
          <w:color w:val="C00000"/>
          <w:sz w:val="24"/>
          <w:szCs w:val="24"/>
          <w:shd w:val="clear" w:color="auto" w:fill="E8E8E8"/>
        </w:rPr>
        <w:t>jest też elementem</w:t>
      </w:r>
      <w:r w:rsidRPr="009306C5">
        <w:rPr>
          <w:rFonts w:ascii="Times New Roman" w:hAnsi="Times New Roman" w:cs="Times New Roman"/>
          <w:iCs/>
          <w:sz w:val="24"/>
          <w:szCs w:val="24"/>
        </w:rPr>
        <w:t xml:space="preserve"> uczciwej i korzystnej </w:t>
      </w:r>
      <w:r w:rsidRPr="009306C5">
        <w:rPr>
          <w:rFonts w:ascii="Times New Roman" w:hAnsi="Times New Roman" w:cs="Times New Roman"/>
          <w:bCs/>
          <w:iCs/>
          <w:color w:val="C00000"/>
          <w:sz w:val="24"/>
          <w:szCs w:val="24"/>
          <w:shd w:val="clear" w:color="auto" w:fill="E8E8E8"/>
        </w:rPr>
        <w:t>optymalizacji podatkowej</w:t>
      </w:r>
      <w:r w:rsidRPr="009306C5">
        <w:rPr>
          <w:rFonts w:ascii="Times New Roman" w:hAnsi="Times New Roman" w:cs="Times New Roman"/>
          <w:iCs/>
          <w:sz w:val="24"/>
          <w:szCs w:val="24"/>
        </w:rPr>
        <w:t xml:space="preserve">, o której pani Minister mówiła, w zakresie </w:t>
      </w:r>
      <w:r w:rsidRPr="009306C5">
        <w:rPr>
          <w:rFonts w:ascii="Times New Roman" w:hAnsi="Times New Roman" w:cs="Times New Roman"/>
          <w:bCs/>
          <w:iCs/>
          <w:color w:val="C00000"/>
          <w:sz w:val="24"/>
          <w:szCs w:val="24"/>
          <w:shd w:val="clear" w:color="auto" w:fill="E8E8E8"/>
        </w:rPr>
        <w:t>IP Box</w:t>
      </w:r>
      <w:r w:rsidRPr="009306C5">
        <w:rPr>
          <w:rFonts w:ascii="Times New Roman" w:hAnsi="Times New Roman" w:cs="Times New Roman"/>
          <w:iCs/>
          <w:sz w:val="24"/>
          <w:szCs w:val="24"/>
        </w:rPr>
        <w:t xml:space="preserve">. (…) </w:t>
      </w:r>
      <w:r w:rsidRPr="009306C5">
        <w:rPr>
          <w:rFonts w:ascii="Times New Roman" w:hAnsi="Times New Roman" w:cs="Times New Roman"/>
          <w:b/>
          <w:iCs/>
          <w:sz w:val="24"/>
          <w:szCs w:val="24"/>
        </w:rPr>
        <w:t xml:space="preserve"> </w:t>
      </w:r>
    </w:p>
    <w:p w14:paraId="44A3E4F1" w14:textId="77777777" w:rsidR="00453D21" w:rsidRPr="009306C5" w:rsidRDefault="00453D21" w:rsidP="00DB51DA">
      <w:pPr>
        <w:spacing w:after="0" w:line="240" w:lineRule="auto"/>
        <w:ind w:left="567"/>
        <w:jc w:val="both"/>
        <w:rPr>
          <w:rFonts w:ascii="Times New Roman" w:hAnsi="Times New Roman" w:cs="Times New Roman"/>
          <w:sz w:val="24"/>
          <w:szCs w:val="24"/>
        </w:rPr>
      </w:pPr>
      <w:r w:rsidRPr="009306C5">
        <w:rPr>
          <w:rFonts w:ascii="Times New Roman" w:hAnsi="Times New Roman" w:cs="Times New Roman"/>
          <w:bCs/>
          <w:iCs/>
          <w:color w:val="C00000"/>
          <w:sz w:val="24"/>
          <w:szCs w:val="24"/>
          <w:shd w:val="clear" w:color="auto" w:fill="E8E8E8"/>
        </w:rPr>
        <w:t>szereg przedsięwzięć promocyjnych</w:t>
      </w:r>
      <w:r w:rsidRPr="009306C5">
        <w:rPr>
          <w:rFonts w:ascii="Times New Roman" w:hAnsi="Times New Roman" w:cs="Times New Roman"/>
          <w:iCs/>
          <w:sz w:val="24"/>
          <w:szCs w:val="24"/>
        </w:rPr>
        <w:t xml:space="preserve">, takich jak </w:t>
      </w:r>
      <w:r w:rsidRPr="009306C5">
        <w:rPr>
          <w:rFonts w:ascii="Times New Roman" w:hAnsi="Times New Roman" w:cs="Times New Roman"/>
          <w:bCs/>
          <w:iCs/>
          <w:color w:val="C00000"/>
          <w:sz w:val="24"/>
          <w:szCs w:val="24"/>
          <w:shd w:val="clear" w:color="auto" w:fill="E8E8E8"/>
        </w:rPr>
        <w:t>seminaria, konferencje, webinaria.</w:t>
      </w:r>
      <w:r w:rsidRPr="009306C5">
        <w:rPr>
          <w:rFonts w:ascii="Times New Roman" w:hAnsi="Times New Roman" w:cs="Times New Roman"/>
          <w:iCs/>
          <w:sz w:val="24"/>
          <w:szCs w:val="24"/>
        </w:rPr>
        <w:t xml:space="preserve"> (…).</w:t>
      </w:r>
      <w:r w:rsidRPr="009306C5">
        <w:rPr>
          <w:rFonts w:ascii="Times New Roman" w:hAnsi="Times New Roman" w:cs="Times New Roman"/>
          <w:sz w:val="24"/>
          <w:szCs w:val="24"/>
        </w:rPr>
        <w:t xml:space="preserve"> </w:t>
      </w:r>
      <w:r w:rsidRPr="009306C5">
        <w:rPr>
          <w:rFonts w:ascii="Times New Roman" w:hAnsi="Times New Roman" w:cs="Times New Roman"/>
          <w:iCs/>
          <w:sz w:val="24"/>
          <w:szCs w:val="24"/>
        </w:rPr>
        <w:t xml:space="preserve">a sam </w:t>
      </w:r>
      <w:r w:rsidRPr="009306C5">
        <w:rPr>
          <w:rFonts w:ascii="Times New Roman" w:hAnsi="Times New Roman" w:cs="Times New Roman"/>
          <w:bCs/>
          <w:iCs/>
          <w:color w:val="C00000"/>
          <w:sz w:val="24"/>
          <w:szCs w:val="24"/>
          <w:shd w:val="clear" w:color="auto" w:fill="E8E8E8"/>
        </w:rPr>
        <w:t>projekt ustawy</w:t>
      </w:r>
      <w:r w:rsidRPr="009306C5">
        <w:rPr>
          <w:rFonts w:ascii="Times New Roman" w:hAnsi="Times New Roman" w:cs="Times New Roman"/>
          <w:iCs/>
          <w:sz w:val="24"/>
          <w:szCs w:val="24"/>
        </w:rPr>
        <w:t xml:space="preserve">, o której </w:t>
      </w:r>
      <w:r w:rsidRPr="009306C5">
        <w:rPr>
          <w:rFonts w:ascii="Times New Roman" w:hAnsi="Times New Roman" w:cs="Times New Roman"/>
          <w:bCs/>
          <w:iCs/>
          <w:color w:val="C00000"/>
          <w:sz w:val="24"/>
          <w:szCs w:val="24"/>
          <w:shd w:val="clear" w:color="auto" w:fill="E8E8E8"/>
        </w:rPr>
        <w:t>mówiła pani Minister</w:t>
      </w:r>
      <w:r w:rsidRPr="009306C5">
        <w:rPr>
          <w:rFonts w:ascii="Times New Roman" w:hAnsi="Times New Roman" w:cs="Times New Roman"/>
          <w:iCs/>
          <w:sz w:val="24"/>
          <w:szCs w:val="24"/>
        </w:rPr>
        <w:t>, przewiduje (…).</w:t>
      </w:r>
    </w:p>
    <w:p w14:paraId="764C0441" w14:textId="77777777" w:rsidR="00FA3A7E" w:rsidRDefault="00FA3A7E" w:rsidP="00811620">
      <w:pPr>
        <w:pStyle w:val="Standard"/>
        <w:jc w:val="center"/>
        <w:rPr>
          <w:rFonts w:ascii="Times New Roman" w:hAnsi="Times New Roman" w:cs="Times New Roman"/>
        </w:rPr>
      </w:pPr>
    </w:p>
    <w:p w14:paraId="41E4BDBD" w14:textId="380015AB" w:rsidR="00453D21" w:rsidRPr="00811620" w:rsidRDefault="00453D21" w:rsidP="00811620">
      <w:pPr>
        <w:pStyle w:val="Standard"/>
        <w:jc w:val="center"/>
        <w:rPr>
          <w:rFonts w:ascii="Times New Roman" w:hAnsi="Times New Roman" w:cs="Times New Roman"/>
        </w:rPr>
      </w:pPr>
      <w:r w:rsidRPr="00811620">
        <w:rPr>
          <w:rFonts w:ascii="Times New Roman" w:hAnsi="Times New Roman" w:cs="Times New Roman"/>
        </w:rPr>
        <w:t>* * *</w:t>
      </w:r>
    </w:p>
    <w:p w14:paraId="7F4FE17C" w14:textId="77777777" w:rsidR="00453D21" w:rsidRPr="00397E68" w:rsidRDefault="00453D21" w:rsidP="009306C5">
      <w:pPr>
        <w:spacing w:after="0" w:line="240" w:lineRule="auto"/>
        <w:jc w:val="both"/>
        <w:rPr>
          <w:rFonts w:ascii="Times New Roman" w:hAnsi="Times New Roman" w:cs="Times New Roman"/>
          <w:color w:val="2E74B5" w:themeColor="accent5" w:themeShade="BF"/>
          <w:sz w:val="24"/>
          <w:szCs w:val="24"/>
        </w:rPr>
      </w:pPr>
      <w:r w:rsidRPr="009306C5">
        <w:rPr>
          <w:rFonts w:ascii="Times New Roman" w:hAnsi="Times New Roman" w:cs="Times New Roman"/>
          <w:b/>
          <w:bCs/>
          <w:sz w:val="24"/>
          <w:szCs w:val="24"/>
        </w:rPr>
        <w:t>Lewiatan, który przedstawia się na swoich stronach internetowych „Jesteśmy najbardziej wpływową polską organizacją biznesową, reprezentującą interesy pracodawców w Polsce i Unii Europejskiej.</w:t>
      </w:r>
      <w:r w:rsidRPr="009306C5">
        <w:rPr>
          <w:rFonts w:ascii="Times New Roman" w:hAnsi="Times New Roman" w:cs="Times New Roman"/>
          <w:sz w:val="24"/>
          <w:szCs w:val="24"/>
        </w:rPr>
        <w:t xml:space="preserve">” </w:t>
      </w:r>
      <w:hyperlink r:id="rId16" w:history="1">
        <w:r w:rsidRPr="00397E68">
          <w:rPr>
            <w:rFonts w:ascii="Times New Roman" w:hAnsi="Times New Roman" w:cs="Times New Roman"/>
            <w:color w:val="2E74B5" w:themeColor="accent5" w:themeShade="BF"/>
            <w:sz w:val="24"/>
            <w:szCs w:val="24"/>
          </w:rPr>
          <w:t>https://www.prawo.pl/biznes/apel-o-kontynuacje-prac-nad-prawem-wlasnosci-przemyslowej,520005.html</w:t>
        </w:r>
      </w:hyperlink>
      <w:r w:rsidRPr="00397E68">
        <w:rPr>
          <w:rFonts w:ascii="Times New Roman" w:hAnsi="Times New Roman" w:cs="Times New Roman"/>
          <w:color w:val="2E74B5" w:themeColor="accent5" w:themeShade="BF"/>
          <w:sz w:val="24"/>
          <w:szCs w:val="24"/>
        </w:rPr>
        <w:t xml:space="preserve"> </w:t>
      </w:r>
    </w:p>
    <w:p w14:paraId="368A4C7B" w14:textId="77777777" w:rsidR="00453D21" w:rsidRPr="009306C5" w:rsidRDefault="00453D21" w:rsidP="009306C5">
      <w:pPr>
        <w:pStyle w:val="Standard"/>
        <w:jc w:val="both"/>
        <w:rPr>
          <w:rFonts w:ascii="Times New Roman" w:hAnsi="Times New Roman" w:cs="Times New Roman"/>
        </w:rPr>
      </w:pPr>
      <w:r w:rsidRPr="009306C5">
        <w:rPr>
          <w:rFonts w:ascii="Times New Roman" w:hAnsi="Times New Roman" w:cs="Times New Roman"/>
          <w:b/>
          <w:bCs/>
          <w:shd w:val="clear" w:color="auto" w:fill="E8E8E8"/>
        </w:rPr>
        <w:t>2023.02.24</w:t>
      </w:r>
      <w:r w:rsidRPr="009306C5">
        <w:rPr>
          <w:rFonts w:ascii="Times New Roman" w:hAnsi="Times New Roman" w:cs="Times New Roman"/>
        </w:rPr>
        <w:t>:</w:t>
      </w:r>
    </w:p>
    <w:p w14:paraId="72A4DD07" w14:textId="77777777" w:rsidR="00453D21" w:rsidRPr="009306C5" w:rsidRDefault="00453D21" w:rsidP="00DB51DA">
      <w:pPr>
        <w:spacing w:after="0" w:line="240" w:lineRule="auto"/>
        <w:ind w:left="567"/>
        <w:jc w:val="both"/>
        <w:rPr>
          <w:rFonts w:ascii="Times New Roman" w:hAnsi="Times New Roman" w:cs="Times New Roman"/>
          <w:sz w:val="24"/>
          <w:szCs w:val="24"/>
        </w:rPr>
      </w:pPr>
      <w:r w:rsidRPr="009306C5">
        <w:rPr>
          <w:rFonts w:ascii="Times New Roman" w:hAnsi="Times New Roman" w:cs="Times New Roman"/>
          <w:bCs/>
          <w:iCs/>
          <w:color w:val="C00000"/>
          <w:sz w:val="24"/>
          <w:szCs w:val="24"/>
          <w:shd w:val="clear" w:color="auto" w:fill="E8E8E8"/>
        </w:rPr>
        <w:t>Apelujemy o wznowienie prac</w:t>
      </w:r>
      <w:r w:rsidRPr="009306C5">
        <w:rPr>
          <w:rFonts w:ascii="Times New Roman" w:hAnsi="Times New Roman" w:cs="Times New Roman"/>
          <w:sz w:val="24"/>
          <w:szCs w:val="24"/>
        </w:rPr>
        <w:t xml:space="preserve"> nad projektem nowego prawa własności przemysłowej w najbliższym możliwym terminie, </w:t>
      </w:r>
      <w:r w:rsidRPr="009306C5">
        <w:rPr>
          <w:rFonts w:ascii="Times New Roman" w:hAnsi="Times New Roman" w:cs="Times New Roman"/>
          <w:bCs/>
          <w:iCs/>
          <w:color w:val="C00000"/>
          <w:sz w:val="24"/>
          <w:szCs w:val="24"/>
          <w:shd w:val="clear" w:color="auto" w:fill="E8E8E8"/>
        </w:rPr>
        <w:t>aby umożliwić</w:t>
      </w:r>
      <w:r w:rsidRPr="009306C5">
        <w:rPr>
          <w:rFonts w:ascii="Times New Roman" w:hAnsi="Times New Roman" w:cs="Times New Roman"/>
          <w:sz w:val="24"/>
          <w:szCs w:val="24"/>
        </w:rPr>
        <w:t xml:space="preserve"> jego </w:t>
      </w:r>
      <w:r w:rsidRPr="009306C5">
        <w:rPr>
          <w:rFonts w:ascii="Times New Roman" w:hAnsi="Times New Roman" w:cs="Times New Roman"/>
          <w:bCs/>
          <w:iCs/>
          <w:color w:val="C00000"/>
          <w:sz w:val="24"/>
          <w:szCs w:val="24"/>
          <w:shd w:val="clear" w:color="auto" w:fill="E8E8E8"/>
        </w:rPr>
        <w:t>uchwalenie przez Sejm</w:t>
      </w:r>
      <w:r w:rsidRPr="009306C5">
        <w:rPr>
          <w:rFonts w:ascii="Times New Roman" w:hAnsi="Times New Roman" w:cs="Times New Roman"/>
          <w:sz w:val="24"/>
          <w:szCs w:val="24"/>
        </w:rPr>
        <w:t xml:space="preserve"> jeszcze </w:t>
      </w:r>
      <w:r w:rsidRPr="009306C5">
        <w:rPr>
          <w:rFonts w:ascii="Times New Roman" w:hAnsi="Times New Roman" w:cs="Times New Roman"/>
          <w:bCs/>
          <w:iCs/>
          <w:color w:val="C00000"/>
          <w:sz w:val="24"/>
          <w:szCs w:val="24"/>
          <w:shd w:val="clear" w:color="auto" w:fill="E8E8E8"/>
        </w:rPr>
        <w:t>w tej kadencji</w:t>
      </w:r>
      <w:r w:rsidRPr="009306C5">
        <w:rPr>
          <w:rFonts w:ascii="Times New Roman" w:hAnsi="Times New Roman" w:cs="Times New Roman"/>
          <w:sz w:val="24"/>
          <w:szCs w:val="24"/>
        </w:rPr>
        <w:t>.</w:t>
      </w:r>
    </w:p>
    <w:p w14:paraId="3F254821" w14:textId="77777777" w:rsidR="00301B78" w:rsidRDefault="00301B78" w:rsidP="00811620">
      <w:pPr>
        <w:pStyle w:val="Standard"/>
        <w:jc w:val="center"/>
        <w:rPr>
          <w:rFonts w:ascii="Times New Roman" w:hAnsi="Times New Roman" w:cs="Times New Roman"/>
        </w:rPr>
      </w:pPr>
    </w:p>
    <w:p w14:paraId="207B8B2C" w14:textId="3CA5C938" w:rsidR="00453D21" w:rsidRPr="00811620" w:rsidRDefault="00453D21" w:rsidP="00811620">
      <w:pPr>
        <w:pStyle w:val="Standard"/>
        <w:jc w:val="center"/>
        <w:rPr>
          <w:rFonts w:ascii="Times New Roman" w:hAnsi="Times New Roman" w:cs="Times New Roman"/>
        </w:rPr>
      </w:pPr>
      <w:r w:rsidRPr="00811620">
        <w:rPr>
          <w:rFonts w:ascii="Times New Roman" w:hAnsi="Times New Roman" w:cs="Times New Roman"/>
        </w:rPr>
        <w:t>* * *</w:t>
      </w:r>
    </w:p>
    <w:p w14:paraId="3E96CDAF" w14:textId="77777777" w:rsidR="00453D21" w:rsidRPr="00397E68" w:rsidRDefault="00453D21" w:rsidP="00811620">
      <w:pPr>
        <w:spacing w:after="4" w:line="240" w:lineRule="auto"/>
        <w:ind w:right="-26"/>
        <w:jc w:val="both"/>
        <w:rPr>
          <w:rFonts w:ascii="Times New Roman" w:hAnsi="Times New Roman" w:cs="Times New Roman"/>
          <w:color w:val="2E74B5" w:themeColor="accent5" w:themeShade="BF"/>
          <w:sz w:val="24"/>
          <w:szCs w:val="24"/>
        </w:rPr>
      </w:pPr>
      <w:r w:rsidRPr="009306C5">
        <w:rPr>
          <w:rFonts w:ascii="Times New Roman" w:hAnsi="Times New Roman" w:cs="Times New Roman"/>
          <w:b/>
          <w:iCs/>
          <w:color w:val="00000A"/>
          <w:sz w:val="24"/>
          <w:szCs w:val="24"/>
        </w:rPr>
        <w:t xml:space="preserve">Podsekretarz stanu w </w:t>
      </w:r>
      <w:bookmarkStart w:id="8" w:name="_Hlk168119200"/>
      <w:r w:rsidRPr="009306C5">
        <w:rPr>
          <w:rFonts w:ascii="Times New Roman" w:hAnsi="Times New Roman" w:cs="Times New Roman"/>
          <w:b/>
          <w:iCs/>
          <w:color w:val="00000A"/>
          <w:sz w:val="24"/>
          <w:szCs w:val="24"/>
        </w:rPr>
        <w:t>Ministerstwie Rozwoju i Technologii</w:t>
      </w:r>
      <w:bookmarkEnd w:id="8"/>
      <w:r w:rsidRPr="009306C5">
        <w:rPr>
          <w:rFonts w:ascii="Times New Roman" w:hAnsi="Times New Roman" w:cs="Times New Roman"/>
          <w:b/>
          <w:iCs/>
          <w:color w:val="00000A"/>
          <w:sz w:val="24"/>
          <w:szCs w:val="24"/>
        </w:rPr>
        <w:t xml:space="preserve"> Kamila KRÓL</w:t>
      </w:r>
      <w:r w:rsidRPr="009306C5">
        <w:rPr>
          <w:rFonts w:ascii="Times New Roman" w:hAnsi="Times New Roman" w:cs="Times New Roman"/>
          <w:bCs/>
          <w:iCs/>
          <w:color w:val="00000A"/>
          <w:sz w:val="24"/>
          <w:szCs w:val="24"/>
        </w:rPr>
        <w:t xml:space="preserve"> </w:t>
      </w:r>
      <w:r w:rsidRPr="009306C5">
        <w:rPr>
          <w:rFonts w:ascii="Times New Roman" w:hAnsi="Times New Roman" w:cs="Times New Roman"/>
          <w:b/>
          <w:iCs/>
          <w:color w:val="00000A"/>
          <w:sz w:val="24"/>
          <w:szCs w:val="24"/>
        </w:rPr>
        <w:t xml:space="preserve">oraz Prezes Urzędu Patentowego Rzeczypospolitej Polskiej Edyta DEMBY-SIWEK w czasie obchodów 30-lecia zawodu rzecznika patentowego </w:t>
      </w:r>
      <w:hyperlink r:id="rId17" w:history="1">
        <w:r w:rsidRPr="00397E68">
          <w:rPr>
            <w:rFonts w:ascii="Times New Roman" w:hAnsi="Times New Roman" w:cs="Times New Roman"/>
            <w:color w:val="2E74B5" w:themeColor="accent5" w:themeShade="BF"/>
            <w:sz w:val="24"/>
            <w:szCs w:val="24"/>
          </w:rPr>
          <w:t>30 - lecie PIRP | Transmisja TV - YouTube</w:t>
        </w:r>
      </w:hyperlink>
      <w:r w:rsidRPr="00397E68">
        <w:rPr>
          <w:rFonts w:ascii="Times New Roman" w:hAnsi="Times New Roman" w:cs="Times New Roman"/>
          <w:color w:val="2E74B5" w:themeColor="accent5" w:themeShade="BF"/>
          <w:sz w:val="24"/>
          <w:szCs w:val="24"/>
        </w:rPr>
        <w:t xml:space="preserve"> </w:t>
      </w:r>
    </w:p>
    <w:p w14:paraId="3A5D7CFB" w14:textId="77777777" w:rsidR="00453D21" w:rsidRPr="009306C5" w:rsidRDefault="00453D21" w:rsidP="00811620">
      <w:pPr>
        <w:pStyle w:val="Standard"/>
        <w:ind w:right="-26"/>
        <w:jc w:val="both"/>
        <w:rPr>
          <w:rFonts w:ascii="Times New Roman" w:hAnsi="Times New Roman" w:cs="Times New Roman"/>
        </w:rPr>
      </w:pPr>
      <w:r w:rsidRPr="009306C5">
        <w:rPr>
          <w:rFonts w:ascii="Times New Roman" w:hAnsi="Times New Roman" w:cs="Times New Roman"/>
          <w:b/>
          <w:bCs/>
          <w:shd w:val="clear" w:color="auto" w:fill="E8E8E8"/>
        </w:rPr>
        <w:t>2023.08.28</w:t>
      </w:r>
      <w:r w:rsidRPr="009306C5">
        <w:rPr>
          <w:rFonts w:ascii="Times New Roman" w:hAnsi="Times New Roman" w:cs="Times New Roman"/>
        </w:rPr>
        <w:t>:</w:t>
      </w:r>
    </w:p>
    <w:p w14:paraId="2F906AD2" w14:textId="77777777" w:rsidR="00453D21" w:rsidRPr="009306C5" w:rsidRDefault="00453D21" w:rsidP="00DB51DA">
      <w:pPr>
        <w:spacing w:line="240" w:lineRule="auto"/>
        <w:ind w:left="567" w:hanging="567"/>
        <w:jc w:val="both"/>
        <w:rPr>
          <w:rFonts w:ascii="Times New Roman" w:hAnsi="Times New Roman" w:cs="Times New Roman"/>
          <w:sz w:val="24"/>
          <w:szCs w:val="24"/>
        </w:rPr>
      </w:pPr>
      <w:r w:rsidRPr="009306C5">
        <w:rPr>
          <w:rFonts w:ascii="Times New Roman" w:hAnsi="Times New Roman" w:cs="Times New Roman"/>
          <w:sz w:val="24"/>
          <w:szCs w:val="24"/>
        </w:rPr>
        <w:lastRenderedPageBreak/>
        <w:t xml:space="preserve">[00:24:09.24] </w:t>
      </w:r>
      <w:r w:rsidRPr="009306C5">
        <w:rPr>
          <w:rFonts w:ascii="Times New Roman" w:hAnsi="Times New Roman" w:cs="Times New Roman"/>
          <w:b/>
          <w:bCs/>
          <w:sz w:val="24"/>
          <w:szCs w:val="24"/>
        </w:rPr>
        <w:t>KK</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Rzecznicy</w:t>
      </w:r>
      <w:r w:rsidRPr="009306C5">
        <w:rPr>
          <w:rFonts w:ascii="Times New Roman" w:hAnsi="Times New Roman" w:cs="Times New Roman"/>
          <w:sz w:val="24"/>
          <w:szCs w:val="24"/>
        </w:rPr>
        <w:t xml:space="preserve"> patentowi wraz </w:t>
      </w:r>
      <w:r w:rsidRPr="009306C5">
        <w:rPr>
          <w:rFonts w:ascii="Times New Roman" w:hAnsi="Times New Roman" w:cs="Times New Roman"/>
          <w:bCs/>
          <w:iCs/>
          <w:color w:val="C00000"/>
          <w:sz w:val="24"/>
          <w:szCs w:val="24"/>
          <w:shd w:val="clear" w:color="auto" w:fill="E8E8E8"/>
        </w:rPr>
        <w:t>z</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Urzędem</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Patentowym</w:t>
      </w:r>
      <w:r w:rsidRPr="009306C5">
        <w:rPr>
          <w:rFonts w:ascii="Times New Roman" w:hAnsi="Times New Roman" w:cs="Times New Roman"/>
          <w:sz w:val="24"/>
          <w:szCs w:val="24"/>
        </w:rPr>
        <w:t xml:space="preserve">, jak również </w:t>
      </w:r>
      <w:r w:rsidRPr="009306C5">
        <w:rPr>
          <w:rFonts w:ascii="Times New Roman" w:hAnsi="Times New Roman" w:cs="Times New Roman"/>
          <w:bCs/>
          <w:iCs/>
          <w:color w:val="C00000"/>
          <w:sz w:val="24"/>
          <w:szCs w:val="24"/>
          <w:shd w:val="clear" w:color="auto" w:fill="E8E8E8"/>
        </w:rPr>
        <w:t>Ministerstwem Rozwoju</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i Technologii</w:t>
      </w:r>
      <w:r w:rsidRPr="009306C5">
        <w:rPr>
          <w:rFonts w:ascii="Times New Roman" w:hAnsi="Times New Roman" w:cs="Times New Roman"/>
          <w:sz w:val="24"/>
          <w:szCs w:val="24"/>
        </w:rPr>
        <w:t xml:space="preserve"> poprzez </w:t>
      </w:r>
      <w:r w:rsidRPr="009306C5">
        <w:rPr>
          <w:rFonts w:ascii="Times New Roman" w:hAnsi="Times New Roman" w:cs="Times New Roman"/>
          <w:bCs/>
          <w:iCs/>
          <w:color w:val="C00000"/>
          <w:sz w:val="24"/>
          <w:szCs w:val="24"/>
          <w:shd w:val="clear" w:color="auto" w:fill="E8E8E8"/>
        </w:rPr>
        <w:t>wspólne działania przyczyniają się</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do rozwoju</w:t>
      </w:r>
      <w:r w:rsidRPr="009306C5">
        <w:rPr>
          <w:rFonts w:ascii="Times New Roman" w:hAnsi="Times New Roman" w:cs="Times New Roman"/>
          <w:sz w:val="24"/>
          <w:szCs w:val="24"/>
        </w:rPr>
        <w:t xml:space="preserve"> systemu ochrony własności przemysłowej w Polsce. (…) jest to niezwykle </w:t>
      </w:r>
      <w:r w:rsidRPr="009306C5">
        <w:rPr>
          <w:rFonts w:ascii="Times New Roman" w:hAnsi="Times New Roman" w:cs="Times New Roman"/>
          <w:bCs/>
          <w:iCs/>
          <w:color w:val="C00000"/>
          <w:sz w:val="24"/>
          <w:szCs w:val="24"/>
          <w:shd w:val="clear" w:color="auto" w:fill="E8E8E8"/>
        </w:rPr>
        <w:t>istotne by móc wzmacniać więzi</w:t>
      </w:r>
      <w:r w:rsidRPr="009306C5">
        <w:rPr>
          <w:rFonts w:ascii="Times New Roman" w:hAnsi="Times New Roman" w:cs="Times New Roman"/>
          <w:sz w:val="24"/>
          <w:szCs w:val="24"/>
        </w:rPr>
        <w:t xml:space="preserve"> pomiędzy administracją a samorządem rzeczników patentowych. </w:t>
      </w:r>
      <w:r w:rsidRPr="009306C5">
        <w:rPr>
          <w:rFonts w:ascii="Times New Roman" w:hAnsi="Times New Roman" w:cs="Times New Roman"/>
          <w:bCs/>
          <w:iCs/>
          <w:color w:val="C00000"/>
          <w:sz w:val="24"/>
          <w:szCs w:val="24"/>
          <w:shd w:val="clear" w:color="auto" w:fill="E8E8E8"/>
        </w:rPr>
        <w:t>Innowacyjność</w:t>
      </w:r>
      <w:r w:rsidRPr="009306C5">
        <w:rPr>
          <w:rFonts w:ascii="Times New Roman" w:hAnsi="Times New Roman" w:cs="Times New Roman"/>
          <w:sz w:val="24"/>
          <w:szCs w:val="24"/>
        </w:rPr>
        <w:t xml:space="preserve"> jest to </w:t>
      </w:r>
      <w:r w:rsidRPr="009306C5">
        <w:rPr>
          <w:rFonts w:ascii="Times New Roman" w:hAnsi="Times New Roman" w:cs="Times New Roman"/>
          <w:bCs/>
          <w:iCs/>
          <w:color w:val="C00000"/>
          <w:sz w:val="24"/>
          <w:szCs w:val="24"/>
          <w:shd w:val="clear" w:color="auto" w:fill="E8E8E8"/>
        </w:rPr>
        <w:t>kluczowy element rozwoju</w:t>
      </w:r>
      <w:r w:rsidRPr="009306C5">
        <w:rPr>
          <w:rFonts w:ascii="Times New Roman" w:hAnsi="Times New Roman" w:cs="Times New Roman"/>
          <w:sz w:val="24"/>
          <w:szCs w:val="24"/>
        </w:rPr>
        <w:t xml:space="preserve"> gospodarczego. (…). W </w:t>
      </w:r>
      <w:r w:rsidRPr="009306C5">
        <w:rPr>
          <w:rFonts w:ascii="Times New Roman" w:hAnsi="Times New Roman" w:cs="Times New Roman"/>
          <w:bCs/>
          <w:iCs/>
          <w:color w:val="C00000"/>
          <w:sz w:val="24"/>
          <w:szCs w:val="24"/>
          <w:shd w:val="clear" w:color="auto" w:fill="E8E8E8"/>
        </w:rPr>
        <w:t>Ministerstwie Rozwoju</w:t>
      </w:r>
      <w:r w:rsidRPr="009306C5">
        <w:rPr>
          <w:rFonts w:ascii="Times New Roman" w:hAnsi="Times New Roman" w:cs="Times New Roman"/>
          <w:sz w:val="24"/>
          <w:szCs w:val="24"/>
        </w:rPr>
        <w:t xml:space="preserve"> i Technologii oczywiście </w:t>
      </w:r>
      <w:r w:rsidRPr="009306C5">
        <w:rPr>
          <w:rFonts w:ascii="Times New Roman" w:hAnsi="Times New Roman" w:cs="Times New Roman"/>
          <w:bCs/>
          <w:iCs/>
          <w:color w:val="C00000"/>
          <w:sz w:val="24"/>
          <w:szCs w:val="24"/>
          <w:shd w:val="clear" w:color="auto" w:fill="E8E8E8"/>
        </w:rPr>
        <w:t>widzimy potrzebę</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udoskonalania regulacji prawnych</w:t>
      </w:r>
      <w:r w:rsidRPr="009306C5">
        <w:rPr>
          <w:rFonts w:ascii="Times New Roman" w:hAnsi="Times New Roman" w:cs="Times New Roman"/>
          <w:sz w:val="24"/>
          <w:szCs w:val="24"/>
        </w:rPr>
        <w:t xml:space="preserve"> (…) z tego względu </w:t>
      </w:r>
      <w:r w:rsidRPr="009306C5">
        <w:rPr>
          <w:rFonts w:ascii="Times New Roman" w:hAnsi="Times New Roman" w:cs="Times New Roman"/>
          <w:bCs/>
          <w:iCs/>
          <w:color w:val="C00000"/>
          <w:sz w:val="24"/>
          <w:szCs w:val="24"/>
          <w:shd w:val="clear" w:color="auto" w:fill="E8E8E8"/>
        </w:rPr>
        <w:t>zainicjowaliśmy</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 xml:space="preserve">prace </w:t>
      </w:r>
      <w:r w:rsidRPr="009306C5">
        <w:rPr>
          <w:rFonts w:ascii="Times New Roman" w:hAnsi="Times New Roman" w:cs="Times New Roman"/>
          <w:sz w:val="24"/>
          <w:szCs w:val="24"/>
        </w:rPr>
        <w:t>nad ustawą (…)</w:t>
      </w:r>
    </w:p>
    <w:p w14:paraId="525ED89F" w14:textId="77777777" w:rsidR="00453D21" w:rsidRPr="009306C5" w:rsidRDefault="00453D21" w:rsidP="00DB51DA">
      <w:pPr>
        <w:spacing w:after="0" w:line="240" w:lineRule="auto"/>
        <w:ind w:left="567" w:hanging="567"/>
        <w:jc w:val="both"/>
        <w:rPr>
          <w:rFonts w:ascii="Times New Roman" w:hAnsi="Times New Roman" w:cs="Times New Roman"/>
          <w:sz w:val="24"/>
          <w:szCs w:val="24"/>
        </w:rPr>
      </w:pPr>
      <w:r w:rsidRPr="009306C5">
        <w:rPr>
          <w:rFonts w:ascii="Times New Roman" w:hAnsi="Times New Roman" w:cs="Times New Roman"/>
          <w:sz w:val="24"/>
          <w:szCs w:val="24"/>
        </w:rPr>
        <w:t xml:space="preserve">[01:48:23.02] </w:t>
      </w:r>
      <w:r w:rsidRPr="009306C5">
        <w:rPr>
          <w:rFonts w:ascii="Times New Roman" w:hAnsi="Times New Roman" w:cs="Times New Roman"/>
          <w:b/>
          <w:bCs/>
          <w:sz w:val="24"/>
          <w:szCs w:val="24"/>
        </w:rPr>
        <w:t>ED-S</w:t>
      </w:r>
      <w:r w:rsidRPr="009306C5">
        <w:rPr>
          <w:rFonts w:ascii="Times New Roman" w:hAnsi="Times New Roman" w:cs="Times New Roman"/>
          <w:sz w:val="24"/>
          <w:szCs w:val="24"/>
        </w:rPr>
        <w:t xml:space="preserve">: (…) </w:t>
      </w:r>
      <w:r w:rsidRPr="009306C5">
        <w:rPr>
          <w:rFonts w:ascii="Times New Roman" w:hAnsi="Times New Roman" w:cs="Times New Roman"/>
          <w:bCs/>
          <w:iCs/>
          <w:color w:val="C00000"/>
          <w:sz w:val="24"/>
          <w:szCs w:val="24"/>
          <w:shd w:val="clear" w:color="auto" w:fill="E8E8E8"/>
        </w:rPr>
        <w:t>te dwa tematy się łączą</w:t>
      </w:r>
      <w:r w:rsidRPr="009306C5">
        <w:rPr>
          <w:rFonts w:ascii="Times New Roman" w:hAnsi="Times New Roman" w:cs="Times New Roman"/>
          <w:sz w:val="24"/>
          <w:szCs w:val="24"/>
        </w:rPr>
        <w:t xml:space="preserve"> i to, co powiedział w kontekście </w:t>
      </w:r>
      <w:r w:rsidRPr="009306C5">
        <w:rPr>
          <w:rFonts w:ascii="Times New Roman" w:hAnsi="Times New Roman" w:cs="Times New Roman"/>
          <w:bCs/>
          <w:iCs/>
          <w:color w:val="C00000"/>
          <w:sz w:val="24"/>
          <w:szCs w:val="24"/>
          <w:shd w:val="clear" w:color="auto" w:fill="E8E8E8"/>
        </w:rPr>
        <w:t>ustawy o rzeczników patentowych</w:t>
      </w:r>
      <w:r w:rsidRPr="009306C5">
        <w:rPr>
          <w:rFonts w:ascii="Times New Roman" w:hAnsi="Times New Roman" w:cs="Times New Roman"/>
          <w:sz w:val="24"/>
          <w:szCs w:val="24"/>
        </w:rPr>
        <w:t xml:space="preserve"> i nowej ustawy </w:t>
      </w:r>
      <w:r w:rsidRPr="009306C5">
        <w:rPr>
          <w:rFonts w:ascii="Times New Roman" w:hAnsi="Times New Roman" w:cs="Times New Roman"/>
          <w:bCs/>
          <w:iCs/>
          <w:color w:val="C00000"/>
          <w:sz w:val="24"/>
          <w:szCs w:val="24"/>
          <w:shd w:val="clear" w:color="auto" w:fill="E8E8E8"/>
        </w:rPr>
        <w:t>Prawo własności przemysłowej</w:t>
      </w:r>
      <w:r w:rsidRPr="009306C5">
        <w:rPr>
          <w:rFonts w:ascii="Times New Roman" w:hAnsi="Times New Roman" w:cs="Times New Roman"/>
          <w:sz w:val="24"/>
          <w:szCs w:val="24"/>
        </w:rPr>
        <w:t xml:space="preserve">, bo to jest ten obszar, który myślę, że dla nas i </w:t>
      </w:r>
      <w:r w:rsidRPr="009306C5">
        <w:rPr>
          <w:rFonts w:ascii="Times New Roman" w:hAnsi="Times New Roman" w:cs="Times New Roman"/>
          <w:bCs/>
          <w:iCs/>
          <w:color w:val="C00000"/>
          <w:sz w:val="24"/>
          <w:szCs w:val="24"/>
          <w:shd w:val="clear" w:color="auto" w:fill="E8E8E8"/>
        </w:rPr>
        <w:t>dla naszej współpracy jest najistotniejszy</w:t>
      </w:r>
      <w:r w:rsidRPr="009306C5">
        <w:rPr>
          <w:rFonts w:ascii="Times New Roman" w:hAnsi="Times New Roman" w:cs="Times New Roman"/>
          <w:sz w:val="24"/>
          <w:szCs w:val="24"/>
        </w:rPr>
        <w:t xml:space="preserve">. Drodzy państwo, co jest kluczem naszej pracy? Prawo i te ustawy, które na co dzień korzystamy. Ja tutaj. </w:t>
      </w:r>
      <w:r w:rsidRPr="009306C5">
        <w:rPr>
          <w:rFonts w:ascii="Times New Roman" w:hAnsi="Times New Roman" w:cs="Times New Roman"/>
          <w:bCs/>
          <w:iCs/>
          <w:color w:val="C00000"/>
          <w:sz w:val="24"/>
          <w:szCs w:val="24"/>
          <w:shd w:val="clear" w:color="auto" w:fill="E8E8E8"/>
        </w:rPr>
        <w:t>Korzystając z obecności pani Minister, chciałam podziękować Ministerstwu za zaufanie</w:t>
      </w:r>
      <w:r w:rsidRPr="009306C5">
        <w:rPr>
          <w:rFonts w:ascii="Times New Roman" w:hAnsi="Times New Roman" w:cs="Times New Roman"/>
          <w:sz w:val="24"/>
          <w:szCs w:val="24"/>
        </w:rPr>
        <w:t>, (…).</w:t>
      </w:r>
    </w:p>
    <w:p w14:paraId="1BA93FE7" w14:textId="77777777" w:rsidR="00453D21" w:rsidRPr="009306C5" w:rsidRDefault="00453D21" w:rsidP="00DB51DA">
      <w:pPr>
        <w:spacing w:after="0" w:line="240" w:lineRule="auto"/>
        <w:ind w:left="567"/>
        <w:jc w:val="both"/>
        <w:rPr>
          <w:rFonts w:ascii="Times New Roman" w:hAnsi="Times New Roman" w:cs="Times New Roman"/>
          <w:sz w:val="24"/>
          <w:szCs w:val="24"/>
        </w:rPr>
      </w:pPr>
      <w:r w:rsidRPr="009306C5">
        <w:rPr>
          <w:rFonts w:ascii="Times New Roman" w:hAnsi="Times New Roman" w:cs="Times New Roman"/>
          <w:sz w:val="24"/>
          <w:szCs w:val="24"/>
        </w:rPr>
        <w:t xml:space="preserve">Kolejny obszar to uważam, że to jest </w:t>
      </w:r>
      <w:r w:rsidRPr="009306C5">
        <w:rPr>
          <w:rFonts w:ascii="Times New Roman" w:hAnsi="Times New Roman" w:cs="Times New Roman"/>
          <w:bCs/>
          <w:iCs/>
          <w:color w:val="C00000"/>
          <w:sz w:val="24"/>
          <w:szCs w:val="24"/>
          <w:shd w:val="clear" w:color="auto" w:fill="E8E8E8"/>
        </w:rPr>
        <w:t>obszar związany z promocją</w:t>
      </w:r>
      <w:r w:rsidRPr="009306C5">
        <w:rPr>
          <w:rFonts w:ascii="Times New Roman" w:hAnsi="Times New Roman" w:cs="Times New Roman"/>
          <w:sz w:val="24"/>
          <w:szCs w:val="24"/>
        </w:rPr>
        <w:t xml:space="preserve"> systemu ochrony własności przemysłowej i intelektualnej w Polsce. My </w:t>
      </w:r>
      <w:r w:rsidRPr="009306C5">
        <w:rPr>
          <w:rFonts w:ascii="Times New Roman" w:hAnsi="Times New Roman" w:cs="Times New Roman"/>
          <w:bCs/>
          <w:iCs/>
          <w:color w:val="C00000"/>
          <w:sz w:val="24"/>
          <w:szCs w:val="24"/>
          <w:shd w:val="clear" w:color="auto" w:fill="E8E8E8"/>
        </w:rPr>
        <w:t>promujemy</w:t>
      </w:r>
      <w:r w:rsidRPr="009306C5">
        <w:rPr>
          <w:rFonts w:ascii="Times New Roman" w:hAnsi="Times New Roman" w:cs="Times New Roman"/>
          <w:sz w:val="24"/>
          <w:szCs w:val="24"/>
        </w:rPr>
        <w:t xml:space="preserve"> państwo, </w:t>
      </w:r>
      <w:r w:rsidRPr="009306C5">
        <w:rPr>
          <w:rFonts w:ascii="Times New Roman" w:hAnsi="Times New Roman" w:cs="Times New Roman"/>
          <w:bCs/>
          <w:iCs/>
          <w:color w:val="C00000"/>
          <w:sz w:val="24"/>
          <w:szCs w:val="24"/>
          <w:shd w:val="clear" w:color="auto" w:fill="E8E8E8"/>
        </w:rPr>
        <w:t>promują</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promujemy,</w:t>
      </w:r>
      <w:r w:rsidRPr="009306C5">
        <w:rPr>
          <w:rFonts w:ascii="Times New Roman" w:hAnsi="Times New Roman" w:cs="Times New Roman"/>
          <w:sz w:val="24"/>
          <w:szCs w:val="24"/>
        </w:rPr>
        <w:t xml:space="preserve"> wspólnie </w:t>
      </w:r>
      <w:r w:rsidRPr="009306C5">
        <w:rPr>
          <w:rFonts w:ascii="Times New Roman" w:hAnsi="Times New Roman" w:cs="Times New Roman"/>
          <w:bCs/>
          <w:iCs/>
          <w:color w:val="C00000"/>
          <w:sz w:val="24"/>
          <w:szCs w:val="24"/>
          <w:shd w:val="clear" w:color="auto" w:fill="E8E8E8"/>
        </w:rPr>
        <w:t>uświadamiamy</w:t>
      </w:r>
      <w:r w:rsidRPr="009306C5">
        <w:rPr>
          <w:rFonts w:ascii="Times New Roman" w:hAnsi="Times New Roman" w:cs="Times New Roman"/>
          <w:sz w:val="24"/>
          <w:szCs w:val="24"/>
        </w:rPr>
        <w:t xml:space="preserve"> wspólnie. I to </w:t>
      </w:r>
      <w:r w:rsidRPr="009306C5">
        <w:rPr>
          <w:rFonts w:ascii="Times New Roman" w:hAnsi="Times New Roman" w:cs="Times New Roman"/>
          <w:bCs/>
          <w:iCs/>
          <w:color w:val="C00000"/>
          <w:sz w:val="24"/>
          <w:szCs w:val="24"/>
          <w:shd w:val="clear" w:color="auto" w:fill="E8E8E8"/>
        </w:rPr>
        <w:t>uświadamianie</w:t>
      </w:r>
      <w:r w:rsidRPr="009306C5">
        <w:rPr>
          <w:rFonts w:ascii="Times New Roman" w:hAnsi="Times New Roman" w:cs="Times New Roman"/>
          <w:sz w:val="24"/>
          <w:szCs w:val="24"/>
        </w:rPr>
        <w:t xml:space="preserve"> jest coraz lepsze, jak </w:t>
      </w:r>
      <w:r w:rsidRPr="009306C5">
        <w:rPr>
          <w:rFonts w:ascii="Times New Roman" w:hAnsi="Times New Roman" w:cs="Times New Roman"/>
          <w:bCs/>
          <w:iCs/>
          <w:color w:val="C00000"/>
          <w:sz w:val="24"/>
          <w:szCs w:val="24"/>
          <w:shd w:val="clear" w:color="auto" w:fill="E8E8E8"/>
        </w:rPr>
        <w:t>działamy</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wspólnie</w:t>
      </w:r>
      <w:r w:rsidRPr="009306C5">
        <w:rPr>
          <w:rFonts w:ascii="Times New Roman" w:hAnsi="Times New Roman" w:cs="Times New Roman"/>
          <w:sz w:val="24"/>
          <w:szCs w:val="24"/>
        </w:rPr>
        <w:t>. I to jest największą wartością dodaną.</w:t>
      </w:r>
    </w:p>
    <w:p w14:paraId="30D6F469" w14:textId="77777777" w:rsidR="00453D21" w:rsidRPr="00811620" w:rsidRDefault="00453D21" w:rsidP="00811620">
      <w:pPr>
        <w:pStyle w:val="Standard"/>
        <w:jc w:val="center"/>
        <w:rPr>
          <w:rFonts w:ascii="Times New Roman" w:hAnsi="Times New Roman" w:cs="Times New Roman"/>
        </w:rPr>
      </w:pPr>
      <w:r w:rsidRPr="00FA3A7E">
        <w:rPr>
          <w:rFonts w:ascii="Times New Roman" w:hAnsi="Times New Roman" w:cs="Times New Roman"/>
        </w:rPr>
        <w:br/>
      </w:r>
      <w:r w:rsidRPr="00811620">
        <w:rPr>
          <w:rFonts w:ascii="Times New Roman" w:hAnsi="Times New Roman" w:cs="Times New Roman"/>
        </w:rPr>
        <w:t>* * *</w:t>
      </w:r>
    </w:p>
    <w:p w14:paraId="416B3EC7" w14:textId="5B7E7440" w:rsidR="00453D21" w:rsidRPr="00397E68" w:rsidRDefault="00453D21" w:rsidP="009306C5">
      <w:pPr>
        <w:spacing w:after="0" w:line="240" w:lineRule="auto"/>
        <w:jc w:val="both"/>
        <w:rPr>
          <w:rFonts w:ascii="Times New Roman" w:hAnsi="Times New Roman" w:cs="Times New Roman"/>
          <w:color w:val="2E74B5" w:themeColor="accent5" w:themeShade="BF"/>
          <w:sz w:val="24"/>
          <w:szCs w:val="24"/>
        </w:rPr>
      </w:pPr>
      <w:r w:rsidRPr="009306C5">
        <w:rPr>
          <w:rFonts w:ascii="Times New Roman" w:hAnsi="Times New Roman" w:cs="Times New Roman"/>
          <w:b/>
          <w:bCs/>
          <w:sz w:val="24"/>
          <w:szCs w:val="24"/>
        </w:rPr>
        <w:t>Dorota RZĄŻEWSKA, Prezes Polskiej Izby Rzeczników Patentowych (st</w:t>
      </w:r>
      <w:r w:rsidR="00840731">
        <w:rPr>
          <w:rFonts w:ascii="Times New Roman" w:hAnsi="Times New Roman" w:cs="Times New Roman"/>
          <w:b/>
          <w:bCs/>
          <w:sz w:val="24"/>
          <w:szCs w:val="24"/>
        </w:rPr>
        <w:t>o</w:t>
      </w:r>
      <w:r w:rsidRPr="009306C5">
        <w:rPr>
          <w:rFonts w:ascii="Times New Roman" w:hAnsi="Times New Roman" w:cs="Times New Roman"/>
          <w:b/>
          <w:bCs/>
          <w:sz w:val="24"/>
          <w:szCs w:val="24"/>
        </w:rPr>
        <w:t xml:space="preserve">jąca na czele grupy kierującej PIRP od 2017.11.05 oraz ściśle współpracująca z Lewiatanem) </w:t>
      </w:r>
      <w:hyperlink r:id="rId18" w:history="1">
        <w:r w:rsidRPr="00397E68">
          <w:rPr>
            <w:rFonts w:ascii="Times New Roman" w:hAnsi="Times New Roman" w:cs="Times New Roman"/>
            <w:color w:val="2E74B5" w:themeColor="accent5" w:themeShade="BF"/>
            <w:sz w:val="24"/>
            <w:szCs w:val="24"/>
          </w:rPr>
          <w:t>https://www.prawo.pl/biznes/projekt-prawa-wlasnosci-przemyslowej-nie-zostanie-uchwalony,522739.html</w:t>
        </w:r>
      </w:hyperlink>
    </w:p>
    <w:p w14:paraId="4A5441F1" w14:textId="77777777" w:rsidR="00453D21" w:rsidRPr="009306C5" w:rsidRDefault="00453D21" w:rsidP="009306C5">
      <w:pPr>
        <w:spacing w:after="0" w:line="240" w:lineRule="auto"/>
        <w:jc w:val="both"/>
        <w:rPr>
          <w:rFonts w:ascii="Times New Roman" w:hAnsi="Times New Roman" w:cs="Times New Roman"/>
          <w:sz w:val="24"/>
          <w:szCs w:val="24"/>
        </w:rPr>
      </w:pPr>
      <w:r w:rsidRPr="009306C5">
        <w:rPr>
          <w:rFonts w:ascii="Times New Roman" w:hAnsi="Times New Roman" w:cs="Times New Roman"/>
          <w:b/>
          <w:bCs/>
          <w:sz w:val="24"/>
          <w:szCs w:val="24"/>
          <w:shd w:val="clear" w:color="auto" w:fill="E8E8E8"/>
        </w:rPr>
        <w:t>2023.08.25</w:t>
      </w:r>
      <w:r w:rsidRPr="009306C5">
        <w:rPr>
          <w:rFonts w:ascii="Times New Roman" w:hAnsi="Times New Roman" w:cs="Times New Roman"/>
          <w:sz w:val="24"/>
          <w:szCs w:val="24"/>
        </w:rPr>
        <w:t>:</w:t>
      </w:r>
    </w:p>
    <w:p w14:paraId="1D7298BD" w14:textId="1E3FEA83" w:rsidR="00453D21" w:rsidRPr="009306C5" w:rsidRDefault="00453D21" w:rsidP="00DB51DA">
      <w:pPr>
        <w:spacing w:after="0" w:line="240" w:lineRule="auto"/>
        <w:ind w:left="567"/>
        <w:jc w:val="both"/>
        <w:rPr>
          <w:rFonts w:ascii="Times New Roman" w:hAnsi="Times New Roman" w:cs="Times New Roman"/>
          <w:sz w:val="24"/>
          <w:szCs w:val="24"/>
        </w:rPr>
      </w:pPr>
      <w:r w:rsidRPr="009306C5">
        <w:rPr>
          <w:rFonts w:ascii="Times New Roman" w:hAnsi="Times New Roman" w:cs="Times New Roman"/>
          <w:sz w:val="24"/>
          <w:szCs w:val="24"/>
        </w:rPr>
        <w:t>Eksperci podkreślają, że część proponowanych zmian była kontrowersyjna</w:t>
      </w:r>
      <w:r w:rsidRPr="009306C5">
        <w:rPr>
          <w:rFonts w:ascii="Times New Roman" w:hAnsi="Times New Roman" w:cs="Times New Roman"/>
          <w:sz w:val="24"/>
          <w:szCs w:val="24"/>
        </w:rPr>
        <w:br/>
      </w:r>
      <w:r w:rsidRPr="009306C5">
        <w:rPr>
          <w:rFonts w:ascii="Times New Roman" w:hAnsi="Times New Roman" w:cs="Times New Roman"/>
          <w:bCs/>
          <w:iCs/>
          <w:color w:val="C00000"/>
          <w:sz w:val="24"/>
          <w:szCs w:val="24"/>
          <w:shd w:val="clear" w:color="auto" w:fill="E8E8E8"/>
        </w:rPr>
        <w:t>To bardzo obszerna propozycja</w:t>
      </w:r>
      <w:r w:rsidRPr="009306C5">
        <w:rPr>
          <w:rFonts w:ascii="Times New Roman" w:hAnsi="Times New Roman" w:cs="Times New Roman"/>
          <w:sz w:val="24"/>
          <w:szCs w:val="24"/>
        </w:rPr>
        <w:t xml:space="preserve"> zmian, składająca się łącznie niemal z pięciuset artykułów i 158 stron. </w:t>
      </w:r>
      <w:r w:rsidRPr="009306C5">
        <w:rPr>
          <w:rFonts w:ascii="Times New Roman" w:hAnsi="Times New Roman" w:cs="Times New Roman"/>
          <w:bCs/>
          <w:iCs/>
          <w:color w:val="C00000"/>
          <w:sz w:val="24"/>
          <w:szCs w:val="24"/>
          <w:shd w:val="clear" w:color="auto" w:fill="E8E8E8"/>
        </w:rPr>
        <w:t>Jej</w:t>
      </w:r>
      <w:r w:rsidRPr="009306C5">
        <w:rPr>
          <w:rFonts w:ascii="Times New Roman" w:hAnsi="Times New Roman" w:cs="Times New Roman"/>
          <w:sz w:val="24"/>
          <w:szCs w:val="24"/>
        </w:rPr>
        <w:t xml:space="preserve"> główny </w:t>
      </w:r>
      <w:r w:rsidRPr="009306C5">
        <w:rPr>
          <w:rFonts w:ascii="Times New Roman" w:hAnsi="Times New Roman" w:cs="Times New Roman"/>
          <w:bCs/>
          <w:iCs/>
          <w:color w:val="C00000"/>
          <w:sz w:val="24"/>
          <w:szCs w:val="24"/>
          <w:shd w:val="clear" w:color="auto" w:fill="E8E8E8"/>
        </w:rPr>
        <w:t>cel to uproszczenie</w:t>
      </w: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przepisów</w:t>
      </w:r>
      <w:r w:rsidRPr="009306C5">
        <w:rPr>
          <w:rFonts w:ascii="Times New Roman" w:hAnsi="Times New Roman" w:cs="Times New Roman"/>
          <w:sz w:val="24"/>
          <w:szCs w:val="24"/>
        </w:rPr>
        <w:t xml:space="preserve"> ustawy, (…)</w:t>
      </w:r>
    </w:p>
    <w:p w14:paraId="505A4A80" w14:textId="77777777" w:rsidR="00453D21" w:rsidRPr="009306C5" w:rsidRDefault="00453D21" w:rsidP="00DB51DA">
      <w:pPr>
        <w:spacing w:after="0" w:line="240" w:lineRule="auto"/>
        <w:ind w:left="567"/>
        <w:jc w:val="both"/>
        <w:rPr>
          <w:rFonts w:ascii="Times New Roman" w:hAnsi="Times New Roman" w:cs="Times New Roman"/>
          <w:sz w:val="24"/>
          <w:szCs w:val="24"/>
        </w:rPr>
      </w:pPr>
      <w:r w:rsidRPr="009306C5">
        <w:rPr>
          <w:rFonts w:ascii="Times New Roman" w:hAnsi="Times New Roman" w:cs="Times New Roman"/>
          <w:sz w:val="24"/>
          <w:szCs w:val="24"/>
        </w:rPr>
        <w:t xml:space="preserve">- </w:t>
      </w:r>
      <w:r w:rsidRPr="009306C5">
        <w:rPr>
          <w:rFonts w:ascii="Times New Roman" w:hAnsi="Times New Roman" w:cs="Times New Roman"/>
          <w:bCs/>
          <w:iCs/>
          <w:color w:val="C00000"/>
          <w:sz w:val="24"/>
          <w:szCs w:val="24"/>
          <w:shd w:val="clear" w:color="auto" w:fill="E8E8E8"/>
        </w:rPr>
        <w:t>To, że</w:t>
      </w:r>
      <w:r w:rsidRPr="009306C5">
        <w:rPr>
          <w:rFonts w:ascii="Times New Roman" w:hAnsi="Times New Roman" w:cs="Times New Roman"/>
          <w:sz w:val="24"/>
          <w:szCs w:val="24"/>
        </w:rPr>
        <w:t xml:space="preserve"> projekt nowelizacji ustawy - prawo własności przemysłowej </w:t>
      </w:r>
      <w:r w:rsidRPr="009306C5">
        <w:rPr>
          <w:rFonts w:ascii="Times New Roman" w:hAnsi="Times New Roman" w:cs="Times New Roman"/>
          <w:bCs/>
          <w:iCs/>
          <w:color w:val="C00000"/>
          <w:sz w:val="24"/>
          <w:szCs w:val="24"/>
          <w:shd w:val="clear" w:color="auto" w:fill="E8E8E8"/>
        </w:rPr>
        <w:t>nie doczeka się uchwalenia w bieżącej kadencji Sejmu</w:t>
      </w:r>
      <w:r w:rsidRPr="009306C5">
        <w:rPr>
          <w:rFonts w:ascii="Times New Roman" w:hAnsi="Times New Roman" w:cs="Times New Roman"/>
          <w:sz w:val="24"/>
          <w:szCs w:val="24"/>
        </w:rPr>
        <w:t xml:space="preserve"> z pewnością zasługuje</w:t>
      </w:r>
      <w:r w:rsidRPr="009306C5">
        <w:rPr>
          <w:rFonts w:ascii="Times New Roman" w:hAnsi="Times New Roman" w:cs="Times New Roman"/>
          <w:bCs/>
          <w:iCs/>
          <w:color w:val="C00000"/>
          <w:sz w:val="24"/>
          <w:szCs w:val="24"/>
          <w:shd w:val="clear" w:color="auto" w:fill="E8E8E8"/>
        </w:rPr>
        <w:t xml:space="preserve"> na ubolewanie</w:t>
      </w:r>
      <w:r w:rsidRPr="009306C5">
        <w:rPr>
          <w:rFonts w:ascii="Times New Roman" w:hAnsi="Times New Roman" w:cs="Times New Roman"/>
          <w:sz w:val="24"/>
          <w:szCs w:val="24"/>
        </w:rPr>
        <w:t xml:space="preserve">. </w:t>
      </w:r>
    </w:p>
    <w:p w14:paraId="2B0E6D51" w14:textId="77777777" w:rsidR="00453D21" w:rsidRPr="007B46C9" w:rsidRDefault="00453D21" w:rsidP="00811620">
      <w:pPr>
        <w:spacing w:line="240" w:lineRule="auto"/>
        <w:ind w:left="567" w:hanging="567"/>
        <w:jc w:val="both"/>
        <w:rPr>
          <w:rFonts w:ascii="Times New Roman" w:hAnsi="Times New Roman" w:cs="Times New Roman"/>
          <w:sz w:val="14"/>
          <w:szCs w:val="14"/>
        </w:rPr>
      </w:pPr>
    </w:p>
    <w:p w14:paraId="63847BBD" w14:textId="77777777" w:rsidR="00453D21" w:rsidRPr="00811620" w:rsidRDefault="00453D21" w:rsidP="00811620">
      <w:pPr>
        <w:pStyle w:val="Standard"/>
        <w:jc w:val="center"/>
        <w:rPr>
          <w:rFonts w:ascii="Times New Roman" w:hAnsi="Times New Roman" w:cs="Times New Roman"/>
        </w:rPr>
      </w:pPr>
      <w:r w:rsidRPr="00811620">
        <w:rPr>
          <w:rFonts w:ascii="Times New Roman" w:hAnsi="Times New Roman" w:cs="Times New Roman"/>
        </w:rPr>
        <w:t>* * *</w:t>
      </w:r>
    </w:p>
    <w:p w14:paraId="6C8BEE27" w14:textId="77777777" w:rsidR="00453D21" w:rsidRPr="00397E68" w:rsidRDefault="00453D21" w:rsidP="00811620">
      <w:pPr>
        <w:spacing w:after="4" w:line="240" w:lineRule="auto"/>
        <w:ind w:right="-26"/>
        <w:jc w:val="both"/>
        <w:rPr>
          <w:rFonts w:ascii="Times New Roman" w:hAnsi="Times New Roman" w:cs="Times New Roman"/>
          <w:color w:val="2E74B5" w:themeColor="accent5" w:themeShade="BF"/>
          <w:sz w:val="24"/>
          <w:szCs w:val="24"/>
        </w:rPr>
      </w:pPr>
      <w:r w:rsidRPr="007359F4">
        <w:rPr>
          <w:rFonts w:ascii="Times New Roman" w:hAnsi="Times New Roman" w:cs="Times New Roman"/>
          <w:b/>
          <w:iCs/>
          <w:color w:val="00000A"/>
          <w:sz w:val="24"/>
          <w:szCs w:val="24"/>
        </w:rPr>
        <w:t>Prezes Urzędu Patentowego Rzeczypospolitej Polskiej Edyta DEMBY-SIWEK tak odpowiedziała na LIST OTWARTY oraz apel o potwierdzenie zakończenia prac nad projektem ustawy UD-263</w:t>
      </w:r>
      <w:r w:rsidRPr="007359F4">
        <w:rPr>
          <w:rFonts w:ascii="Times New Roman" w:hAnsi="Times New Roman" w:cs="Times New Roman"/>
          <w:sz w:val="24"/>
          <w:szCs w:val="24"/>
        </w:rPr>
        <w:tab/>
      </w:r>
      <w:r w:rsidRPr="00397E68">
        <w:rPr>
          <w:rFonts w:ascii="Times New Roman" w:hAnsi="Times New Roman" w:cs="Times New Roman"/>
          <w:color w:val="2E74B5" w:themeColor="accent5" w:themeShade="BF"/>
          <w:sz w:val="24"/>
          <w:szCs w:val="24"/>
        </w:rPr>
        <w:t xml:space="preserve"> </w:t>
      </w:r>
      <w:hyperlink r:id="rId19" w:history="1">
        <w:r w:rsidRPr="00397E68">
          <w:rPr>
            <w:rFonts w:ascii="Times New Roman" w:hAnsi="Times New Roman" w:cs="Times New Roman"/>
            <w:color w:val="2E74B5" w:themeColor="accent5" w:themeShade="BF"/>
            <w:sz w:val="24"/>
            <w:szCs w:val="24"/>
          </w:rPr>
          <w:t>https://stowi.pl/list-otwarty-dot-koniecznosci-potwierdzenia-zakonczenia-prac-nad-projektem-ustawy-prawo-wlasnosci-przemyslowej-ud-263/</w:t>
        </w:r>
      </w:hyperlink>
      <w:r w:rsidRPr="00397E68">
        <w:rPr>
          <w:rFonts w:ascii="Times New Roman" w:hAnsi="Times New Roman" w:cs="Times New Roman"/>
          <w:color w:val="2E74B5" w:themeColor="accent5" w:themeShade="BF"/>
          <w:sz w:val="24"/>
          <w:szCs w:val="24"/>
        </w:rPr>
        <w:t xml:space="preserve">  </w:t>
      </w:r>
    </w:p>
    <w:p w14:paraId="4F3C4EF8" w14:textId="77777777" w:rsidR="00453D21" w:rsidRPr="007359F4" w:rsidRDefault="00453D21" w:rsidP="00811620">
      <w:pPr>
        <w:pStyle w:val="Standard"/>
        <w:jc w:val="both"/>
        <w:rPr>
          <w:rFonts w:ascii="Times New Roman" w:hAnsi="Times New Roman" w:cs="Times New Roman"/>
        </w:rPr>
      </w:pPr>
      <w:r w:rsidRPr="007359F4">
        <w:rPr>
          <w:rFonts w:ascii="Times New Roman" w:hAnsi="Times New Roman" w:cs="Times New Roman"/>
          <w:b/>
          <w:bCs/>
          <w:shd w:val="clear" w:color="auto" w:fill="E8E8E8"/>
        </w:rPr>
        <w:t>2023.09.08</w:t>
      </w:r>
      <w:r w:rsidRPr="007359F4">
        <w:rPr>
          <w:rFonts w:ascii="Times New Roman" w:hAnsi="Times New Roman" w:cs="Times New Roman"/>
          <w:b/>
          <w:bCs/>
        </w:rPr>
        <w:t>:</w:t>
      </w:r>
    </w:p>
    <w:p w14:paraId="57AE6339" w14:textId="77777777" w:rsidR="00453D21" w:rsidRPr="007359F4" w:rsidRDefault="00453D21" w:rsidP="00DB51DA">
      <w:pPr>
        <w:spacing w:after="0" w:line="240" w:lineRule="auto"/>
        <w:ind w:left="567" w:hanging="567"/>
        <w:jc w:val="both"/>
        <w:rPr>
          <w:rFonts w:ascii="Times New Roman" w:hAnsi="Times New Roman" w:cs="Times New Roman"/>
          <w:sz w:val="24"/>
          <w:szCs w:val="24"/>
        </w:rPr>
      </w:pPr>
      <w:r w:rsidRPr="007359F4">
        <w:rPr>
          <w:rFonts w:ascii="Times New Roman" w:hAnsi="Times New Roman" w:cs="Times New Roman"/>
          <w:sz w:val="24"/>
          <w:szCs w:val="24"/>
        </w:rPr>
        <w:t xml:space="preserve"> </w:t>
      </w:r>
      <w:r w:rsidRPr="007359F4">
        <w:rPr>
          <w:rFonts w:ascii="Times New Roman" w:hAnsi="Times New Roman" w:cs="Times New Roman"/>
          <w:sz w:val="24"/>
          <w:szCs w:val="24"/>
        </w:rPr>
        <w:tab/>
      </w:r>
      <w:r w:rsidRPr="007359F4">
        <w:rPr>
          <w:rFonts w:ascii="Times New Roman" w:hAnsi="Times New Roman" w:cs="Times New Roman"/>
          <w:bCs/>
          <w:iCs/>
          <w:color w:val="C00000"/>
          <w:sz w:val="24"/>
          <w:szCs w:val="24"/>
          <w:shd w:val="clear" w:color="auto" w:fill="E8E8E8"/>
        </w:rPr>
        <w:t xml:space="preserve">Odpowiadając </w:t>
      </w:r>
      <w:r w:rsidRPr="007359F4">
        <w:rPr>
          <w:rFonts w:ascii="Times New Roman" w:hAnsi="Times New Roman" w:cs="Times New Roman"/>
          <w:sz w:val="24"/>
          <w:szCs w:val="24"/>
        </w:rPr>
        <w:t>na Państwa pismo z dnia 25 sierpnia 2023 r. dotyczące „</w:t>
      </w:r>
      <w:r w:rsidRPr="007359F4">
        <w:rPr>
          <w:rFonts w:ascii="Times New Roman" w:hAnsi="Times New Roman" w:cs="Times New Roman"/>
          <w:i/>
          <w:iCs/>
          <w:sz w:val="24"/>
          <w:szCs w:val="24"/>
        </w:rPr>
        <w:t xml:space="preserve">konieczności potwierdzenia </w:t>
      </w:r>
      <w:r w:rsidRPr="007359F4">
        <w:rPr>
          <w:rFonts w:ascii="Times New Roman" w:hAnsi="Times New Roman" w:cs="Times New Roman"/>
          <w:bCs/>
          <w:i/>
          <w:iCs/>
          <w:color w:val="C00000"/>
          <w:sz w:val="24"/>
          <w:szCs w:val="24"/>
          <w:shd w:val="clear" w:color="auto" w:fill="E8E8E8"/>
        </w:rPr>
        <w:t xml:space="preserve">zakończenia </w:t>
      </w:r>
      <w:bookmarkStart w:id="9" w:name="_Hlk168205269"/>
      <w:r w:rsidRPr="007359F4">
        <w:rPr>
          <w:rFonts w:ascii="Times New Roman" w:hAnsi="Times New Roman" w:cs="Times New Roman"/>
          <w:bCs/>
          <w:i/>
          <w:iCs/>
          <w:color w:val="C00000"/>
          <w:sz w:val="24"/>
          <w:szCs w:val="24"/>
          <w:shd w:val="clear" w:color="auto" w:fill="E8E8E8"/>
        </w:rPr>
        <w:t>prac nad projektem</w:t>
      </w:r>
      <w:r w:rsidRPr="007359F4">
        <w:rPr>
          <w:rFonts w:ascii="Times New Roman" w:hAnsi="Times New Roman" w:cs="Times New Roman"/>
          <w:i/>
          <w:iCs/>
          <w:sz w:val="24"/>
          <w:szCs w:val="24"/>
        </w:rPr>
        <w:t xml:space="preserve"> ustawy - </w:t>
      </w:r>
      <w:r w:rsidRPr="007359F4">
        <w:rPr>
          <w:rFonts w:ascii="Times New Roman" w:hAnsi="Times New Roman" w:cs="Times New Roman"/>
          <w:bCs/>
          <w:i/>
          <w:iCs/>
          <w:color w:val="C00000"/>
          <w:sz w:val="24"/>
          <w:szCs w:val="24"/>
          <w:shd w:val="clear" w:color="auto" w:fill="E8E8E8"/>
        </w:rPr>
        <w:t>Prawo własności przemysłowej UD-263</w:t>
      </w:r>
      <w:bookmarkEnd w:id="9"/>
      <w:r w:rsidRPr="007359F4">
        <w:rPr>
          <w:rFonts w:ascii="Times New Roman" w:hAnsi="Times New Roman" w:cs="Times New Roman"/>
          <w:sz w:val="24"/>
          <w:szCs w:val="24"/>
        </w:rPr>
        <w:t xml:space="preserve">", uprzejmie informuję, że projekt ten jest wpisany do planu prac Rady Ministrów. Planowany </w:t>
      </w:r>
      <w:r w:rsidRPr="007359F4">
        <w:rPr>
          <w:rFonts w:ascii="Times New Roman" w:hAnsi="Times New Roman" w:cs="Times New Roman"/>
          <w:bCs/>
          <w:iCs/>
          <w:color w:val="C00000"/>
          <w:sz w:val="24"/>
          <w:szCs w:val="24"/>
          <w:shd w:val="clear" w:color="auto" w:fill="E8E8E8"/>
        </w:rPr>
        <w:t>termin przyjęcia</w:t>
      </w:r>
      <w:r w:rsidRPr="007359F4">
        <w:rPr>
          <w:rFonts w:ascii="Times New Roman" w:hAnsi="Times New Roman" w:cs="Times New Roman"/>
          <w:sz w:val="24"/>
          <w:szCs w:val="24"/>
        </w:rPr>
        <w:t xml:space="preserve"> tego projektu przez Radę </w:t>
      </w:r>
      <w:r w:rsidRPr="007359F4">
        <w:rPr>
          <w:rFonts w:ascii="Times New Roman" w:hAnsi="Times New Roman" w:cs="Times New Roman"/>
          <w:bCs/>
          <w:iCs/>
          <w:color w:val="C00000"/>
          <w:sz w:val="24"/>
          <w:szCs w:val="24"/>
          <w:shd w:val="clear" w:color="auto" w:fill="E8E8E8"/>
        </w:rPr>
        <w:t>Ministrów to I kwartał 2024</w:t>
      </w:r>
      <w:r w:rsidRPr="007359F4">
        <w:rPr>
          <w:rFonts w:ascii="Times New Roman" w:hAnsi="Times New Roman" w:cs="Times New Roman"/>
          <w:sz w:val="24"/>
          <w:szCs w:val="24"/>
        </w:rPr>
        <w:t xml:space="preserve"> r. (…).</w:t>
      </w:r>
    </w:p>
    <w:p w14:paraId="4C5D33E5" w14:textId="77777777" w:rsidR="007B46C9" w:rsidRPr="00FA3A7E" w:rsidRDefault="007B46C9" w:rsidP="007B46C9">
      <w:pPr>
        <w:pStyle w:val="Standard"/>
        <w:jc w:val="center"/>
        <w:rPr>
          <w:rFonts w:hint="eastAsia"/>
        </w:rPr>
      </w:pPr>
    </w:p>
    <w:p w14:paraId="0CF5EA4C" w14:textId="2BE00644" w:rsidR="007B46C9" w:rsidRDefault="007B46C9" w:rsidP="007B46C9">
      <w:pPr>
        <w:pStyle w:val="Standard"/>
        <w:jc w:val="center"/>
        <w:rPr>
          <w:rFonts w:hint="eastAsia"/>
        </w:rPr>
      </w:pPr>
      <w:r>
        <w:t>* * *</w:t>
      </w:r>
    </w:p>
    <w:p w14:paraId="512A19E9" w14:textId="3C30AC01" w:rsidR="007B46C9" w:rsidRDefault="007B46C9" w:rsidP="009E6B96">
      <w:pPr>
        <w:pStyle w:val="Standard"/>
        <w:tabs>
          <w:tab w:val="left" w:pos="567"/>
        </w:tabs>
        <w:jc w:val="both"/>
        <w:rPr>
          <w:rFonts w:hint="eastAsia"/>
        </w:rPr>
      </w:pPr>
      <w:r>
        <w:rPr>
          <w:b/>
          <w:bCs/>
        </w:rPr>
        <w:t xml:space="preserve"> </w:t>
      </w:r>
      <w:r>
        <w:rPr>
          <w:b/>
          <w:bCs/>
        </w:rPr>
        <w:tab/>
      </w:r>
      <w:r w:rsidR="00EB289C" w:rsidRPr="00EB289C">
        <w:t>Podsumowując, p</w:t>
      </w:r>
      <w:r>
        <w:t>race</w:t>
      </w:r>
      <w:r w:rsidRPr="001B5832">
        <w:t xml:space="preserve"> </w:t>
      </w:r>
      <w:r>
        <w:t xml:space="preserve">nad wadliwym </w:t>
      </w:r>
      <w:r w:rsidRPr="001B5832">
        <w:t>projektem UD263 Prawo</w:t>
      </w:r>
      <w:r>
        <w:t xml:space="preserve"> własności przemysłowej </w:t>
      </w:r>
      <w:r w:rsidRPr="00F87DD8">
        <w:rPr>
          <w:b/>
          <w:bCs/>
        </w:rPr>
        <w:t>rozpoc</w:t>
      </w:r>
      <w:r>
        <w:rPr>
          <w:b/>
          <w:bCs/>
        </w:rPr>
        <w:t>zęto</w:t>
      </w:r>
      <w:r w:rsidRPr="00F87DD8">
        <w:rPr>
          <w:b/>
          <w:bCs/>
        </w:rPr>
        <w:t xml:space="preserve"> w 20</w:t>
      </w:r>
      <w:r>
        <w:rPr>
          <w:b/>
          <w:bCs/>
        </w:rPr>
        <w:t>19</w:t>
      </w:r>
      <w:r>
        <w:t xml:space="preserve"> r. </w:t>
      </w:r>
    </w:p>
    <w:p w14:paraId="5730D13E" w14:textId="05E0C749" w:rsidR="007B46C9" w:rsidRPr="00F87DD8" w:rsidRDefault="007B46C9" w:rsidP="007B46C9">
      <w:pPr>
        <w:pStyle w:val="Standard"/>
        <w:jc w:val="both"/>
        <w:rPr>
          <w:rFonts w:hint="eastAsia"/>
        </w:rPr>
      </w:pPr>
      <w:r>
        <w:t>Projekt ten p</w:t>
      </w:r>
      <w:r w:rsidRPr="00EB5E50">
        <w:t xml:space="preserve">owstał </w:t>
      </w:r>
      <w:r w:rsidRPr="00EB5E50">
        <w:rPr>
          <w:b/>
          <w:bCs/>
        </w:rPr>
        <w:t>w Urzędzie Patentowym RP</w:t>
      </w:r>
      <w:r>
        <w:t xml:space="preserve">, którego </w:t>
      </w:r>
      <w:r w:rsidRPr="00F87DD8">
        <w:t xml:space="preserve">kierownictwo </w:t>
      </w:r>
      <w:r>
        <w:t xml:space="preserve">do dziś </w:t>
      </w:r>
      <w:r>
        <w:rPr>
          <w:b/>
          <w:bCs/>
        </w:rPr>
        <w:t xml:space="preserve">osłania się </w:t>
      </w:r>
      <w:r w:rsidRPr="001B5832">
        <w:t>pustym zapewnieniem</w:t>
      </w:r>
      <w:r>
        <w:rPr>
          <w:b/>
          <w:bCs/>
        </w:rPr>
        <w:t xml:space="preserve"> </w:t>
      </w:r>
      <w:r w:rsidRPr="00246BF0">
        <w:rPr>
          <w:b/>
          <w:bCs/>
          <w:i/>
          <w:iCs/>
        </w:rPr>
        <w:t>„projekt rządowy”</w:t>
      </w:r>
      <w:r w:rsidRPr="00F87DD8">
        <w:rPr>
          <w:i/>
          <w:iCs/>
        </w:rPr>
        <w:t>.</w:t>
      </w:r>
    </w:p>
    <w:p w14:paraId="06D809F3" w14:textId="77777777" w:rsidR="007B46C9" w:rsidRPr="0085476F" w:rsidRDefault="007B46C9" w:rsidP="007B46C9">
      <w:pPr>
        <w:pStyle w:val="Standard"/>
        <w:jc w:val="both"/>
        <w:rPr>
          <w:rFonts w:hint="eastAsia"/>
          <w:sz w:val="10"/>
          <w:szCs w:val="10"/>
        </w:rPr>
      </w:pPr>
    </w:p>
    <w:p w14:paraId="29025B43" w14:textId="676EC40D" w:rsidR="007B46C9" w:rsidRDefault="009E6B96" w:rsidP="007B46C9">
      <w:pPr>
        <w:pStyle w:val="Standard"/>
        <w:jc w:val="both"/>
        <w:rPr>
          <w:rFonts w:hint="eastAsia"/>
        </w:rPr>
      </w:pPr>
      <w:r>
        <w:t xml:space="preserve">Nowa ustawa </w:t>
      </w:r>
      <w:r w:rsidRPr="001B5832">
        <w:t>Prawo</w:t>
      </w:r>
      <w:r>
        <w:t xml:space="preserve"> własności przemysłowej m</w:t>
      </w:r>
      <w:r w:rsidR="007B46C9" w:rsidRPr="009E6B96">
        <w:t>iał</w:t>
      </w:r>
      <w:r>
        <w:t>a</w:t>
      </w:r>
      <w:r w:rsidR="007B46C9" w:rsidRPr="009E6B96">
        <w:t xml:space="preserve"> zrealizować</w:t>
      </w:r>
      <w:r w:rsidRPr="00E307FD">
        <w:rPr>
          <w:b/>
          <w:bCs/>
          <w:spacing w:val="60"/>
        </w:rPr>
        <w:t xml:space="preserve"> </w:t>
      </w:r>
      <w:r w:rsidR="007B46C9" w:rsidRPr="009E6B96">
        <w:rPr>
          <w:b/>
          <w:bCs/>
          <w:spacing w:val="60"/>
        </w:rPr>
        <w:t xml:space="preserve">dwa </w:t>
      </w:r>
      <w:r w:rsidR="007B46C9" w:rsidRPr="009E6B96">
        <w:rPr>
          <w:b/>
          <w:bCs/>
        </w:rPr>
        <w:t>podstawowe</w:t>
      </w:r>
      <w:r w:rsidR="007B46C9">
        <w:t>, lecz</w:t>
      </w:r>
      <w:r w:rsidRPr="00E307FD">
        <w:rPr>
          <w:b/>
          <w:bCs/>
          <w:spacing w:val="60"/>
        </w:rPr>
        <w:t xml:space="preserve"> </w:t>
      </w:r>
      <w:r w:rsidR="007B46C9" w:rsidRPr="00E307FD">
        <w:rPr>
          <w:b/>
          <w:bCs/>
          <w:spacing w:val="60"/>
        </w:rPr>
        <w:t>niewypowiadane</w:t>
      </w:r>
      <w:bookmarkStart w:id="10" w:name="_Hlk168900024"/>
      <w:r w:rsidR="007B46C9" w:rsidRPr="00E307FD">
        <w:rPr>
          <w:b/>
          <w:bCs/>
          <w:spacing w:val="60"/>
        </w:rPr>
        <w:t xml:space="preserve"> </w:t>
      </w:r>
      <w:bookmarkEnd w:id="10"/>
      <w:r w:rsidR="007B46C9" w:rsidRPr="009E6B96">
        <w:rPr>
          <w:b/>
          <w:bCs/>
        </w:rPr>
        <w:t>głośno</w:t>
      </w:r>
      <w:r w:rsidR="007B46C9" w:rsidRPr="00E307FD">
        <w:rPr>
          <w:b/>
          <w:bCs/>
          <w:spacing w:val="60"/>
        </w:rPr>
        <w:t xml:space="preserve"> cele</w:t>
      </w:r>
      <w:r w:rsidR="007B46C9">
        <w:t xml:space="preserve">: </w:t>
      </w:r>
    </w:p>
    <w:p w14:paraId="5A73E4B7" w14:textId="77777777" w:rsidR="007B46C9" w:rsidRPr="00E307FD" w:rsidRDefault="007B46C9" w:rsidP="007B46C9">
      <w:pPr>
        <w:pStyle w:val="Standard"/>
        <w:jc w:val="both"/>
        <w:rPr>
          <w:rFonts w:hint="eastAsia"/>
          <w:sz w:val="10"/>
          <w:szCs w:val="10"/>
        </w:rPr>
      </w:pPr>
    </w:p>
    <w:p w14:paraId="2B1A3658" w14:textId="6AF3B7AF" w:rsidR="007B46C9" w:rsidRDefault="007B46C9" w:rsidP="009E6B96">
      <w:pPr>
        <w:pStyle w:val="Standard"/>
        <w:tabs>
          <w:tab w:val="left" w:pos="142"/>
        </w:tabs>
        <w:ind w:left="567" w:hanging="425"/>
        <w:jc w:val="both"/>
        <w:rPr>
          <w:rFonts w:hint="eastAsia"/>
        </w:rPr>
      </w:pPr>
      <w:r>
        <w:t xml:space="preserve">1/ </w:t>
      </w:r>
      <w:r>
        <w:tab/>
      </w:r>
      <w:r w:rsidR="009E6B96">
        <w:t xml:space="preserve">miała </w:t>
      </w:r>
      <w:r w:rsidRPr="00E307FD">
        <w:rPr>
          <w:b/>
          <w:bCs/>
        </w:rPr>
        <w:t>zwiększ</w:t>
      </w:r>
      <w:r w:rsidR="009E6B96">
        <w:rPr>
          <w:b/>
          <w:bCs/>
        </w:rPr>
        <w:t xml:space="preserve">yć </w:t>
      </w:r>
      <w:r w:rsidR="00CA2035">
        <w:rPr>
          <w:b/>
          <w:bCs/>
        </w:rPr>
        <w:t>przychod</w:t>
      </w:r>
      <w:r w:rsidR="009E6B96">
        <w:rPr>
          <w:b/>
          <w:bCs/>
        </w:rPr>
        <w:t>y</w:t>
      </w:r>
      <w:r w:rsidRPr="00E307FD">
        <w:rPr>
          <w:b/>
          <w:bCs/>
        </w:rPr>
        <w:t xml:space="preserve"> Urzędu</w:t>
      </w:r>
      <w:r>
        <w:t xml:space="preserve"> Patentowego RP (którego </w:t>
      </w:r>
      <w:r w:rsidRPr="00EB5E50">
        <w:rPr>
          <w:b/>
          <w:bCs/>
        </w:rPr>
        <w:t xml:space="preserve">rola </w:t>
      </w:r>
      <w:r w:rsidRPr="00A05A45">
        <w:t xml:space="preserve">miała </w:t>
      </w:r>
      <w:r w:rsidR="009E6B96" w:rsidRPr="00A05A45">
        <w:t>sprowadzać się do</w:t>
      </w:r>
      <w:r w:rsidR="009E6B96">
        <w:rPr>
          <w:b/>
          <w:bCs/>
        </w:rPr>
        <w:t xml:space="preserve"> </w:t>
      </w:r>
      <w:r w:rsidRPr="00EB5E50">
        <w:rPr>
          <w:b/>
          <w:bCs/>
        </w:rPr>
        <w:t>pobierani</w:t>
      </w:r>
      <w:r w:rsidR="00A05A45">
        <w:rPr>
          <w:b/>
          <w:bCs/>
        </w:rPr>
        <w:t>a</w:t>
      </w:r>
      <w:r w:rsidRPr="00EB5E50">
        <w:rPr>
          <w:b/>
          <w:bCs/>
        </w:rPr>
        <w:t xml:space="preserve"> opłat</w:t>
      </w:r>
      <w:r>
        <w:t xml:space="preserve"> z tytułu automatycznie </w:t>
      </w:r>
      <w:r w:rsidRPr="00EB5E50">
        <w:rPr>
          <w:b/>
          <w:bCs/>
        </w:rPr>
        <w:t>rejestrowanych wzorów użytkowych</w:t>
      </w:r>
      <w:r>
        <w:t xml:space="preserve">, ochrona na </w:t>
      </w:r>
      <w:r>
        <w:lastRenderedPageBreak/>
        <w:t xml:space="preserve">które miała być udzielana </w:t>
      </w:r>
      <w:r w:rsidR="00CA2035">
        <w:t xml:space="preserve">bez </w:t>
      </w:r>
      <w:r>
        <w:t>trybu badawczego, które za to „</w:t>
      </w:r>
      <w:r w:rsidRPr="002C66BD">
        <w:rPr>
          <w:i/>
          <w:iCs/>
        </w:rPr>
        <w:t>znak</w:t>
      </w:r>
      <w:r>
        <w:rPr>
          <w:i/>
          <w:iCs/>
        </w:rPr>
        <w:t>o</w:t>
      </w:r>
      <w:r w:rsidRPr="002C66BD">
        <w:rPr>
          <w:i/>
          <w:iCs/>
        </w:rPr>
        <w:t>micie</w:t>
      </w:r>
      <w:r>
        <w:t xml:space="preserve">” </w:t>
      </w:r>
      <w:r w:rsidRPr="00E307FD">
        <w:rPr>
          <w:b/>
          <w:bCs/>
        </w:rPr>
        <w:t>zamula</w:t>
      </w:r>
      <w:r>
        <w:rPr>
          <w:b/>
          <w:bCs/>
        </w:rPr>
        <w:t xml:space="preserve">łyby </w:t>
      </w:r>
      <w:r w:rsidR="00FA3A7E">
        <w:rPr>
          <w:b/>
          <w:bCs/>
        </w:rPr>
        <w:br/>
      </w:r>
      <w:r w:rsidR="00840731">
        <w:t xml:space="preserve">system prawa </w:t>
      </w:r>
      <w:r>
        <w:t>własności intelektualnej,</w:t>
      </w:r>
    </w:p>
    <w:p w14:paraId="27A39D18" w14:textId="4611D2D2" w:rsidR="007B46C9" w:rsidRDefault="007B46C9" w:rsidP="009E6B96">
      <w:pPr>
        <w:pStyle w:val="Standard"/>
        <w:tabs>
          <w:tab w:val="left" w:pos="142"/>
        </w:tabs>
        <w:ind w:left="567" w:hanging="425"/>
        <w:jc w:val="both"/>
        <w:rPr>
          <w:rFonts w:hint="eastAsia"/>
        </w:rPr>
      </w:pPr>
      <w:r>
        <w:t>2</w:t>
      </w:r>
      <w:proofErr w:type="gramStart"/>
      <w:r>
        <w:t xml:space="preserve">/ </w:t>
      </w:r>
      <w:r w:rsidR="009E6B96">
        <w:t xml:space="preserve"> </w:t>
      </w:r>
      <w:r w:rsidR="009E6B96">
        <w:tab/>
      </w:r>
      <w:proofErr w:type="gramEnd"/>
      <w:r>
        <w:t xml:space="preserve">kolejny </w:t>
      </w:r>
      <w:r w:rsidRPr="002C66BD">
        <w:rPr>
          <w:b/>
          <w:bCs/>
        </w:rPr>
        <w:t>rezultat</w:t>
      </w:r>
      <w:r>
        <w:t xml:space="preserve"> oczekiwany przez sojuszników projektodawców </w:t>
      </w:r>
      <w:r w:rsidR="009E6B96">
        <w:t xml:space="preserve">nowej ustawy Prawo własności przemysłowej </w:t>
      </w:r>
      <w:r>
        <w:t>-</w:t>
      </w:r>
      <w:r w:rsidRPr="002C66BD">
        <w:t xml:space="preserve"> </w:t>
      </w:r>
      <w:r>
        <w:t xml:space="preserve">polegać miał na </w:t>
      </w:r>
      <w:r w:rsidRPr="002C66BD">
        <w:rPr>
          <w:b/>
          <w:bCs/>
        </w:rPr>
        <w:t>zwiększeniu</w:t>
      </w:r>
      <w:r>
        <w:t xml:space="preserve"> </w:t>
      </w:r>
      <w:r>
        <w:rPr>
          <w:b/>
          <w:bCs/>
        </w:rPr>
        <w:t xml:space="preserve">popytu na usługi prawne </w:t>
      </w:r>
      <w:r w:rsidRPr="009E6B96">
        <w:rPr>
          <w:b/>
          <w:bCs/>
        </w:rPr>
        <w:t>świadczone przez pełnomocników</w:t>
      </w:r>
      <w:r>
        <w:t xml:space="preserve"> deklarujących, że są „</w:t>
      </w:r>
      <w:r w:rsidRPr="002C66BD">
        <w:rPr>
          <w:i/>
          <w:iCs/>
        </w:rPr>
        <w:t>profesjonalistami</w:t>
      </w:r>
      <w:r>
        <w:t>” w dziedzinie prawa własności przemysłowej.</w:t>
      </w:r>
    </w:p>
    <w:p w14:paraId="4ACE745D" w14:textId="77777777" w:rsidR="007B46C9" w:rsidRPr="00E307FD" w:rsidRDefault="007B46C9" w:rsidP="007B46C9">
      <w:pPr>
        <w:spacing w:after="0"/>
        <w:jc w:val="both"/>
        <w:rPr>
          <w:rFonts w:ascii="Liberation Serif" w:eastAsia="SimSun" w:hAnsi="Liberation Serif" w:cs="Mangal" w:hint="eastAsia"/>
          <w:b/>
          <w:bCs/>
          <w:kern w:val="3"/>
          <w:sz w:val="10"/>
          <w:szCs w:val="10"/>
          <w:lang w:eastAsia="zh-CN" w:bidi="hi-IN"/>
          <w14:ligatures w14:val="none"/>
        </w:rPr>
      </w:pPr>
    </w:p>
    <w:p w14:paraId="2292C2DD" w14:textId="77777777" w:rsidR="008C6840" w:rsidRPr="008C6840" w:rsidRDefault="00A05A45" w:rsidP="00A05A45">
      <w:pPr>
        <w:pStyle w:val="Standard"/>
        <w:tabs>
          <w:tab w:val="left" w:pos="567"/>
        </w:tabs>
        <w:jc w:val="both"/>
        <w:rPr>
          <w:rFonts w:hint="eastAsia"/>
        </w:rPr>
      </w:pPr>
      <w:r>
        <w:rPr>
          <w:b/>
          <w:bCs/>
        </w:rPr>
        <w:t xml:space="preserve"> </w:t>
      </w:r>
      <w:r>
        <w:rPr>
          <w:b/>
          <w:bCs/>
        </w:rPr>
        <w:tab/>
      </w:r>
      <w:r w:rsidR="007B46C9" w:rsidRPr="008C6840">
        <w:rPr>
          <w:b/>
          <w:bCs/>
        </w:rPr>
        <w:t>Do prac</w:t>
      </w:r>
      <w:r w:rsidR="007B46C9" w:rsidRPr="008C6840">
        <w:t xml:space="preserve"> nad projektem nowego Prawa własności przemysłowej </w:t>
      </w:r>
      <w:r w:rsidR="007B46C9" w:rsidRPr="008C6840">
        <w:rPr>
          <w:b/>
          <w:bCs/>
        </w:rPr>
        <w:t>zaproszono partnerów</w:t>
      </w:r>
      <w:r w:rsidR="007B46C9" w:rsidRPr="008C6840">
        <w:t>, którzy zignorowali temat</w:t>
      </w:r>
      <w:r w:rsidR="00EF5B72" w:rsidRPr="008C6840">
        <w:t xml:space="preserve">, gdyż </w:t>
      </w:r>
      <w:r w:rsidR="007B46C9" w:rsidRPr="008C6840">
        <w:t>nie opłacało im się wchodz</w:t>
      </w:r>
      <w:r w:rsidR="00280D03" w:rsidRPr="008C6840">
        <w:t xml:space="preserve">enie </w:t>
      </w:r>
      <w:r w:rsidR="007B46C9" w:rsidRPr="008C6840">
        <w:t>w konflikt z inicjatorami</w:t>
      </w:r>
      <w:r w:rsidR="00EF5B72" w:rsidRPr="008C6840">
        <w:t xml:space="preserve">. </w:t>
      </w:r>
    </w:p>
    <w:p w14:paraId="6D52FB09" w14:textId="22DAAE1C" w:rsidR="007B46C9" w:rsidRPr="008C6840" w:rsidRDefault="00EF5B72" w:rsidP="00A05A45">
      <w:pPr>
        <w:pStyle w:val="Standard"/>
        <w:tabs>
          <w:tab w:val="left" w:pos="567"/>
        </w:tabs>
        <w:jc w:val="both"/>
        <w:rPr>
          <w:rFonts w:hint="eastAsia"/>
        </w:rPr>
      </w:pPr>
      <w:r w:rsidRPr="008C6840">
        <w:rPr>
          <w:b/>
          <w:bCs/>
        </w:rPr>
        <w:t>N</w:t>
      </w:r>
      <w:r w:rsidR="007B46C9" w:rsidRPr="008C6840">
        <w:rPr>
          <w:b/>
          <w:bCs/>
        </w:rPr>
        <w:t xml:space="preserve">ie </w:t>
      </w:r>
      <w:r w:rsidR="008C6840" w:rsidRPr="008C6840">
        <w:rPr>
          <w:b/>
          <w:bCs/>
        </w:rPr>
        <w:t xml:space="preserve">zostali </w:t>
      </w:r>
      <w:r w:rsidR="008C6840" w:rsidRPr="008C6840">
        <w:t xml:space="preserve">natomiast </w:t>
      </w:r>
      <w:r w:rsidR="007B46C9" w:rsidRPr="008C6840">
        <w:rPr>
          <w:b/>
          <w:bCs/>
        </w:rPr>
        <w:t>zapr</w:t>
      </w:r>
      <w:r w:rsidR="00A05A45" w:rsidRPr="008C6840">
        <w:rPr>
          <w:b/>
          <w:bCs/>
        </w:rPr>
        <w:t>o</w:t>
      </w:r>
      <w:r w:rsidR="007B46C9" w:rsidRPr="008C6840">
        <w:rPr>
          <w:b/>
          <w:bCs/>
        </w:rPr>
        <w:t>sz</w:t>
      </w:r>
      <w:r w:rsidR="008C6840" w:rsidRPr="008C6840">
        <w:rPr>
          <w:b/>
          <w:bCs/>
        </w:rPr>
        <w:t>eni</w:t>
      </w:r>
      <w:r w:rsidR="007B46C9" w:rsidRPr="008C6840">
        <w:t xml:space="preserve"> </w:t>
      </w:r>
      <w:r w:rsidR="007B46C9" w:rsidRPr="008C6840">
        <w:rPr>
          <w:b/>
          <w:bCs/>
        </w:rPr>
        <w:t>ważn</w:t>
      </w:r>
      <w:r w:rsidR="008C6840" w:rsidRPr="008C6840">
        <w:rPr>
          <w:b/>
          <w:bCs/>
        </w:rPr>
        <w:t>i</w:t>
      </w:r>
      <w:r w:rsidR="007B46C9" w:rsidRPr="008C6840">
        <w:rPr>
          <w:b/>
          <w:bCs/>
        </w:rPr>
        <w:t xml:space="preserve"> gracz</w:t>
      </w:r>
      <w:r w:rsidR="008C6840" w:rsidRPr="008C6840">
        <w:rPr>
          <w:b/>
          <w:bCs/>
        </w:rPr>
        <w:t>e</w:t>
      </w:r>
      <w:r w:rsidR="007B46C9" w:rsidRPr="008C6840">
        <w:t xml:space="preserve">, ani też </w:t>
      </w:r>
      <w:proofErr w:type="spellStart"/>
      <w:r w:rsidR="007B46C9" w:rsidRPr="008C6840">
        <w:rPr>
          <w:b/>
          <w:bCs/>
        </w:rPr>
        <w:t>merytory</w:t>
      </w:r>
      <w:r w:rsidR="008C6840" w:rsidRPr="008C6840">
        <w:rPr>
          <w:b/>
          <w:bCs/>
        </w:rPr>
        <w:t>ści</w:t>
      </w:r>
      <w:proofErr w:type="spellEnd"/>
      <w:r w:rsidR="007B46C9" w:rsidRPr="008C6840">
        <w:t>, którzy rozumieliby</w:t>
      </w:r>
      <w:r w:rsidR="00840731">
        <w:t>,</w:t>
      </w:r>
      <w:r w:rsidR="007B46C9" w:rsidRPr="008C6840">
        <w:t xml:space="preserve"> na jaki temat mają się wypowiedzieć.</w:t>
      </w:r>
    </w:p>
    <w:p w14:paraId="23756DA6" w14:textId="77777777" w:rsidR="007B46C9" w:rsidRPr="008C6840" w:rsidRDefault="007B46C9" w:rsidP="007B46C9">
      <w:pPr>
        <w:pStyle w:val="Standard"/>
        <w:jc w:val="both"/>
        <w:rPr>
          <w:rFonts w:hint="eastAsia"/>
          <w:b/>
          <w:bCs/>
          <w:sz w:val="10"/>
          <w:szCs w:val="10"/>
        </w:rPr>
      </w:pPr>
    </w:p>
    <w:p w14:paraId="2FFC26BB" w14:textId="3A5633A0" w:rsidR="00280D03" w:rsidRPr="008C6840" w:rsidRDefault="007B46C9" w:rsidP="00280D03">
      <w:pPr>
        <w:spacing w:after="0"/>
        <w:jc w:val="both"/>
        <w:rPr>
          <w:rFonts w:ascii="Liberation Serif" w:hAnsi="Liberation Serif"/>
          <w:sz w:val="24"/>
          <w:szCs w:val="24"/>
        </w:rPr>
      </w:pPr>
      <w:r w:rsidRPr="008C6840">
        <w:rPr>
          <w:rFonts w:ascii="Liberation Serif" w:eastAsia="SimSun" w:hAnsi="Liberation Serif" w:cs="Mangal"/>
          <w:b/>
          <w:bCs/>
          <w:kern w:val="3"/>
          <w:sz w:val="24"/>
          <w:szCs w:val="24"/>
          <w:lang w:eastAsia="zh-CN" w:bidi="hi-IN"/>
          <w14:ligatures w14:val="none"/>
        </w:rPr>
        <w:t>Zrozumienie istoty problem</w:t>
      </w:r>
      <w:r w:rsidR="008C6840" w:rsidRPr="008C6840">
        <w:rPr>
          <w:rFonts w:ascii="Liberation Serif" w:eastAsia="SimSun" w:hAnsi="Liberation Serif" w:cs="Mangal"/>
          <w:b/>
          <w:bCs/>
          <w:kern w:val="3"/>
          <w:sz w:val="24"/>
          <w:szCs w:val="24"/>
          <w:lang w:eastAsia="zh-CN" w:bidi="hi-IN"/>
          <w14:ligatures w14:val="none"/>
        </w:rPr>
        <w:t>ów</w:t>
      </w:r>
      <w:r w:rsidR="008C6840" w:rsidRPr="008C6840">
        <w:rPr>
          <w:rFonts w:ascii="Liberation Serif" w:eastAsia="SimSun" w:hAnsi="Liberation Serif" w:cs="Mangal"/>
          <w:kern w:val="3"/>
          <w:sz w:val="24"/>
          <w:szCs w:val="24"/>
          <w:lang w:eastAsia="zh-CN" w:bidi="hi-IN"/>
          <w14:ligatures w14:val="none"/>
        </w:rPr>
        <w:t>, który wywołał ten projekt</w:t>
      </w:r>
      <w:r w:rsidR="00840731">
        <w:rPr>
          <w:rFonts w:ascii="Liberation Serif" w:eastAsia="SimSun" w:hAnsi="Liberation Serif" w:cs="Mangal"/>
          <w:kern w:val="3"/>
          <w:sz w:val="24"/>
          <w:szCs w:val="24"/>
          <w:lang w:eastAsia="zh-CN" w:bidi="hi-IN"/>
          <w14:ligatures w14:val="none"/>
        </w:rPr>
        <w:t>,</w:t>
      </w:r>
      <w:r w:rsidRPr="008C6840">
        <w:rPr>
          <w:rFonts w:ascii="Liberation Serif" w:eastAsia="SimSun" w:hAnsi="Liberation Serif" w:cs="Mangal"/>
          <w:kern w:val="3"/>
          <w:sz w:val="24"/>
          <w:szCs w:val="24"/>
          <w:lang w:eastAsia="zh-CN" w:bidi="hi-IN"/>
          <w14:ligatures w14:val="none"/>
        </w:rPr>
        <w:t xml:space="preserve"> u</w:t>
      </w:r>
      <w:r w:rsidRPr="008C6840">
        <w:rPr>
          <w:rFonts w:ascii="Liberation Serif" w:hAnsi="Liberation Serif"/>
          <w:sz w:val="24"/>
          <w:szCs w:val="24"/>
        </w:rPr>
        <w:t xml:space="preserve">łatwia </w:t>
      </w:r>
      <w:r w:rsidRPr="008C6840">
        <w:rPr>
          <w:rFonts w:ascii="Liberation Serif" w:eastAsia="SimSun" w:hAnsi="Liberation Serif" w:cs="Mangal"/>
          <w:kern w:val="3"/>
          <w:sz w:val="24"/>
          <w:szCs w:val="24"/>
          <w:lang w:eastAsia="zh-CN" w:bidi="hi-IN"/>
          <w14:ligatures w14:val="none"/>
        </w:rPr>
        <w:t>nam</w:t>
      </w:r>
      <w:r w:rsidRPr="008C6840">
        <w:rPr>
          <w:rFonts w:ascii="Liberation Serif" w:eastAsia="SimSun" w:hAnsi="Liberation Serif" w:cs="Mangal"/>
          <w:b/>
          <w:bCs/>
          <w:kern w:val="3"/>
          <w:sz w:val="24"/>
          <w:szCs w:val="24"/>
          <w:lang w:eastAsia="zh-CN" w:bidi="hi-IN"/>
          <w14:ligatures w14:val="none"/>
        </w:rPr>
        <w:t xml:space="preserve"> </w:t>
      </w:r>
      <w:r w:rsidRPr="008C6840">
        <w:rPr>
          <w:rFonts w:ascii="Liberation Serif" w:hAnsi="Liberation Serif"/>
          <w:b/>
          <w:bCs/>
          <w:sz w:val="24"/>
          <w:szCs w:val="24"/>
        </w:rPr>
        <w:t xml:space="preserve">pierwsza </w:t>
      </w:r>
      <w:r w:rsidRPr="008C6840">
        <w:rPr>
          <w:rFonts w:ascii="Liberation Serif" w:eastAsia="SimSun" w:hAnsi="Liberation Serif" w:cs="Mangal"/>
          <w:b/>
          <w:bCs/>
          <w:kern w:val="3"/>
          <w:sz w:val="24"/>
          <w:szCs w:val="24"/>
          <w:lang w:eastAsia="zh-CN" w:bidi="hi-IN"/>
          <w14:ligatures w14:val="none"/>
        </w:rPr>
        <w:t>Ocen</w:t>
      </w:r>
      <w:r w:rsidRPr="008C6840">
        <w:rPr>
          <w:rFonts w:ascii="Liberation Serif" w:hAnsi="Liberation Serif"/>
          <w:b/>
          <w:bCs/>
          <w:sz w:val="24"/>
          <w:szCs w:val="24"/>
        </w:rPr>
        <w:t>a</w:t>
      </w:r>
      <w:r w:rsidRPr="008C6840">
        <w:rPr>
          <w:rFonts w:ascii="Liberation Serif" w:eastAsia="SimSun" w:hAnsi="Liberation Serif" w:cs="Mangal"/>
          <w:b/>
          <w:bCs/>
          <w:kern w:val="3"/>
          <w:sz w:val="24"/>
          <w:szCs w:val="24"/>
          <w:lang w:eastAsia="zh-CN" w:bidi="hi-IN"/>
          <w14:ligatures w14:val="none"/>
        </w:rPr>
        <w:t xml:space="preserve"> Skutków Regulacji UD263</w:t>
      </w:r>
      <w:r w:rsidRPr="008C6840">
        <w:rPr>
          <w:rFonts w:ascii="Liberation Serif" w:eastAsia="SimSun" w:hAnsi="Liberation Serif" w:cs="Mangal"/>
          <w:kern w:val="3"/>
          <w:sz w:val="24"/>
          <w:szCs w:val="24"/>
          <w:lang w:eastAsia="zh-CN" w:bidi="hi-IN"/>
          <w14:ligatures w14:val="none"/>
        </w:rPr>
        <w:t>, która</w:t>
      </w:r>
      <w:r w:rsidRPr="008C6840">
        <w:rPr>
          <w:rFonts w:ascii="Liberation Serif" w:eastAsia="SimSun" w:hAnsi="Liberation Serif" w:cs="Mangal"/>
          <w:b/>
          <w:bCs/>
          <w:kern w:val="3"/>
          <w:sz w:val="24"/>
          <w:szCs w:val="24"/>
          <w:lang w:eastAsia="zh-CN" w:bidi="hi-IN"/>
          <w14:ligatures w14:val="none"/>
        </w:rPr>
        <w:t xml:space="preserve"> </w:t>
      </w:r>
      <w:r w:rsidRPr="008C6840">
        <w:rPr>
          <w:rFonts w:ascii="Liberation Serif" w:eastAsia="SimSun" w:hAnsi="Liberation Serif" w:cs="Mangal"/>
          <w:kern w:val="3"/>
          <w:sz w:val="24"/>
          <w:szCs w:val="24"/>
          <w:lang w:eastAsia="zh-CN" w:bidi="hi-IN"/>
          <w14:ligatures w14:val="none"/>
        </w:rPr>
        <w:t>musiała zostać opracowana zgodnie z</w:t>
      </w:r>
      <w:r w:rsidRPr="008C6840">
        <w:rPr>
          <w:rFonts w:ascii="Liberation Serif" w:eastAsia="SimSun" w:hAnsi="Liberation Serif" w:cs="Mangal"/>
          <w:b/>
          <w:bCs/>
          <w:kern w:val="3"/>
          <w:sz w:val="24"/>
          <w:szCs w:val="24"/>
          <w:lang w:eastAsia="zh-CN" w:bidi="hi-IN"/>
          <w14:ligatures w14:val="none"/>
        </w:rPr>
        <w:t xml:space="preserve"> </w:t>
      </w:r>
      <w:r w:rsidR="00A05A45" w:rsidRPr="008C6840">
        <w:rPr>
          <w:rFonts w:ascii="Liberation Serif" w:hAnsi="Liberation Serif"/>
          <w:sz w:val="24"/>
          <w:szCs w:val="24"/>
        </w:rPr>
        <w:t>obowiązującymi</w:t>
      </w:r>
      <w:r w:rsidR="00A05A45" w:rsidRPr="008C6840">
        <w:rPr>
          <w:rFonts w:ascii="Liberation Serif" w:hAnsi="Liberation Serif"/>
          <w:b/>
          <w:bCs/>
          <w:sz w:val="24"/>
          <w:szCs w:val="24"/>
        </w:rPr>
        <w:t xml:space="preserve"> </w:t>
      </w:r>
      <w:r w:rsidRPr="008C6840">
        <w:rPr>
          <w:rFonts w:ascii="Liberation Serif" w:eastAsia="SimSun" w:hAnsi="Liberation Serif" w:cs="Mangal"/>
          <w:kern w:val="3"/>
          <w:sz w:val="24"/>
          <w:szCs w:val="24"/>
          <w:lang w:eastAsia="zh-CN" w:bidi="hi-IN"/>
          <w14:ligatures w14:val="none"/>
        </w:rPr>
        <w:t>zasadami</w:t>
      </w:r>
      <w:r w:rsidR="00A05A45" w:rsidRPr="008C6840">
        <w:rPr>
          <w:rStyle w:val="Odwoanieprzypisudolnego"/>
          <w:rFonts w:ascii="Liberation Serif" w:hAnsi="Liberation Serif"/>
          <w:sz w:val="24"/>
          <w:szCs w:val="24"/>
        </w:rPr>
        <w:footnoteReference w:id="1"/>
      </w:r>
      <w:r w:rsidR="008C6840">
        <w:rPr>
          <w:rFonts w:ascii="Liberation Serif" w:hAnsi="Liberation Serif"/>
          <w:sz w:val="24"/>
          <w:szCs w:val="24"/>
        </w:rPr>
        <w:t>.</w:t>
      </w:r>
    </w:p>
    <w:p w14:paraId="6AFC4A00" w14:textId="131E7421" w:rsidR="007B46C9" w:rsidRPr="00280D03" w:rsidRDefault="007B46C9" w:rsidP="007B46C9">
      <w:pPr>
        <w:pStyle w:val="Standard"/>
        <w:jc w:val="both"/>
        <w:rPr>
          <w:rFonts w:hint="eastAsia"/>
          <w:sz w:val="10"/>
          <w:szCs w:val="10"/>
        </w:rPr>
      </w:pPr>
    </w:p>
    <w:p w14:paraId="5360AF43" w14:textId="18075798" w:rsidR="007B46C9" w:rsidRDefault="001B6BED" w:rsidP="001B6BED">
      <w:pPr>
        <w:pStyle w:val="Standard"/>
        <w:jc w:val="both"/>
        <w:rPr>
          <w:rFonts w:hint="eastAsia"/>
        </w:rPr>
      </w:pPr>
      <w:r>
        <w:t>Pierwsza ocena OSR j</w:t>
      </w:r>
      <w:r w:rsidR="007B46C9" w:rsidRPr="001A237C">
        <w:t xml:space="preserve">est </w:t>
      </w:r>
      <w:r>
        <w:t xml:space="preserve">jednak </w:t>
      </w:r>
      <w:r w:rsidR="007B46C9" w:rsidRPr="001A237C">
        <w:t>trudno</w:t>
      </w:r>
      <w:r>
        <w:t xml:space="preserve"> </w:t>
      </w:r>
      <w:r w:rsidR="007B46C9" w:rsidRPr="001A237C">
        <w:t xml:space="preserve">dostępna (zastąpiona została późniejszą, z której </w:t>
      </w:r>
      <w:r w:rsidR="007B46C9" w:rsidRPr="001B6BED">
        <w:rPr>
          <w:b/>
          <w:bCs/>
        </w:rPr>
        <w:t>zniknęły zapisy</w:t>
      </w:r>
      <w:r>
        <w:rPr>
          <w:b/>
          <w:bCs/>
        </w:rPr>
        <w:t xml:space="preserve"> informujące</w:t>
      </w:r>
      <w:r w:rsidR="00840731">
        <w:rPr>
          <w:b/>
          <w:bCs/>
        </w:rPr>
        <w:t>,</w:t>
      </w:r>
      <w:r>
        <w:rPr>
          <w:b/>
          <w:bCs/>
        </w:rPr>
        <w:t xml:space="preserve"> z kim ustalano koncepcję projektu UD263</w:t>
      </w:r>
      <w:r w:rsidR="007B46C9" w:rsidRPr="001B5832">
        <w:t>)</w:t>
      </w:r>
      <w:r w:rsidR="00280D03">
        <w:t xml:space="preserve">. </w:t>
      </w:r>
      <w:r w:rsidR="007B46C9" w:rsidRPr="00F87DD8">
        <w:t xml:space="preserve">Warto zwłaszcza </w:t>
      </w:r>
      <w:r w:rsidR="007B46C9">
        <w:t xml:space="preserve">odczytać </w:t>
      </w:r>
      <w:r w:rsidR="004B2085">
        <w:t xml:space="preserve">informacje, które wynikają z </w:t>
      </w:r>
      <w:r>
        <w:t xml:space="preserve">następującego </w:t>
      </w:r>
      <w:r w:rsidR="007B46C9">
        <w:t>fragment</w:t>
      </w:r>
      <w:r w:rsidR="004B2085">
        <w:t>u</w:t>
      </w:r>
      <w:r>
        <w:t xml:space="preserve"> pierwszej oceny OCR</w:t>
      </w:r>
      <w:r w:rsidR="007B46C9">
        <w:t xml:space="preserve">: </w:t>
      </w:r>
    </w:p>
    <w:p w14:paraId="44444FC2" w14:textId="77777777" w:rsidR="007B46C9" w:rsidRPr="001A237C" w:rsidRDefault="007B46C9" w:rsidP="007B46C9">
      <w:pPr>
        <w:spacing w:after="0"/>
        <w:jc w:val="both"/>
        <w:rPr>
          <w:rFonts w:ascii="Liberation Serif" w:eastAsia="SimSun" w:hAnsi="Liberation Serif" w:cs="Mangal" w:hint="eastAsia"/>
          <w:color w:val="0000FF"/>
          <w:kern w:val="3"/>
          <w:sz w:val="10"/>
          <w:szCs w:val="10"/>
          <w:lang w:eastAsia="zh-CN" w:bidi="hi-IN"/>
          <w14:ligatures w14:val="none"/>
        </w:rPr>
      </w:pPr>
      <w:bookmarkStart w:id="11" w:name="_Hlk168885859"/>
    </w:p>
    <w:bookmarkEnd w:id="11"/>
    <w:p w14:paraId="0BB4A191" w14:textId="77777777" w:rsidR="007B46C9" w:rsidRPr="00F87DD8" w:rsidRDefault="007B46C9" w:rsidP="007B46C9">
      <w:pPr>
        <w:pStyle w:val="Standard"/>
        <w:ind w:left="567"/>
        <w:jc w:val="both"/>
        <w:rPr>
          <w:rFonts w:ascii="Times New Roman" w:eastAsiaTheme="minorHAnsi" w:hAnsi="Times New Roman" w:cs="Times New Roman"/>
          <w:kern w:val="2"/>
          <w:shd w:val="clear" w:color="auto" w:fill="E8E8E8"/>
          <w:lang w:eastAsia="en-US" w:bidi="ar-SA"/>
          <w14:ligatures w14:val="standardContextual"/>
        </w:rPr>
      </w:pPr>
      <w:r w:rsidRPr="00F87DD8">
        <w:rPr>
          <w:rFonts w:ascii="Times New Roman" w:eastAsiaTheme="minorHAnsi" w:hAnsi="Times New Roman" w:cs="Times New Roman"/>
          <w:kern w:val="2"/>
          <w:shd w:val="clear" w:color="auto" w:fill="E8E8E8"/>
          <w:lang w:eastAsia="en-US" w:bidi="ar-SA"/>
          <w14:ligatures w14:val="standardContextual"/>
        </w:rPr>
        <w:t>W procesie konsultacji publicznych i opiniowania zostały uwzględnione zainteresowane podmioty działające w dziedzinie prawa własności przemysłowej.</w:t>
      </w:r>
    </w:p>
    <w:p w14:paraId="2BA6F438" w14:textId="77777777" w:rsidR="007B46C9" w:rsidRPr="001A237C" w:rsidRDefault="007B46C9" w:rsidP="007B46C9">
      <w:pPr>
        <w:pStyle w:val="Standard"/>
        <w:jc w:val="both"/>
        <w:rPr>
          <w:rFonts w:hint="eastAsia"/>
          <w:sz w:val="10"/>
          <w:szCs w:val="10"/>
        </w:rPr>
      </w:pPr>
    </w:p>
    <w:p w14:paraId="71D4A6E9" w14:textId="6CB82D38" w:rsidR="008C6840" w:rsidRDefault="007B46C9" w:rsidP="001B6BED">
      <w:pPr>
        <w:pStyle w:val="Standard"/>
        <w:ind w:firstLine="567"/>
        <w:jc w:val="both"/>
        <w:rPr>
          <w:rFonts w:hint="eastAsia"/>
        </w:rPr>
      </w:pPr>
      <w:r>
        <w:t>Kiedy sięgniemy do źródeł i wiedzy o autorach projektu - łatwo nam będzie zrozumieć</w:t>
      </w:r>
      <w:r w:rsidR="00840731">
        <w:t>,</w:t>
      </w:r>
      <w:r>
        <w:t xml:space="preserve"> skąd wzięły się </w:t>
      </w:r>
      <w:r w:rsidRPr="00B07EF6">
        <w:rPr>
          <w:b/>
          <w:bCs/>
        </w:rPr>
        <w:t xml:space="preserve">spolegliwe </w:t>
      </w:r>
      <w:r w:rsidRPr="0085476F">
        <w:t>(i miłe)</w:t>
      </w:r>
      <w:r>
        <w:rPr>
          <w:b/>
          <w:bCs/>
        </w:rPr>
        <w:t xml:space="preserve"> </w:t>
      </w:r>
      <w:r w:rsidRPr="00B07EF6">
        <w:rPr>
          <w:b/>
          <w:bCs/>
        </w:rPr>
        <w:t xml:space="preserve">opinie o </w:t>
      </w:r>
      <w:r w:rsidR="008C6840">
        <w:rPr>
          <w:b/>
          <w:bCs/>
        </w:rPr>
        <w:t>nim</w:t>
      </w:r>
      <w:r w:rsidR="008C6840">
        <w:t>:</w:t>
      </w:r>
    </w:p>
    <w:p w14:paraId="3EF3D931" w14:textId="06143927" w:rsidR="007B46C9" w:rsidRPr="00397E68" w:rsidRDefault="00B82931" w:rsidP="001B6BED">
      <w:pPr>
        <w:pStyle w:val="Standard"/>
        <w:ind w:firstLine="567"/>
        <w:jc w:val="both"/>
        <w:rPr>
          <w:rFonts w:hint="eastAsia"/>
          <w:color w:val="2E74B5" w:themeColor="accent5" w:themeShade="BF"/>
        </w:rPr>
      </w:pPr>
      <w:hyperlink r:id="rId20" w:history="1">
        <w:r w:rsidR="008C6840" w:rsidRPr="00397E68">
          <w:rPr>
            <w:color w:val="2E74B5" w:themeColor="accent5" w:themeShade="BF"/>
          </w:rPr>
          <w:t>https://legislacja.rcl.gov.pl/docs//2/12359055/12873998/12873999/dokument552317.pdf</w:t>
        </w:r>
      </w:hyperlink>
      <w:r w:rsidR="007B46C9" w:rsidRPr="00397E68">
        <w:rPr>
          <w:color w:val="2E74B5" w:themeColor="accent5" w:themeShade="BF"/>
        </w:rPr>
        <w:t xml:space="preserve"> </w:t>
      </w:r>
    </w:p>
    <w:p w14:paraId="1FD498AD" w14:textId="77777777" w:rsidR="00EF5B72" w:rsidRDefault="00EF5B72" w:rsidP="00EF5B72">
      <w:pPr>
        <w:spacing w:after="0" w:line="240" w:lineRule="auto"/>
        <w:jc w:val="center"/>
        <w:rPr>
          <w:rFonts w:ascii="Times New Roman" w:hAnsi="Times New Roman" w:cs="Times New Roman"/>
          <w:sz w:val="24"/>
          <w:szCs w:val="24"/>
        </w:rPr>
      </w:pPr>
    </w:p>
    <w:p w14:paraId="44DDD309" w14:textId="3CA4F841" w:rsidR="007B46C9" w:rsidRDefault="00EF5B72" w:rsidP="00EF5B7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 *</w:t>
      </w:r>
    </w:p>
    <w:p w14:paraId="2F233593" w14:textId="4B4F863E" w:rsidR="00453D21" w:rsidRPr="00C4676A" w:rsidRDefault="00453D21" w:rsidP="00DB51DA">
      <w:pPr>
        <w:spacing w:after="0" w:line="240" w:lineRule="auto"/>
        <w:ind w:firstLine="567"/>
        <w:jc w:val="both"/>
        <w:rPr>
          <w:rFonts w:ascii="Times New Roman" w:hAnsi="Times New Roman" w:cs="Times New Roman"/>
          <w:sz w:val="24"/>
          <w:szCs w:val="24"/>
        </w:rPr>
      </w:pPr>
      <w:bookmarkStart w:id="12" w:name="_Hlk169194381"/>
      <w:r w:rsidRPr="00C4676A">
        <w:rPr>
          <w:rFonts w:ascii="Times New Roman" w:hAnsi="Times New Roman" w:cs="Times New Roman"/>
          <w:sz w:val="24"/>
          <w:szCs w:val="24"/>
        </w:rPr>
        <w:t xml:space="preserve">Starania o uchwalenie </w:t>
      </w:r>
      <w:r w:rsidR="00413BB4" w:rsidRPr="00C4676A">
        <w:rPr>
          <w:rFonts w:ascii="Times New Roman" w:hAnsi="Times New Roman" w:cs="Times New Roman"/>
          <w:sz w:val="24"/>
          <w:szCs w:val="24"/>
        </w:rPr>
        <w:t xml:space="preserve">aktu prawnego </w:t>
      </w:r>
      <w:r w:rsidR="00997A6B" w:rsidRPr="00C4676A">
        <w:rPr>
          <w:rFonts w:ascii="Times New Roman" w:hAnsi="Times New Roman" w:cs="Times New Roman"/>
          <w:sz w:val="24"/>
          <w:szCs w:val="24"/>
        </w:rPr>
        <w:t>przygotowywanego</w:t>
      </w:r>
      <w:r w:rsidR="004C18A9" w:rsidRPr="00C4676A">
        <w:rPr>
          <w:rFonts w:ascii="Times New Roman" w:hAnsi="Times New Roman" w:cs="Times New Roman"/>
          <w:sz w:val="24"/>
          <w:szCs w:val="24"/>
        </w:rPr>
        <w:t xml:space="preserve"> przez odchodzący Rząd</w:t>
      </w:r>
      <w:r w:rsidR="00413BB4" w:rsidRPr="00C4676A">
        <w:rPr>
          <w:rFonts w:ascii="Times New Roman" w:hAnsi="Times New Roman" w:cs="Times New Roman"/>
          <w:sz w:val="24"/>
          <w:szCs w:val="24"/>
        </w:rPr>
        <w:t xml:space="preserve"> </w:t>
      </w:r>
      <w:r w:rsidRPr="00C4676A">
        <w:rPr>
          <w:rFonts w:ascii="Times New Roman" w:hAnsi="Times New Roman" w:cs="Times New Roman"/>
          <w:sz w:val="24"/>
          <w:szCs w:val="24"/>
        </w:rPr>
        <w:t>można prowadzić w nowej kadencji</w:t>
      </w:r>
      <w:r w:rsidR="009B3D0A" w:rsidRPr="00C4676A">
        <w:rPr>
          <w:rFonts w:ascii="Times New Roman" w:hAnsi="Times New Roman" w:cs="Times New Roman"/>
          <w:sz w:val="24"/>
          <w:szCs w:val="24"/>
        </w:rPr>
        <w:t xml:space="preserve"> Sejmu Rzeczypospolitej Polskiej</w:t>
      </w:r>
      <w:r w:rsidRPr="00C4676A">
        <w:rPr>
          <w:rFonts w:ascii="Times New Roman" w:hAnsi="Times New Roman" w:cs="Times New Roman"/>
          <w:sz w:val="24"/>
          <w:szCs w:val="24"/>
        </w:rPr>
        <w:t xml:space="preserve">, mimo </w:t>
      </w:r>
      <w:r w:rsidR="00E6444B" w:rsidRPr="00C4676A">
        <w:rPr>
          <w:rFonts w:ascii="Times New Roman" w:hAnsi="Times New Roman" w:cs="Times New Roman"/>
          <w:sz w:val="24"/>
          <w:szCs w:val="24"/>
        </w:rPr>
        <w:t xml:space="preserve">działania znanej nam </w:t>
      </w:r>
      <w:r w:rsidRPr="00C4676A">
        <w:rPr>
          <w:rFonts w:ascii="Times New Roman" w:hAnsi="Times New Roman" w:cs="Times New Roman"/>
          <w:sz w:val="24"/>
          <w:szCs w:val="24"/>
        </w:rPr>
        <w:t xml:space="preserve">zasady dyskontynuacji. </w:t>
      </w:r>
      <w:r w:rsidR="008545F0" w:rsidRPr="00C4676A">
        <w:rPr>
          <w:rFonts w:ascii="Times New Roman" w:hAnsi="Times New Roman" w:cs="Times New Roman"/>
          <w:sz w:val="24"/>
          <w:szCs w:val="24"/>
        </w:rPr>
        <w:t>P</w:t>
      </w:r>
      <w:r w:rsidRPr="00C4676A">
        <w:rPr>
          <w:rFonts w:ascii="Times New Roman" w:hAnsi="Times New Roman" w:cs="Times New Roman"/>
          <w:sz w:val="24"/>
          <w:szCs w:val="24"/>
        </w:rPr>
        <w:t xml:space="preserve">róby takie podejmowano w </w:t>
      </w:r>
      <w:r w:rsidR="00415C3E" w:rsidRPr="00C4676A">
        <w:rPr>
          <w:rFonts w:ascii="Times New Roman" w:hAnsi="Times New Roman" w:cs="Times New Roman"/>
          <w:sz w:val="24"/>
          <w:szCs w:val="24"/>
        </w:rPr>
        <w:t xml:space="preserve">przypadku </w:t>
      </w:r>
      <w:r w:rsidRPr="00C4676A">
        <w:rPr>
          <w:rFonts w:ascii="Times New Roman" w:hAnsi="Times New Roman" w:cs="Times New Roman"/>
          <w:sz w:val="24"/>
          <w:szCs w:val="24"/>
        </w:rPr>
        <w:t xml:space="preserve">U263. </w:t>
      </w:r>
    </w:p>
    <w:p w14:paraId="302413BD" w14:textId="01177D20" w:rsidR="00453D21" w:rsidRPr="00C4676A" w:rsidRDefault="00453D21" w:rsidP="00413BB4">
      <w:pPr>
        <w:spacing w:after="0" w:line="240" w:lineRule="auto"/>
        <w:jc w:val="both"/>
        <w:rPr>
          <w:rFonts w:ascii="Times New Roman" w:hAnsi="Times New Roman" w:cs="Times New Roman"/>
          <w:sz w:val="24"/>
          <w:szCs w:val="24"/>
        </w:rPr>
      </w:pPr>
      <w:r w:rsidRPr="00C4676A">
        <w:rPr>
          <w:rFonts w:ascii="Times New Roman" w:hAnsi="Times New Roman" w:cs="Times New Roman"/>
          <w:sz w:val="24"/>
          <w:szCs w:val="24"/>
        </w:rPr>
        <w:t xml:space="preserve">Tym bardziej przyłączamy się do najserdeczniejszych podziękowań przelicznych przedsiębiorców za to, że prace nad wadliwym projektem nowej ustawy Prawo własności przemysłowej (UD263) </w:t>
      </w:r>
      <w:r w:rsidR="0088505D">
        <w:rPr>
          <w:rFonts w:ascii="Times New Roman" w:hAnsi="Times New Roman" w:cs="Times New Roman"/>
          <w:sz w:val="24"/>
          <w:szCs w:val="24"/>
        </w:rPr>
        <w:t>-</w:t>
      </w:r>
      <w:r w:rsidR="00413BB4" w:rsidRPr="00C4676A">
        <w:rPr>
          <w:rFonts w:ascii="Times New Roman" w:hAnsi="Times New Roman" w:cs="Times New Roman"/>
          <w:sz w:val="24"/>
          <w:szCs w:val="24"/>
        </w:rPr>
        <w:t xml:space="preserve"> </w:t>
      </w:r>
      <w:r w:rsidR="004B2085">
        <w:rPr>
          <w:rFonts w:ascii="Times New Roman" w:hAnsi="Times New Roman" w:cs="Times New Roman"/>
          <w:sz w:val="24"/>
          <w:szCs w:val="24"/>
        </w:rPr>
        <w:t xml:space="preserve">oficjalnie </w:t>
      </w:r>
      <w:r w:rsidR="00237159" w:rsidRPr="00C4676A">
        <w:rPr>
          <w:rFonts w:ascii="Times New Roman" w:hAnsi="Times New Roman" w:cs="Times New Roman"/>
          <w:sz w:val="24"/>
          <w:szCs w:val="24"/>
        </w:rPr>
        <w:t>rozpoczęte w 2020 r. -</w:t>
      </w:r>
      <w:r w:rsidR="006C6FC4" w:rsidRPr="00C4676A">
        <w:rPr>
          <w:rFonts w:ascii="Times New Roman" w:hAnsi="Times New Roman" w:cs="Times New Roman"/>
          <w:sz w:val="24"/>
          <w:szCs w:val="24"/>
        </w:rPr>
        <w:t xml:space="preserve"> </w:t>
      </w:r>
      <w:r w:rsidRPr="00C4676A">
        <w:rPr>
          <w:rFonts w:ascii="Times New Roman" w:hAnsi="Times New Roman" w:cs="Times New Roman"/>
          <w:sz w:val="24"/>
          <w:szCs w:val="24"/>
        </w:rPr>
        <w:t xml:space="preserve">wiosną 2024 r. zostały zamknięte. </w:t>
      </w:r>
    </w:p>
    <w:p w14:paraId="0EF08833" w14:textId="77777777" w:rsidR="00301B78" w:rsidRDefault="00301B78" w:rsidP="00301B78">
      <w:pPr>
        <w:spacing w:after="0" w:line="240" w:lineRule="auto"/>
        <w:ind w:firstLine="567"/>
        <w:rPr>
          <w:rFonts w:ascii="Times New Roman" w:hAnsi="Times New Roman" w:cs="Times New Roman"/>
          <w:sz w:val="14"/>
          <w:szCs w:val="14"/>
        </w:rPr>
      </w:pPr>
    </w:p>
    <w:p w14:paraId="7D9C27A0" w14:textId="77777777" w:rsidR="004B2085" w:rsidRDefault="004B2085" w:rsidP="00301B78">
      <w:pPr>
        <w:spacing w:after="0" w:line="240" w:lineRule="auto"/>
        <w:ind w:firstLine="567"/>
        <w:rPr>
          <w:rFonts w:ascii="Times New Roman" w:hAnsi="Times New Roman" w:cs="Times New Roman"/>
          <w:sz w:val="14"/>
          <w:szCs w:val="14"/>
        </w:rPr>
      </w:pPr>
    </w:p>
    <w:p w14:paraId="14C25073" w14:textId="77777777" w:rsidR="00FA3A7E" w:rsidRPr="00413BB4" w:rsidRDefault="00FA3A7E" w:rsidP="00301B78">
      <w:pPr>
        <w:spacing w:after="0" w:line="240" w:lineRule="auto"/>
        <w:ind w:firstLine="567"/>
        <w:rPr>
          <w:rFonts w:ascii="Times New Roman" w:hAnsi="Times New Roman" w:cs="Times New Roman"/>
          <w:sz w:val="14"/>
          <w:szCs w:val="14"/>
        </w:rPr>
      </w:pPr>
    </w:p>
    <w:p w14:paraId="30AC2A89" w14:textId="5BD6F153" w:rsidR="00453D21" w:rsidRPr="00811620" w:rsidRDefault="00453D21" w:rsidP="0066155A">
      <w:pPr>
        <w:tabs>
          <w:tab w:val="left" w:pos="3969"/>
        </w:tabs>
        <w:spacing w:line="240" w:lineRule="auto"/>
        <w:ind w:firstLine="567"/>
        <w:rPr>
          <w:rFonts w:ascii="Times New Roman" w:hAnsi="Times New Roman" w:cs="Times New Roman"/>
          <w:i/>
          <w:iCs/>
          <w:sz w:val="24"/>
          <w:szCs w:val="24"/>
        </w:rPr>
      </w:pPr>
      <w:r w:rsidRPr="00811620">
        <w:rPr>
          <w:rFonts w:ascii="Times New Roman" w:hAnsi="Times New Roman" w:cs="Times New Roman"/>
          <w:i/>
          <w:iCs/>
          <w:sz w:val="24"/>
          <w:szCs w:val="24"/>
        </w:rPr>
        <w:t xml:space="preserve">         </w:t>
      </w:r>
      <w:r w:rsidR="00413BB4">
        <w:rPr>
          <w:rFonts w:ascii="Times New Roman" w:hAnsi="Times New Roman" w:cs="Times New Roman"/>
          <w:i/>
          <w:iCs/>
          <w:sz w:val="24"/>
          <w:szCs w:val="24"/>
        </w:rPr>
        <w:t xml:space="preserve">                                               </w:t>
      </w:r>
      <w:r w:rsidRPr="00811620">
        <w:rPr>
          <w:rFonts w:ascii="Times New Roman" w:hAnsi="Times New Roman" w:cs="Times New Roman"/>
          <w:i/>
          <w:iCs/>
          <w:sz w:val="24"/>
          <w:szCs w:val="24"/>
        </w:rPr>
        <w:t>Życzymy miłej lektury!</w:t>
      </w:r>
    </w:p>
    <w:p w14:paraId="0DF076C6" w14:textId="77777777" w:rsidR="00811620" w:rsidRPr="00811620" w:rsidRDefault="00811620" w:rsidP="0066155A">
      <w:pPr>
        <w:pStyle w:val="Standard"/>
        <w:tabs>
          <w:tab w:val="left" w:pos="1985"/>
          <w:tab w:val="left" w:pos="3969"/>
        </w:tabs>
        <w:rPr>
          <w:rFonts w:ascii="Times New Roman" w:hAnsi="Times New Roman" w:cs="Times New Roman"/>
          <w:i/>
          <w:iCs/>
          <w:sz w:val="6"/>
          <w:szCs w:val="6"/>
        </w:rPr>
      </w:pPr>
    </w:p>
    <w:p w14:paraId="119777D5" w14:textId="07DA91A4" w:rsidR="00453D21" w:rsidRDefault="00413BB4" w:rsidP="0066155A">
      <w:pPr>
        <w:pStyle w:val="Standard"/>
        <w:tabs>
          <w:tab w:val="left" w:pos="1985"/>
          <w:tab w:val="left" w:pos="2835"/>
          <w:tab w:val="left" w:pos="3969"/>
        </w:tabs>
        <w:rPr>
          <w:rFonts w:ascii="Times New Roman" w:hAnsi="Times New Roman" w:cs="Times New Roman"/>
          <w:i/>
          <w:iCs/>
        </w:rPr>
      </w:pPr>
      <w:r>
        <w:rPr>
          <w:rFonts w:ascii="Times New Roman" w:hAnsi="Times New Roman" w:cs="Times New Roman"/>
          <w:i/>
          <w:iCs/>
        </w:rPr>
        <w:t xml:space="preserve">               </w:t>
      </w:r>
      <w:r w:rsidR="00453D21" w:rsidRPr="00811620">
        <w:rPr>
          <w:rFonts w:ascii="Times New Roman" w:hAnsi="Times New Roman" w:cs="Times New Roman"/>
          <w:i/>
          <w:iCs/>
        </w:rPr>
        <w:t xml:space="preserve">                             Zespół kwartalnika „StoWI THINK-TANK WSZYSTKO o IP w PL”</w:t>
      </w:r>
    </w:p>
    <w:bookmarkEnd w:id="12"/>
    <w:p w14:paraId="212799D8" w14:textId="77777777" w:rsidR="00A05A45" w:rsidRDefault="00A05A45" w:rsidP="0066155A">
      <w:pPr>
        <w:pStyle w:val="Standard"/>
        <w:tabs>
          <w:tab w:val="left" w:pos="1985"/>
          <w:tab w:val="left" w:pos="2552"/>
        </w:tabs>
        <w:rPr>
          <w:rFonts w:ascii="Times New Roman" w:hAnsi="Times New Roman" w:cs="Times New Roman"/>
          <w:i/>
          <w:iCs/>
        </w:rPr>
      </w:pPr>
    </w:p>
    <w:p w14:paraId="385E6C8B" w14:textId="14A2C191" w:rsidR="0066155A" w:rsidRPr="00EA4494" w:rsidRDefault="0066155A" w:rsidP="0066155A">
      <w:pPr>
        <w:pStyle w:val="Standard"/>
        <w:tabs>
          <w:tab w:val="left" w:pos="1985"/>
        </w:tabs>
        <w:ind w:firstLine="567"/>
        <w:rPr>
          <w:rFonts w:hint="eastAsia"/>
        </w:rPr>
      </w:pPr>
      <w:r w:rsidRPr="00EA4494">
        <w:t xml:space="preserve"> </w:t>
      </w:r>
    </w:p>
    <w:p w14:paraId="063A7FAF" w14:textId="77777777" w:rsidR="0066155A" w:rsidRDefault="0066155A" w:rsidP="0066155A">
      <w:pPr>
        <w:pStyle w:val="Standard"/>
        <w:tabs>
          <w:tab w:val="left" w:pos="1985"/>
        </w:tabs>
        <w:ind w:firstLine="567"/>
        <w:jc w:val="both"/>
        <w:rPr>
          <w:rFonts w:hint="eastAsia"/>
          <w:lang w:val="en-GB"/>
        </w:rPr>
      </w:pPr>
      <w:r w:rsidRPr="0066155A">
        <w:rPr>
          <w:lang w:val="en-GB"/>
        </w:rPr>
        <w:t xml:space="preserve">Efforts to enact a legal act prepared by the outgoing government can be pursued in the new term of the Sejm of the Republic of Poland, despite the well-known principle of discontinuation. Such attempts were made in the case of U263. </w:t>
      </w:r>
    </w:p>
    <w:p w14:paraId="6508F061" w14:textId="63E3654F" w:rsidR="0066155A" w:rsidRPr="0066155A" w:rsidRDefault="0066155A" w:rsidP="0066155A">
      <w:pPr>
        <w:pStyle w:val="Standard"/>
        <w:tabs>
          <w:tab w:val="left" w:pos="1985"/>
        </w:tabs>
        <w:jc w:val="both"/>
        <w:rPr>
          <w:rFonts w:hint="eastAsia"/>
          <w:lang w:val="en-GB"/>
        </w:rPr>
      </w:pPr>
      <w:r w:rsidRPr="0066155A">
        <w:rPr>
          <w:lang w:val="en-GB"/>
        </w:rPr>
        <w:t xml:space="preserve">We thus join in the heartfelt thanks from numerous entrepreneurs for the termination of work on the flawed draft of the new Industrial Property Law (UD263) </w:t>
      </w:r>
      <w:r>
        <w:rPr>
          <w:lang w:val="en-GB"/>
        </w:rPr>
        <w:t>-</w:t>
      </w:r>
      <w:r w:rsidRPr="0066155A">
        <w:rPr>
          <w:lang w:val="en-GB"/>
        </w:rPr>
        <w:t xml:space="preserve"> officially initiated in 2020 </w:t>
      </w:r>
      <w:r>
        <w:rPr>
          <w:lang w:val="en-GB"/>
        </w:rPr>
        <w:t>-</w:t>
      </w:r>
      <w:r w:rsidRPr="0066155A">
        <w:rPr>
          <w:lang w:val="en-GB"/>
        </w:rPr>
        <w:t xml:space="preserve"> which was concluded in the spring of 2024.</w:t>
      </w:r>
    </w:p>
    <w:p w14:paraId="22FA95B4" w14:textId="77777777" w:rsidR="0066155A" w:rsidRPr="0066155A" w:rsidRDefault="0066155A" w:rsidP="0066155A">
      <w:pPr>
        <w:pStyle w:val="Standard"/>
        <w:tabs>
          <w:tab w:val="left" w:pos="1985"/>
        </w:tabs>
        <w:rPr>
          <w:rFonts w:hint="eastAsia"/>
          <w:lang w:val="en-GB"/>
        </w:rPr>
      </w:pPr>
    </w:p>
    <w:p w14:paraId="024DD36A" w14:textId="77777777" w:rsidR="0066155A" w:rsidRPr="0066155A" w:rsidRDefault="0066155A" w:rsidP="0066155A">
      <w:pPr>
        <w:pStyle w:val="Standard"/>
        <w:tabs>
          <w:tab w:val="left" w:pos="1985"/>
        </w:tabs>
        <w:ind w:left="3261" w:firstLine="708"/>
        <w:rPr>
          <w:rFonts w:hint="eastAsia"/>
          <w:i/>
          <w:iCs/>
          <w:lang w:val="en-GB"/>
        </w:rPr>
      </w:pPr>
      <w:r w:rsidRPr="0066155A">
        <w:rPr>
          <w:i/>
          <w:iCs/>
          <w:lang w:val="en-GB"/>
        </w:rPr>
        <w:t>Enjoy!</w:t>
      </w:r>
    </w:p>
    <w:p w14:paraId="7EB445BF" w14:textId="77777777" w:rsidR="0066155A" w:rsidRPr="0066155A" w:rsidRDefault="0066155A" w:rsidP="0066155A">
      <w:pPr>
        <w:pStyle w:val="Standard"/>
        <w:tabs>
          <w:tab w:val="left" w:pos="1985"/>
        </w:tabs>
        <w:ind w:left="3261" w:firstLine="1134"/>
        <w:rPr>
          <w:rFonts w:hint="eastAsia"/>
          <w:i/>
          <w:iCs/>
          <w:lang w:val="en-GB"/>
        </w:rPr>
      </w:pPr>
    </w:p>
    <w:p w14:paraId="2AA91DA2" w14:textId="3D1BAACA" w:rsidR="00A05A45" w:rsidRPr="0066155A" w:rsidRDefault="00840731" w:rsidP="00840731">
      <w:pPr>
        <w:pStyle w:val="Standard"/>
        <w:tabs>
          <w:tab w:val="left" w:pos="1985"/>
        </w:tabs>
        <w:rPr>
          <w:rFonts w:ascii="Times New Roman" w:hAnsi="Times New Roman" w:cs="Times New Roman"/>
          <w:i/>
          <w:iCs/>
          <w:lang w:val="en-US"/>
        </w:rPr>
      </w:pPr>
      <w:r>
        <w:rPr>
          <w:i/>
          <w:iCs/>
          <w:lang w:val="en-GB"/>
        </w:rPr>
        <w:t xml:space="preserve">                                        </w:t>
      </w:r>
      <w:r w:rsidR="0066155A" w:rsidRPr="0066155A">
        <w:rPr>
          <w:i/>
          <w:iCs/>
          <w:lang w:val="en-GB"/>
        </w:rPr>
        <w:t>The team of the quarterly journal "StoWI THINK-TANK ALL about IP in P</w:t>
      </w:r>
      <w:r>
        <w:rPr>
          <w:i/>
          <w:iCs/>
          <w:lang w:val="en-GB"/>
        </w:rPr>
        <w:t>L</w:t>
      </w:r>
    </w:p>
    <w:p w14:paraId="71A3F5E0" w14:textId="77777777" w:rsidR="00A05A45" w:rsidRPr="0066155A" w:rsidRDefault="00A05A45" w:rsidP="00811620">
      <w:pPr>
        <w:pStyle w:val="Standard"/>
        <w:tabs>
          <w:tab w:val="left" w:pos="1985"/>
        </w:tabs>
        <w:rPr>
          <w:rFonts w:ascii="Times New Roman" w:hAnsi="Times New Roman" w:cs="Times New Roman"/>
          <w:i/>
          <w:iCs/>
          <w:lang w:val="en-US"/>
        </w:rPr>
      </w:pPr>
    </w:p>
    <w:sdt>
      <w:sdtPr>
        <w:rPr>
          <w:rFonts w:asciiTheme="minorHAnsi" w:eastAsiaTheme="minorHAnsi" w:hAnsiTheme="minorHAnsi" w:cstheme="minorBidi"/>
          <w:color w:val="auto"/>
          <w:kern w:val="2"/>
          <w:sz w:val="22"/>
          <w:szCs w:val="22"/>
          <w:lang w:eastAsia="en-US"/>
          <w14:ligatures w14:val="standardContextual"/>
        </w:rPr>
        <w:id w:val="1438724121"/>
        <w:docPartObj>
          <w:docPartGallery w:val="Table of Contents"/>
          <w:docPartUnique/>
        </w:docPartObj>
      </w:sdtPr>
      <w:sdtEndPr>
        <w:rPr>
          <w:b/>
          <w:bCs/>
        </w:rPr>
      </w:sdtEndPr>
      <w:sdtContent>
        <w:p w14:paraId="0518B769" w14:textId="77777777" w:rsidR="00983406" w:rsidRPr="0066155A" w:rsidRDefault="00983406" w:rsidP="00983406">
          <w:pPr>
            <w:pStyle w:val="Nagwekspisutreci"/>
            <w:rPr>
              <w:lang w:val="en-US"/>
            </w:rPr>
          </w:pPr>
          <w:proofErr w:type="spellStart"/>
          <w:r w:rsidRPr="0066155A">
            <w:rPr>
              <w:lang w:val="en-US"/>
            </w:rPr>
            <w:t>Spis</w:t>
          </w:r>
          <w:proofErr w:type="spellEnd"/>
          <w:r w:rsidRPr="0066155A">
            <w:rPr>
              <w:lang w:val="en-US"/>
            </w:rPr>
            <w:t xml:space="preserve"> </w:t>
          </w:r>
          <w:proofErr w:type="spellStart"/>
          <w:r w:rsidRPr="0066155A">
            <w:rPr>
              <w:lang w:val="en-US"/>
            </w:rPr>
            <w:t>treści</w:t>
          </w:r>
          <w:proofErr w:type="spellEnd"/>
        </w:p>
        <w:p w14:paraId="0BB3A049" w14:textId="2040F50A" w:rsidR="00983406" w:rsidRPr="0066155A" w:rsidRDefault="00983406" w:rsidP="008E4310">
          <w:pPr>
            <w:pStyle w:val="Spistreci1"/>
            <w:rPr>
              <w:lang w:val="en-US"/>
            </w:rPr>
          </w:pPr>
        </w:p>
        <w:p w14:paraId="4A0732A1" w14:textId="6AC8D2EB" w:rsidR="00B34BC9" w:rsidRDefault="00BC2F4F">
          <w:pPr>
            <w:pStyle w:val="Spistreci1"/>
            <w:rPr>
              <w:rFonts w:eastAsiaTheme="minorEastAsia"/>
              <w:noProof/>
              <w:sz w:val="24"/>
              <w:szCs w:val="24"/>
              <w:lang w:eastAsia="pl-PL"/>
            </w:rPr>
          </w:pPr>
          <w:r>
            <w:fldChar w:fldCharType="begin"/>
          </w:r>
          <w:r>
            <w:instrText xml:space="preserve"> TOC \o "1-3" \h \z \u </w:instrText>
          </w:r>
          <w:r>
            <w:fldChar w:fldCharType="separate"/>
          </w:r>
          <w:hyperlink w:anchor="_Toc170117966" w:history="1">
            <w:r w:rsidR="00B34BC9" w:rsidRPr="00667EAF">
              <w:rPr>
                <w:rStyle w:val="Hipercze"/>
                <w:noProof/>
              </w:rPr>
              <w:t>CENNE INTERPELACJE POSELSKIE</w:t>
            </w:r>
            <w:r w:rsidR="00B34BC9">
              <w:rPr>
                <w:noProof/>
                <w:webHidden/>
              </w:rPr>
              <w:tab/>
            </w:r>
            <w:r w:rsidR="00B34BC9">
              <w:rPr>
                <w:noProof/>
                <w:webHidden/>
              </w:rPr>
              <w:fldChar w:fldCharType="begin"/>
            </w:r>
            <w:r w:rsidR="00B34BC9">
              <w:rPr>
                <w:noProof/>
                <w:webHidden/>
              </w:rPr>
              <w:instrText xml:space="preserve"> PAGEREF _Toc170117966 \h </w:instrText>
            </w:r>
            <w:r w:rsidR="00B34BC9">
              <w:rPr>
                <w:noProof/>
                <w:webHidden/>
              </w:rPr>
            </w:r>
            <w:r w:rsidR="00B34BC9">
              <w:rPr>
                <w:noProof/>
                <w:webHidden/>
              </w:rPr>
              <w:fldChar w:fldCharType="separate"/>
            </w:r>
            <w:r w:rsidR="00B82931">
              <w:rPr>
                <w:noProof/>
                <w:webHidden/>
              </w:rPr>
              <w:t>8</w:t>
            </w:r>
            <w:r w:rsidR="00B34BC9">
              <w:rPr>
                <w:noProof/>
                <w:webHidden/>
              </w:rPr>
              <w:fldChar w:fldCharType="end"/>
            </w:r>
          </w:hyperlink>
        </w:p>
        <w:p w14:paraId="112E3078" w14:textId="1935C9FC" w:rsidR="00B34BC9" w:rsidRDefault="00B82931">
          <w:pPr>
            <w:pStyle w:val="Spistreci2"/>
            <w:rPr>
              <w:rFonts w:eastAsiaTheme="minorEastAsia"/>
              <w:bCs w:val="0"/>
              <w:sz w:val="24"/>
              <w:szCs w:val="24"/>
              <w:lang w:eastAsia="pl-PL"/>
            </w:rPr>
          </w:pPr>
          <w:hyperlink w:anchor="_Toc170117967" w:history="1">
            <w:r w:rsidR="00B34BC9" w:rsidRPr="00667EAF">
              <w:rPr>
                <w:rStyle w:val="Hipercze"/>
              </w:rPr>
              <w:t>Interpelacja nr 37330 do Prezesa Rady Ministrów w sprawie podjęcia działań dotyczących ochrony polskich wynalazków istotnych dla rozwoju gospodarczego Polski</w:t>
            </w:r>
            <w:r w:rsidR="00B34BC9">
              <w:rPr>
                <w:webHidden/>
              </w:rPr>
              <w:tab/>
            </w:r>
            <w:r w:rsidR="00B34BC9">
              <w:rPr>
                <w:webHidden/>
              </w:rPr>
              <w:fldChar w:fldCharType="begin"/>
            </w:r>
            <w:r w:rsidR="00B34BC9">
              <w:rPr>
                <w:webHidden/>
              </w:rPr>
              <w:instrText xml:space="preserve"> PAGEREF _Toc170117967 \h </w:instrText>
            </w:r>
            <w:r w:rsidR="00B34BC9">
              <w:rPr>
                <w:webHidden/>
              </w:rPr>
            </w:r>
            <w:r w:rsidR="00B34BC9">
              <w:rPr>
                <w:webHidden/>
              </w:rPr>
              <w:fldChar w:fldCharType="separate"/>
            </w:r>
            <w:r>
              <w:rPr>
                <w:webHidden/>
              </w:rPr>
              <w:t>9</w:t>
            </w:r>
            <w:r w:rsidR="00B34BC9">
              <w:rPr>
                <w:webHidden/>
              </w:rPr>
              <w:fldChar w:fldCharType="end"/>
            </w:r>
          </w:hyperlink>
        </w:p>
        <w:p w14:paraId="3406273D" w14:textId="742AE723" w:rsidR="00B34BC9" w:rsidRDefault="00B82931">
          <w:pPr>
            <w:pStyle w:val="Spistreci2"/>
            <w:rPr>
              <w:rFonts w:eastAsiaTheme="minorEastAsia"/>
              <w:bCs w:val="0"/>
              <w:sz w:val="24"/>
              <w:szCs w:val="24"/>
              <w:lang w:eastAsia="pl-PL"/>
            </w:rPr>
          </w:pPr>
          <w:hyperlink w:anchor="_Toc170117968" w:history="1">
            <w:r w:rsidR="00B34BC9" w:rsidRPr="00667EAF">
              <w:rPr>
                <w:rStyle w:val="Hipercze"/>
              </w:rPr>
              <w:t>Interpelacja nr 37331 - nieprawidłowości działania Urzędu Patentowego RP  - wytłuszczenia fragmentów tekstu pochodzą od Redakcji:</w:t>
            </w:r>
            <w:r w:rsidR="00B34BC9">
              <w:rPr>
                <w:webHidden/>
              </w:rPr>
              <w:tab/>
            </w:r>
            <w:r w:rsidR="00B34BC9">
              <w:rPr>
                <w:webHidden/>
              </w:rPr>
              <w:fldChar w:fldCharType="begin"/>
            </w:r>
            <w:r w:rsidR="00B34BC9">
              <w:rPr>
                <w:webHidden/>
              </w:rPr>
              <w:instrText xml:space="preserve"> PAGEREF _Toc170117968 \h </w:instrText>
            </w:r>
            <w:r w:rsidR="00B34BC9">
              <w:rPr>
                <w:webHidden/>
              </w:rPr>
            </w:r>
            <w:r w:rsidR="00B34BC9">
              <w:rPr>
                <w:webHidden/>
              </w:rPr>
              <w:fldChar w:fldCharType="separate"/>
            </w:r>
            <w:r>
              <w:rPr>
                <w:webHidden/>
              </w:rPr>
              <w:t>14</w:t>
            </w:r>
            <w:r w:rsidR="00B34BC9">
              <w:rPr>
                <w:webHidden/>
              </w:rPr>
              <w:fldChar w:fldCharType="end"/>
            </w:r>
          </w:hyperlink>
        </w:p>
        <w:p w14:paraId="6B1C191D" w14:textId="620DE4CE" w:rsidR="00B34BC9" w:rsidRDefault="00B82931">
          <w:pPr>
            <w:pStyle w:val="Spistreci2"/>
            <w:rPr>
              <w:rFonts w:eastAsiaTheme="minorEastAsia"/>
              <w:bCs w:val="0"/>
              <w:sz w:val="24"/>
              <w:szCs w:val="24"/>
              <w:lang w:eastAsia="pl-PL"/>
            </w:rPr>
          </w:pPr>
          <w:hyperlink w:anchor="_Toc170117969" w:history="1">
            <w:r w:rsidR="00B34BC9" w:rsidRPr="00667EAF">
              <w:rPr>
                <w:rStyle w:val="Hipercze"/>
              </w:rPr>
              <w:t>Interpelacja nr 37332 do Ministra Rozwoju i Technologii w sprawie wstrzymania prac nad projektem nowej ustawy Prawo własności przemysłowej (UD263)</w:t>
            </w:r>
            <w:r w:rsidR="00B34BC9">
              <w:rPr>
                <w:webHidden/>
              </w:rPr>
              <w:tab/>
            </w:r>
            <w:r w:rsidR="00B34BC9">
              <w:rPr>
                <w:webHidden/>
              </w:rPr>
              <w:fldChar w:fldCharType="begin"/>
            </w:r>
            <w:r w:rsidR="00B34BC9">
              <w:rPr>
                <w:webHidden/>
              </w:rPr>
              <w:instrText xml:space="preserve"> PAGEREF _Toc170117969 \h </w:instrText>
            </w:r>
            <w:r w:rsidR="00B34BC9">
              <w:rPr>
                <w:webHidden/>
              </w:rPr>
            </w:r>
            <w:r w:rsidR="00B34BC9">
              <w:rPr>
                <w:webHidden/>
              </w:rPr>
              <w:fldChar w:fldCharType="separate"/>
            </w:r>
            <w:r>
              <w:rPr>
                <w:webHidden/>
              </w:rPr>
              <w:t>20</w:t>
            </w:r>
            <w:r w:rsidR="00B34BC9">
              <w:rPr>
                <w:webHidden/>
              </w:rPr>
              <w:fldChar w:fldCharType="end"/>
            </w:r>
          </w:hyperlink>
        </w:p>
        <w:p w14:paraId="2FFC5217" w14:textId="54159DAE" w:rsidR="00B34BC9" w:rsidRDefault="00B82931">
          <w:pPr>
            <w:pStyle w:val="Spistreci1"/>
            <w:rPr>
              <w:rFonts w:eastAsiaTheme="minorEastAsia"/>
              <w:noProof/>
              <w:sz w:val="24"/>
              <w:szCs w:val="24"/>
              <w:lang w:eastAsia="pl-PL"/>
            </w:rPr>
          </w:pPr>
          <w:hyperlink w:anchor="_Toc170117970" w:history="1">
            <w:r w:rsidR="00B34BC9" w:rsidRPr="00667EAF">
              <w:rPr>
                <w:rStyle w:val="Hipercze"/>
                <w:noProof/>
              </w:rPr>
              <w:t xml:space="preserve">       PRAWO  - LISTY OTWARTE</w:t>
            </w:r>
            <w:r w:rsidR="00B34BC9">
              <w:rPr>
                <w:noProof/>
                <w:webHidden/>
              </w:rPr>
              <w:tab/>
            </w:r>
            <w:r w:rsidR="00B34BC9">
              <w:rPr>
                <w:noProof/>
                <w:webHidden/>
              </w:rPr>
              <w:fldChar w:fldCharType="begin"/>
            </w:r>
            <w:r w:rsidR="00B34BC9">
              <w:rPr>
                <w:noProof/>
                <w:webHidden/>
              </w:rPr>
              <w:instrText xml:space="preserve"> PAGEREF _Toc170117970 \h </w:instrText>
            </w:r>
            <w:r w:rsidR="00B34BC9">
              <w:rPr>
                <w:noProof/>
                <w:webHidden/>
              </w:rPr>
            </w:r>
            <w:r w:rsidR="00B34BC9">
              <w:rPr>
                <w:noProof/>
                <w:webHidden/>
              </w:rPr>
              <w:fldChar w:fldCharType="separate"/>
            </w:r>
            <w:r>
              <w:rPr>
                <w:noProof/>
                <w:webHidden/>
              </w:rPr>
              <w:t>26</w:t>
            </w:r>
            <w:r w:rsidR="00B34BC9">
              <w:rPr>
                <w:noProof/>
                <w:webHidden/>
              </w:rPr>
              <w:fldChar w:fldCharType="end"/>
            </w:r>
          </w:hyperlink>
        </w:p>
        <w:p w14:paraId="7DE60D33" w14:textId="5C730032" w:rsidR="00B34BC9" w:rsidRDefault="00B82931">
          <w:pPr>
            <w:pStyle w:val="Spistreci2"/>
            <w:rPr>
              <w:rFonts w:eastAsiaTheme="minorEastAsia"/>
              <w:bCs w:val="0"/>
              <w:sz w:val="24"/>
              <w:szCs w:val="24"/>
              <w:lang w:eastAsia="pl-PL"/>
            </w:rPr>
          </w:pPr>
          <w:hyperlink w:anchor="_Toc170117971" w:history="1">
            <w:r w:rsidR="00B34BC9" w:rsidRPr="00667EAF">
              <w:rPr>
                <w:rStyle w:val="Hipercze"/>
                <w:lang w:eastAsia="pl-PL"/>
              </w:rPr>
              <w:t xml:space="preserve">LIST </w:t>
            </w:r>
            <w:r w:rsidR="00B34BC9" w:rsidRPr="00667EAF">
              <w:rPr>
                <w:rStyle w:val="Hipercze"/>
              </w:rPr>
              <w:t>OTWARTY</w:t>
            </w:r>
            <w:r w:rsidR="00B34BC9" w:rsidRPr="00667EAF">
              <w:rPr>
                <w:rStyle w:val="Hipercze"/>
                <w:lang w:eastAsia="pl-PL"/>
              </w:rPr>
              <w:t xml:space="preserve"> - apel o udostępnianie prawidłowych informacji o prawach udzielonych przez Urząd Patentowy RP</w:t>
            </w:r>
            <w:r w:rsidR="00B34BC9">
              <w:rPr>
                <w:webHidden/>
              </w:rPr>
              <w:tab/>
            </w:r>
            <w:r w:rsidR="00B34BC9">
              <w:rPr>
                <w:webHidden/>
              </w:rPr>
              <w:fldChar w:fldCharType="begin"/>
            </w:r>
            <w:r w:rsidR="00B34BC9">
              <w:rPr>
                <w:webHidden/>
              </w:rPr>
              <w:instrText xml:space="preserve"> PAGEREF _Toc170117971 \h </w:instrText>
            </w:r>
            <w:r w:rsidR="00B34BC9">
              <w:rPr>
                <w:webHidden/>
              </w:rPr>
            </w:r>
            <w:r w:rsidR="00B34BC9">
              <w:rPr>
                <w:webHidden/>
              </w:rPr>
              <w:fldChar w:fldCharType="separate"/>
            </w:r>
            <w:r>
              <w:rPr>
                <w:webHidden/>
              </w:rPr>
              <w:t>27</w:t>
            </w:r>
            <w:r w:rsidR="00B34BC9">
              <w:rPr>
                <w:webHidden/>
              </w:rPr>
              <w:fldChar w:fldCharType="end"/>
            </w:r>
          </w:hyperlink>
        </w:p>
        <w:p w14:paraId="7D955D5A" w14:textId="74BA854C" w:rsidR="00B34BC9" w:rsidRDefault="00B82931">
          <w:pPr>
            <w:pStyle w:val="Spistreci2"/>
            <w:rPr>
              <w:rFonts w:eastAsiaTheme="minorEastAsia"/>
              <w:bCs w:val="0"/>
              <w:sz w:val="24"/>
              <w:szCs w:val="24"/>
              <w:lang w:eastAsia="pl-PL"/>
            </w:rPr>
          </w:pPr>
          <w:hyperlink w:anchor="_Toc170117972" w:history="1">
            <w:r w:rsidR="00B34BC9" w:rsidRPr="00667EAF">
              <w:rPr>
                <w:rStyle w:val="Hipercze"/>
                <w:lang w:eastAsia="pl-PL"/>
              </w:rPr>
              <w:t>LIST OTWARTY - pytanie, czy UP RP nie angażuje się już mocno w forsowanie słabego projektu UD 263</w:t>
            </w:r>
            <w:r w:rsidR="00B34BC9">
              <w:rPr>
                <w:webHidden/>
              </w:rPr>
              <w:tab/>
            </w:r>
            <w:r w:rsidR="00B34BC9">
              <w:rPr>
                <w:webHidden/>
              </w:rPr>
              <w:fldChar w:fldCharType="begin"/>
            </w:r>
            <w:r w:rsidR="00B34BC9">
              <w:rPr>
                <w:webHidden/>
              </w:rPr>
              <w:instrText xml:space="preserve"> PAGEREF _Toc170117972 \h </w:instrText>
            </w:r>
            <w:r w:rsidR="00B34BC9">
              <w:rPr>
                <w:webHidden/>
              </w:rPr>
            </w:r>
            <w:r w:rsidR="00B34BC9">
              <w:rPr>
                <w:webHidden/>
              </w:rPr>
              <w:fldChar w:fldCharType="separate"/>
            </w:r>
            <w:r>
              <w:rPr>
                <w:webHidden/>
              </w:rPr>
              <w:t>31</w:t>
            </w:r>
            <w:r w:rsidR="00B34BC9">
              <w:rPr>
                <w:webHidden/>
              </w:rPr>
              <w:fldChar w:fldCharType="end"/>
            </w:r>
          </w:hyperlink>
        </w:p>
        <w:p w14:paraId="662B4166" w14:textId="27C7BC73" w:rsidR="00B34BC9" w:rsidRDefault="00B82931">
          <w:pPr>
            <w:pStyle w:val="Spistreci2"/>
            <w:rPr>
              <w:rFonts w:eastAsiaTheme="minorEastAsia"/>
              <w:bCs w:val="0"/>
              <w:sz w:val="24"/>
              <w:szCs w:val="24"/>
              <w:lang w:eastAsia="pl-PL"/>
            </w:rPr>
          </w:pPr>
          <w:hyperlink w:anchor="_Toc170117973" w:history="1">
            <w:r w:rsidR="00B34BC9" w:rsidRPr="00667EAF">
              <w:rPr>
                <w:rStyle w:val="Hipercze"/>
              </w:rPr>
              <w:t>LIST OTWARTY - apel o potwierdzenie zakończenia prac nad projektem ustawy UD-263</w:t>
            </w:r>
            <w:r w:rsidR="00B34BC9">
              <w:rPr>
                <w:webHidden/>
              </w:rPr>
              <w:tab/>
            </w:r>
            <w:r w:rsidR="00B34BC9">
              <w:rPr>
                <w:webHidden/>
              </w:rPr>
              <w:fldChar w:fldCharType="begin"/>
            </w:r>
            <w:r w:rsidR="00B34BC9">
              <w:rPr>
                <w:webHidden/>
              </w:rPr>
              <w:instrText xml:space="preserve"> PAGEREF _Toc170117973 \h </w:instrText>
            </w:r>
            <w:r w:rsidR="00B34BC9">
              <w:rPr>
                <w:webHidden/>
              </w:rPr>
            </w:r>
            <w:r w:rsidR="00B34BC9">
              <w:rPr>
                <w:webHidden/>
              </w:rPr>
              <w:fldChar w:fldCharType="separate"/>
            </w:r>
            <w:r>
              <w:rPr>
                <w:webHidden/>
              </w:rPr>
              <w:t>33</w:t>
            </w:r>
            <w:r w:rsidR="00B34BC9">
              <w:rPr>
                <w:webHidden/>
              </w:rPr>
              <w:fldChar w:fldCharType="end"/>
            </w:r>
          </w:hyperlink>
        </w:p>
        <w:p w14:paraId="2478E210" w14:textId="61E2DB2A" w:rsidR="00B34BC9" w:rsidRDefault="00B82931">
          <w:pPr>
            <w:pStyle w:val="Spistreci2"/>
            <w:rPr>
              <w:rFonts w:eastAsiaTheme="minorEastAsia"/>
              <w:bCs w:val="0"/>
              <w:sz w:val="24"/>
              <w:szCs w:val="24"/>
              <w:lang w:eastAsia="pl-PL"/>
            </w:rPr>
          </w:pPr>
          <w:hyperlink w:anchor="_Toc170117974" w:history="1">
            <w:r w:rsidR="00B34BC9" w:rsidRPr="00667EAF">
              <w:rPr>
                <w:rStyle w:val="Hipercze"/>
              </w:rPr>
              <w:t>LIST OTWARTY - zawierający prośbę o udostępnianie przez Urząd Patentowy RP informacji o udzielanych prawach</w:t>
            </w:r>
            <w:r w:rsidR="00B34BC9">
              <w:rPr>
                <w:webHidden/>
              </w:rPr>
              <w:tab/>
            </w:r>
            <w:r w:rsidR="00B34BC9">
              <w:rPr>
                <w:webHidden/>
              </w:rPr>
              <w:fldChar w:fldCharType="begin"/>
            </w:r>
            <w:r w:rsidR="00B34BC9">
              <w:rPr>
                <w:webHidden/>
              </w:rPr>
              <w:instrText xml:space="preserve"> PAGEREF _Toc170117974 \h </w:instrText>
            </w:r>
            <w:r w:rsidR="00B34BC9">
              <w:rPr>
                <w:webHidden/>
              </w:rPr>
            </w:r>
            <w:r w:rsidR="00B34BC9">
              <w:rPr>
                <w:webHidden/>
              </w:rPr>
              <w:fldChar w:fldCharType="separate"/>
            </w:r>
            <w:r>
              <w:rPr>
                <w:webHidden/>
              </w:rPr>
              <w:t>37</w:t>
            </w:r>
            <w:r w:rsidR="00B34BC9">
              <w:rPr>
                <w:webHidden/>
              </w:rPr>
              <w:fldChar w:fldCharType="end"/>
            </w:r>
          </w:hyperlink>
        </w:p>
        <w:p w14:paraId="4C854AE4" w14:textId="05ABC51C" w:rsidR="00B34BC9" w:rsidRDefault="00B82931">
          <w:pPr>
            <w:pStyle w:val="Spistreci2"/>
            <w:rPr>
              <w:rFonts w:eastAsiaTheme="minorEastAsia"/>
              <w:bCs w:val="0"/>
              <w:sz w:val="24"/>
              <w:szCs w:val="24"/>
              <w:lang w:eastAsia="pl-PL"/>
            </w:rPr>
          </w:pPr>
          <w:hyperlink w:anchor="_Toc170117975" w:history="1">
            <w:r w:rsidR="00B34BC9" w:rsidRPr="00667EAF">
              <w:rPr>
                <w:rStyle w:val="Hipercze"/>
                <w:lang w:eastAsia="pl-PL"/>
              </w:rPr>
              <w:t>LIST OTWARTY - apel o wprowadzenie do systemu prawnego PL sprawdzonych rozwiązań unijnych dot. przedłużenia terminów</w:t>
            </w:r>
            <w:r w:rsidR="00B34BC9">
              <w:rPr>
                <w:webHidden/>
              </w:rPr>
              <w:tab/>
            </w:r>
            <w:r w:rsidR="00B34BC9">
              <w:rPr>
                <w:webHidden/>
              </w:rPr>
              <w:fldChar w:fldCharType="begin"/>
            </w:r>
            <w:r w:rsidR="00B34BC9">
              <w:rPr>
                <w:webHidden/>
              </w:rPr>
              <w:instrText xml:space="preserve"> PAGEREF _Toc170117975 \h </w:instrText>
            </w:r>
            <w:r w:rsidR="00B34BC9">
              <w:rPr>
                <w:webHidden/>
              </w:rPr>
            </w:r>
            <w:r w:rsidR="00B34BC9">
              <w:rPr>
                <w:webHidden/>
              </w:rPr>
              <w:fldChar w:fldCharType="separate"/>
            </w:r>
            <w:r>
              <w:rPr>
                <w:webHidden/>
              </w:rPr>
              <w:t>43</w:t>
            </w:r>
            <w:r w:rsidR="00B34BC9">
              <w:rPr>
                <w:webHidden/>
              </w:rPr>
              <w:fldChar w:fldCharType="end"/>
            </w:r>
          </w:hyperlink>
        </w:p>
        <w:p w14:paraId="3096E6D1" w14:textId="318730A0" w:rsidR="00B34BC9" w:rsidRDefault="00B82931">
          <w:pPr>
            <w:pStyle w:val="Spistreci2"/>
            <w:rPr>
              <w:rFonts w:eastAsiaTheme="minorEastAsia"/>
              <w:bCs w:val="0"/>
              <w:sz w:val="24"/>
              <w:szCs w:val="24"/>
              <w:lang w:eastAsia="pl-PL"/>
            </w:rPr>
          </w:pPr>
          <w:hyperlink w:anchor="_Toc170117976" w:history="1">
            <w:r w:rsidR="00B34BC9" w:rsidRPr="00667EAF">
              <w:rPr>
                <w:rStyle w:val="Hipercze"/>
              </w:rPr>
              <w:t>LIST OTWARTY - w sprawie podjęcia przez Urząd Patentowy RP działań życzliwych dla przedsiębiorców</w:t>
            </w:r>
            <w:r w:rsidR="00B34BC9">
              <w:rPr>
                <w:webHidden/>
              </w:rPr>
              <w:tab/>
            </w:r>
            <w:r w:rsidR="00B34BC9">
              <w:rPr>
                <w:webHidden/>
              </w:rPr>
              <w:fldChar w:fldCharType="begin"/>
            </w:r>
            <w:r w:rsidR="00B34BC9">
              <w:rPr>
                <w:webHidden/>
              </w:rPr>
              <w:instrText xml:space="preserve"> PAGEREF _Toc170117976 \h </w:instrText>
            </w:r>
            <w:r w:rsidR="00B34BC9">
              <w:rPr>
                <w:webHidden/>
              </w:rPr>
            </w:r>
            <w:r w:rsidR="00B34BC9">
              <w:rPr>
                <w:webHidden/>
              </w:rPr>
              <w:fldChar w:fldCharType="separate"/>
            </w:r>
            <w:r>
              <w:rPr>
                <w:webHidden/>
              </w:rPr>
              <w:t>47</w:t>
            </w:r>
            <w:r w:rsidR="00B34BC9">
              <w:rPr>
                <w:webHidden/>
              </w:rPr>
              <w:fldChar w:fldCharType="end"/>
            </w:r>
          </w:hyperlink>
        </w:p>
        <w:p w14:paraId="2821BF89" w14:textId="6DBEABD3" w:rsidR="00B34BC9" w:rsidRDefault="00B82931">
          <w:pPr>
            <w:pStyle w:val="Spistreci2"/>
            <w:rPr>
              <w:rFonts w:eastAsiaTheme="minorEastAsia"/>
              <w:bCs w:val="0"/>
              <w:sz w:val="24"/>
              <w:szCs w:val="24"/>
              <w:lang w:eastAsia="pl-PL"/>
            </w:rPr>
          </w:pPr>
          <w:hyperlink w:anchor="_Toc170117977" w:history="1">
            <w:r w:rsidR="00B34BC9" w:rsidRPr="00667EAF">
              <w:rPr>
                <w:rStyle w:val="Hipercze"/>
              </w:rPr>
              <w:t>LIST OTWARTY - apel o racjonalny tryb znoszenia przez Urząd Patentowy RP terminów rozpraw w sprawach toczących się przed tym Urzędem</w:t>
            </w:r>
            <w:r w:rsidR="00B34BC9">
              <w:rPr>
                <w:webHidden/>
              </w:rPr>
              <w:tab/>
            </w:r>
            <w:r w:rsidR="00B34BC9">
              <w:rPr>
                <w:webHidden/>
              </w:rPr>
              <w:fldChar w:fldCharType="begin"/>
            </w:r>
            <w:r w:rsidR="00B34BC9">
              <w:rPr>
                <w:webHidden/>
              </w:rPr>
              <w:instrText xml:space="preserve"> PAGEREF _Toc170117977 \h </w:instrText>
            </w:r>
            <w:r w:rsidR="00B34BC9">
              <w:rPr>
                <w:webHidden/>
              </w:rPr>
            </w:r>
            <w:r w:rsidR="00B34BC9">
              <w:rPr>
                <w:webHidden/>
              </w:rPr>
              <w:fldChar w:fldCharType="separate"/>
            </w:r>
            <w:r>
              <w:rPr>
                <w:webHidden/>
              </w:rPr>
              <w:t>51</w:t>
            </w:r>
            <w:r w:rsidR="00B34BC9">
              <w:rPr>
                <w:webHidden/>
              </w:rPr>
              <w:fldChar w:fldCharType="end"/>
            </w:r>
          </w:hyperlink>
        </w:p>
        <w:p w14:paraId="31BDBBEB" w14:textId="1E51664E" w:rsidR="00B34BC9" w:rsidRDefault="00B82931">
          <w:pPr>
            <w:pStyle w:val="Spistreci2"/>
            <w:rPr>
              <w:rFonts w:eastAsiaTheme="minorEastAsia"/>
              <w:bCs w:val="0"/>
              <w:sz w:val="24"/>
              <w:szCs w:val="24"/>
              <w:lang w:eastAsia="pl-PL"/>
            </w:rPr>
          </w:pPr>
          <w:hyperlink w:anchor="_Toc170117978" w:history="1">
            <w:r w:rsidR="00B34BC9" w:rsidRPr="00667EAF">
              <w:rPr>
                <w:rStyle w:val="Hipercze"/>
              </w:rPr>
              <w:t>LIST OTWARTY - w sprawie podjęcia przez Urząd Patentowy RP działań życzliwych dla przedsiębiorców</w:t>
            </w:r>
            <w:r w:rsidR="00B34BC9">
              <w:rPr>
                <w:webHidden/>
              </w:rPr>
              <w:tab/>
            </w:r>
            <w:r w:rsidR="00B34BC9">
              <w:rPr>
                <w:webHidden/>
              </w:rPr>
              <w:fldChar w:fldCharType="begin"/>
            </w:r>
            <w:r w:rsidR="00B34BC9">
              <w:rPr>
                <w:webHidden/>
              </w:rPr>
              <w:instrText xml:space="preserve"> PAGEREF _Toc170117978 \h </w:instrText>
            </w:r>
            <w:r w:rsidR="00B34BC9">
              <w:rPr>
                <w:webHidden/>
              </w:rPr>
            </w:r>
            <w:r w:rsidR="00B34BC9">
              <w:rPr>
                <w:webHidden/>
              </w:rPr>
              <w:fldChar w:fldCharType="separate"/>
            </w:r>
            <w:r>
              <w:rPr>
                <w:webHidden/>
              </w:rPr>
              <w:t>60</w:t>
            </w:r>
            <w:r w:rsidR="00B34BC9">
              <w:rPr>
                <w:webHidden/>
              </w:rPr>
              <w:fldChar w:fldCharType="end"/>
            </w:r>
          </w:hyperlink>
        </w:p>
        <w:p w14:paraId="56DEF558" w14:textId="13AE9631" w:rsidR="00B34BC9" w:rsidRDefault="00B82931">
          <w:pPr>
            <w:pStyle w:val="Spistreci1"/>
            <w:rPr>
              <w:rFonts w:eastAsiaTheme="minorEastAsia"/>
              <w:noProof/>
              <w:sz w:val="24"/>
              <w:szCs w:val="24"/>
              <w:lang w:eastAsia="pl-PL"/>
            </w:rPr>
          </w:pPr>
          <w:hyperlink w:anchor="_Toc170117979" w:history="1">
            <w:r w:rsidR="00B34BC9" w:rsidRPr="00667EAF">
              <w:rPr>
                <w:rStyle w:val="Hipercze"/>
                <w:noProof/>
              </w:rPr>
              <w:t>PRAWO  - CASE LAW</w:t>
            </w:r>
            <w:r w:rsidR="00B34BC9">
              <w:rPr>
                <w:noProof/>
                <w:webHidden/>
              </w:rPr>
              <w:tab/>
            </w:r>
            <w:r w:rsidR="00B34BC9">
              <w:rPr>
                <w:noProof/>
                <w:webHidden/>
              </w:rPr>
              <w:fldChar w:fldCharType="begin"/>
            </w:r>
            <w:r w:rsidR="00B34BC9">
              <w:rPr>
                <w:noProof/>
                <w:webHidden/>
              </w:rPr>
              <w:instrText xml:space="preserve"> PAGEREF _Toc170117979 \h </w:instrText>
            </w:r>
            <w:r w:rsidR="00B34BC9">
              <w:rPr>
                <w:noProof/>
                <w:webHidden/>
              </w:rPr>
            </w:r>
            <w:r w:rsidR="00B34BC9">
              <w:rPr>
                <w:noProof/>
                <w:webHidden/>
              </w:rPr>
              <w:fldChar w:fldCharType="separate"/>
            </w:r>
            <w:r>
              <w:rPr>
                <w:noProof/>
                <w:webHidden/>
              </w:rPr>
              <w:t>62</w:t>
            </w:r>
            <w:r w:rsidR="00B34BC9">
              <w:rPr>
                <w:noProof/>
                <w:webHidden/>
              </w:rPr>
              <w:fldChar w:fldCharType="end"/>
            </w:r>
          </w:hyperlink>
        </w:p>
        <w:p w14:paraId="42771C0B" w14:textId="2FC48418" w:rsidR="00B34BC9" w:rsidRDefault="00B82931">
          <w:pPr>
            <w:pStyle w:val="Spistreci2"/>
            <w:rPr>
              <w:rFonts w:eastAsiaTheme="minorEastAsia"/>
              <w:bCs w:val="0"/>
              <w:sz w:val="24"/>
              <w:szCs w:val="24"/>
              <w:lang w:eastAsia="pl-PL"/>
            </w:rPr>
          </w:pPr>
          <w:hyperlink w:anchor="_Toc170117980" w:history="1">
            <w:r w:rsidR="00B34BC9" w:rsidRPr="00667EAF">
              <w:rPr>
                <w:rStyle w:val="Hipercze"/>
              </w:rPr>
              <w:t>UCHWAŁA 7 Sędziów</w:t>
            </w:r>
            <w:r w:rsidR="00B34BC9">
              <w:rPr>
                <w:webHidden/>
              </w:rPr>
              <w:tab/>
            </w:r>
            <w:r w:rsidR="00B34BC9">
              <w:rPr>
                <w:webHidden/>
              </w:rPr>
              <w:fldChar w:fldCharType="begin"/>
            </w:r>
            <w:r w:rsidR="00B34BC9">
              <w:rPr>
                <w:webHidden/>
              </w:rPr>
              <w:instrText xml:space="preserve"> PAGEREF _Toc170117980 \h </w:instrText>
            </w:r>
            <w:r w:rsidR="00B34BC9">
              <w:rPr>
                <w:webHidden/>
              </w:rPr>
            </w:r>
            <w:r w:rsidR="00B34BC9">
              <w:rPr>
                <w:webHidden/>
              </w:rPr>
              <w:fldChar w:fldCharType="separate"/>
            </w:r>
            <w:r>
              <w:rPr>
                <w:webHidden/>
              </w:rPr>
              <w:t>63</w:t>
            </w:r>
            <w:r w:rsidR="00B34BC9">
              <w:rPr>
                <w:webHidden/>
              </w:rPr>
              <w:fldChar w:fldCharType="end"/>
            </w:r>
          </w:hyperlink>
        </w:p>
        <w:p w14:paraId="6E7B9B20" w14:textId="705A9510" w:rsidR="00B34BC9" w:rsidRDefault="00B82931">
          <w:pPr>
            <w:pStyle w:val="Spistreci2"/>
            <w:rPr>
              <w:rFonts w:eastAsiaTheme="minorEastAsia"/>
              <w:bCs w:val="0"/>
              <w:sz w:val="24"/>
              <w:szCs w:val="24"/>
              <w:lang w:eastAsia="pl-PL"/>
            </w:rPr>
          </w:pPr>
          <w:hyperlink w:anchor="_Toc170117981" w:history="1">
            <w:r w:rsidR="00B34BC9" w:rsidRPr="00667EAF">
              <w:rPr>
                <w:rStyle w:val="Hipercze"/>
                <w:lang w:eastAsia="pl-PL"/>
              </w:rPr>
              <w:t xml:space="preserve">Wyrok z dnia 09.04.2008 r. wydany w sprawie sygn. akt V CSK 503/07, w którym Sąd Najwyższy przypomniał o tym, że nie wolno zarzucać niezgodności z prawem faktów i okoliczności długo akceptowanych - </w:t>
            </w:r>
            <w:r w:rsidR="00B34BC9" w:rsidRPr="00667EAF">
              <w:rPr>
                <w:rStyle w:val="Hipercze"/>
                <w:i/>
                <w:iCs/>
                <w:lang w:eastAsia="pl-PL"/>
              </w:rPr>
              <w:t>venire contra factum proprium</w:t>
            </w:r>
            <w:r w:rsidR="00B34BC9">
              <w:rPr>
                <w:webHidden/>
              </w:rPr>
              <w:tab/>
            </w:r>
            <w:r w:rsidR="00B34BC9">
              <w:rPr>
                <w:webHidden/>
              </w:rPr>
              <w:fldChar w:fldCharType="begin"/>
            </w:r>
            <w:r w:rsidR="00B34BC9">
              <w:rPr>
                <w:webHidden/>
              </w:rPr>
              <w:instrText xml:space="preserve"> PAGEREF _Toc170117981 \h </w:instrText>
            </w:r>
            <w:r w:rsidR="00B34BC9">
              <w:rPr>
                <w:webHidden/>
              </w:rPr>
            </w:r>
            <w:r w:rsidR="00B34BC9">
              <w:rPr>
                <w:webHidden/>
              </w:rPr>
              <w:fldChar w:fldCharType="separate"/>
            </w:r>
            <w:r>
              <w:rPr>
                <w:webHidden/>
              </w:rPr>
              <w:t>100</w:t>
            </w:r>
            <w:r w:rsidR="00B34BC9">
              <w:rPr>
                <w:webHidden/>
              </w:rPr>
              <w:fldChar w:fldCharType="end"/>
            </w:r>
          </w:hyperlink>
        </w:p>
        <w:p w14:paraId="16FAFF42" w14:textId="797C668C" w:rsidR="00B34BC9" w:rsidRDefault="00B82931">
          <w:pPr>
            <w:pStyle w:val="Spistreci2"/>
            <w:rPr>
              <w:rFonts w:eastAsiaTheme="minorEastAsia"/>
              <w:bCs w:val="0"/>
              <w:sz w:val="24"/>
              <w:szCs w:val="24"/>
              <w:lang w:eastAsia="pl-PL"/>
            </w:rPr>
          </w:pPr>
          <w:hyperlink w:anchor="_Toc170117982" w:history="1">
            <w:r w:rsidR="00B34BC9" w:rsidRPr="00667EAF">
              <w:rPr>
                <w:rStyle w:val="Hipercze"/>
              </w:rPr>
              <w:t>Pwp art. 120 oznaczenie w postaci pojedynczej litery - art. 4 rozporządzenia nr 40’94 + art. 4 2017’1001 TSUE C-265’09</w:t>
            </w:r>
            <w:r w:rsidR="00B34BC9">
              <w:rPr>
                <w:webHidden/>
              </w:rPr>
              <w:tab/>
            </w:r>
            <w:r w:rsidR="00B34BC9">
              <w:rPr>
                <w:webHidden/>
              </w:rPr>
              <w:fldChar w:fldCharType="begin"/>
            </w:r>
            <w:r w:rsidR="00B34BC9">
              <w:rPr>
                <w:webHidden/>
              </w:rPr>
              <w:instrText xml:space="preserve"> PAGEREF _Toc170117982 \h </w:instrText>
            </w:r>
            <w:r w:rsidR="00B34BC9">
              <w:rPr>
                <w:webHidden/>
              </w:rPr>
            </w:r>
            <w:r w:rsidR="00B34BC9">
              <w:rPr>
                <w:webHidden/>
              </w:rPr>
              <w:fldChar w:fldCharType="separate"/>
            </w:r>
            <w:r>
              <w:rPr>
                <w:webHidden/>
              </w:rPr>
              <w:t>110</w:t>
            </w:r>
            <w:r w:rsidR="00B34BC9">
              <w:rPr>
                <w:webHidden/>
              </w:rPr>
              <w:fldChar w:fldCharType="end"/>
            </w:r>
          </w:hyperlink>
        </w:p>
        <w:p w14:paraId="361F385B" w14:textId="53843513" w:rsidR="00B34BC9" w:rsidRDefault="00B82931">
          <w:pPr>
            <w:pStyle w:val="Spistreci2"/>
            <w:rPr>
              <w:rFonts w:eastAsiaTheme="minorEastAsia"/>
              <w:bCs w:val="0"/>
              <w:sz w:val="24"/>
              <w:szCs w:val="24"/>
              <w:lang w:eastAsia="pl-PL"/>
            </w:rPr>
          </w:pPr>
          <w:hyperlink w:anchor="_Toc170117983" w:history="1">
            <w:r w:rsidR="00B34BC9" w:rsidRPr="00667EAF">
              <w:rPr>
                <w:rStyle w:val="Hipercze"/>
                <w:kern w:val="0"/>
                <w:lang w:eastAsia="pl-PL"/>
                <w14:ligatures w14:val="none"/>
              </w:rPr>
              <w:t>Prawo z rejestracji przestrzennego znaku towarowego w postaci ciastka delicje R-116211 zostało unieważnione decyzją UP RP z dnia 26.03.2003 r.</w:t>
            </w:r>
            <w:r w:rsidR="00B34BC9">
              <w:rPr>
                <w:webHidden/>
              </w:rPr>
              <w:tab/>
            </w:r>
            <w:r w:rsidR="00B34BC9">
              <w:rPr>
                <w:webHidden/>
              </w:rPr>
              <w:fldChar w:fldCharType="begin"/>
            </w:r>
            <w:r w:rsidR="00B34BC9">
              <w:rPr>
                <w:webHidden/>
              </w:rPr>
              <w:instrText xml:space="preserve"> PAGEREF _Toc170117983 \h </w:instrText>
            </w:r>
            <w:r w:rsidR="00B34BC9">
              <w:rPr>
                <w:webHidden/>
              </w:rPr>
            </w:r>
            <w:r w:rsidR="00B34BC9">
              <w:rPr>
                <w:webHidden/>
              </w:rPr>
              <w:fldChar w:fldCharType="separate"/>
            </w:r>
            <w:r>
              <w:rPr>
                <w:webHidden/>
              </w:rPr>
              <w:t>121</w:t>
            </w:r>
            <w:r w:rsidR="00B34BC9">
              <w:rPr>
                <w:webHidden/>
              </w:rPr>
              <w:fldChar w:fldCharType="end"/>
            </w:r>
          </w:hyperlink>
        </w:p>
        <w:p w14:paraId="66C1C96E" w14:textId="00FA8660" w:rsidR="00B34BC9" w:rsidRDefault="00B82931">
          <w:pPr>
            <w:pStyle w:val="Spistreci2"/>
            <w:rPr>
              <w:rFonts w:eastAsiaTheme="minorEastAsia"/>
              <w:bCs w:val="0"/>
              <w:sz w:val="24"/>
              <w:szCs w:val="24"/>
              <w:lang w:eastAsia="pl-PL"/>
            </w:rPr>
          </w:pPr>
          <w:hyperlink w:anchor="_Toc170117984" w:history="1">
            <w:r w:rsidR="00B34BC9" w:rsidRPr="00667EAF">
              <w:rPr>
                <w:rStyle w:val="Hipercze"/>
                <w:kern w:val="0"/>
                <w:lang w:eastAsia="pl-PL"/>
                <w14:ligatures w14:val="none"/>
              </w:rPr>
              <w:t>Unieważniono prawo z rejestracji przestrzennego znaku towarowego w postaci ciastka delicje R-116211</w:t>
            </w:r>
            <w:r w:rsidR="00B34BC9">
              <w:rPr>
                <w:webHidden/>
              </w:rPr>
              <w:tab/>
            </w:r>
            <w:r w:rsidR="00B34BC9">
              <w:rPr>
                <w:webHidden/>
              </w:rPr>
              <w:fldChar w:fldCharType="begin"/>
            </w:r>
            <w:r w:rsidR="00B34BC9">
              <w:rPr>
                <w:webHidden/>
              </w:rPr>
              <w:instrText xml:space="preserve"> PAGEREF _Toc170117984 \h </w:instrText>
            </w:r>
            <w:r w:rsidR="00B34BC9">
              <w:rPr>
                <w:webHidden/>
              </w:rPr>
            </w:r>
            <w:r w:rsidR="00B34BC9">
              <w:rPr>
                <w:webHidden/>
              </w:rPr>
              <w:fldChar w:fldCharType="separate"/>
            </w:r>
            <w:r>
              <w:rPr>
                <w:webHidden/>
              </w:rPr>
              <w:t>135</w:t>
            </w:r>
            <w:r w:rsidR="00B34BC9">
              <w:rPr>
                <w:webHidden/>
              </w:rPr>
              <w:fldChar w:fldCharType="end"/>
            </w:r>
          </w:hyperlink>
        </w:p>
        <w:p w14:paraId="33598104" w14:textId="2CD9623E" w:rsidR="00B34BC9" w:rsidRDefault="00B82931">
          <w:pPr>
            <w:pStyle w:val="Spistreci2"/>
            <w:rPr>
              <w:rFonts w:eastAsiaTheme="minorEastAsia"/>
              <w:bCs w:val="0"/>
              <w:sz w:val="24"/>
              <w:szCs w:val="24"/>
              <w:lang w:eastAsia="pl-PL"/>
            </w:rPr>
          </w:pPr>
          <w:hyperlink w:anchor="_Toc170117985" w:history="1">
            <w:r w:rsidR="00B34BC9" w:rsidRPr="00667EAF">
              <w:rPr>
                <w:rStyle w:val="Hipercze"/>
                <w:lang w:eastAsia="pl-PL"/>
              </w:rPr>
              <w:t>Wojewódzki Sąd Administracyjny ocenił, że słusznie prawo z rejestracji przestrzennego znaku towarowego w postaci ciastka delicje R-116211 zostało unieważnione - wyrokiem WSA z dnia 18.10.2004 oddalono skargę na decyzję UP.</w:t>
            </w:r>
            <w:r w:rsidR="00B34BC9">
              <w:rPr>
                <w:webHidden/>
              </w:rPr>
              <w:tab/>
            </w:r>
            <w:r w:rsidR="00B34BC9">
              <w:rPr>
                <w:webHidden/>
              </w:rPr>
              <w:fldChar w:fldCharType="begin"/>
            </w:r>
            <w:r w:rsidR="00B34BC9">
              <w:rPr>
                <w:webHidden/>
              </w:rPr>
              <w:instrText xml:space="preserve"> PAGEREF _Toc170117985 \h </w:instrText>
            </w:r>
            <w:r w:rsidR="00B34BC9">
              <w:rPr>
                <w:webHidden/>
              </w:rPr>
            </w:r>
            <w:r w:rsidR="00B34BC9">
              <w:rPr>
                <w:webHidden/>
              </w:rPr>
              <w:fldChar w:fldCharType="separate"/>
            </w:r>
            <w:r>
              <w:rPr>
                <w:webHidden/>
              </w:rPr>
              <w:t>138</w:t>
            </w:r>
            <w:r w:rsidR="00B34BC9">
              <w:rPr>
                <w:webHidden/>
              </w:rPr>
              <w:fldChar w:fldCharType="end"/>
            </w:r>
          </w:hyperlink>
        </w:p>
        <w:p w14:paraId="0BB73A31" w14:textId="08CFEDB7" w:rsidR="00B34BC9" w:rsidRDefault="00B82931">
          <w:pPr>
            <w:pStyle w:val="Spistreci2"/>
            <w:rPr>
              <w:rFonts w:eastAsiaTheme="minorEastAsia"/>
              <w:bCs w:val="0"/>
              <w:sz w:val="24"/>
              <w:szCs w:val="24"/>
              <w:lang w:eastAsia="pl-PL"/>
            </w:rPr>
          </w:pPr>
          <w:hyperlink w:anchor="_Toc170117986" w:history="1">
            <w:r w:rsidR="00B34BC9" w:rsidRPr="00667EAF">
              <w:rPr>
                <w:rStyle w:val="Hipercze"/>
                <w:kern w:val="0"/>
                <w:lang w:eastAsia="pl-PL"/>
                <w14:ligatures w14:val="none"/>
              </w:rPr>
              <w:t>Unieważniono prawo z rejestracji znaku towarowego w kształcie 3D w postaci ciastka delicje R-116211.</w:t>
            </w:r>
            <w:r w:rsidR="00B34BC9">
              <w:rPr>
                <w:webHidden/>
              </w:rPr>
              <w:tab/>
            </w:r>
            <w:r w:rsidR="00B34BC9">
              <w:rPr>
                <w:webHidden/>
              </w:rPr>
              <w:fldChar w:fldCharType="begin"/>
            </w:r>
            <w:r w:rsidR="00B34BC9">
              <w:rPr>
                <w:webHidden/>
              </w:rPr>
              <w:instrText xml:space="preserve"> PAGEREF _Toc170117986 \h </w:instrText>
            </w:r>
            <w:r w:rsidR="00B34BC9">
              <w:rPr>
                <w:webHidden/>
              </w:rPr>
            </w:r>
            <w:r w:rsidR="00B34BC9">
              <w:rPr>
                <w:webHidden/>
              </w:rPr>
              <w:fldChar w:fldCharType="separate"/>
            </w:r>
            <w:r>
              <w:rPr>
                <w:webHidden/>
              </w:rPr>
              <w:t>146</w:t>
            </w:r>
            <w:r w:rsidR="00B34BC9">
              <w:rPr>
                <w:webHidden/>
              </w:rPr>
              <w:fldChar w:fldCharType="end"/>
            </w:r>
          </w:hyperlink>
        </w:p>
        <w:p w14:paraId="0F402513" w14:textId="2B052E5C" w:rsidR="00B34BC9" w:rsidRDefault="00B82931">
          <w:pPr>
            <w:pStyle w:val="Spistreci2"/>
            <w:rPr>
              <w:rFonts w:eastAsiaTheme="minorEastAsia"/>
              <w:bCs w:val="0"/>
              <w:sz w:val="24"/>
              <w:szCs w:val="24"/>
              <w:lang w:eastAsia="pl-PL"/>
            </w:rPr>
          </w:pPr>
          <w:hyperlink w:anchor="_Toc170117987" w:history="1">
            <w:r w:rsidR="00B34BC9" w:rsidRPr="00667EAF">
              <w:rPr>
                <w:rStyle w:val="Hipercze"/>
                <w:lang w:eastAsia="pl-PL"/>
              </w:rPr>
              <w:t>Naczelny Sąd Administracyjny podzielił pogląd o trafności unieważnienia prawa ochronnego na przestrzenny znak towarowy w postaci ciastka delicje R-116211 - NSA wyrokiem z dnia 29.06.2005 r. oddalił skargę kasacyjną</w:t>
            </w:r>
            <w:r w:rsidR="00B34BC9">
              <w:rPr>
                <w:webHidden/>
              </w:rPr>
              <w:tab/>
            </w:r>
            <w:r w:rsidR="00B34BC9">
              <w:rPr>
                <w:webHidden/>
              </w:rPr>
              <w:fldChar w:fldCharType="begin"/>
            </w:r>
            <w:r w:rsidR="00B34BC9">
              <w:rPr>
                <w:webHidden/>
              </w:rPr>
              <w:instrText xml:space="preserve"> PAGEREF _Toc170117987 \h </w:instrText>
            </w:r>
            <w:r w:rsidR="00B34BC9">
              <w:rPr>
                <w:webHidden/>
              </w:rPr>
            </w:r>
            <w:r w:rsidR="00B34BC9">
              <w:rPr>
                <w:webHidden/>
              </w:rPr>
              <w:fldChar w:fldCharType="separate"/>
            </w:r>
            <w:r>
              <w:rPr>
                <w:webHidden/>
              </w:rPr>
              <w:t>148</w:t>
            </w:r>
            <w:r w:rsidR="00B34BC9">
              <w:rPr>
                <w:webHidden/>
              </w:rPr>
              <w:fldChar w:fldCharType="end"/>
            </w:r>
          </w:hyperlink>
        </w:p>
        <w:p w14:paraId="2ADAF104" w14:textId="4F0DD9DA" w:rsidR="00B34BC9" w:rsidRDefault="00B82931">
          <w:pPr>
            <w:pStyle w:val="Spistreci1"/>
            <w:rPr>
              <w:rFonts w:eastAsiaTheme="minorEastAsia"/>
              <w:noProof/>
              <w:sz w:val="24"/>
              <w:szCs w:val="24"/>
              <w:lang w:eastAsia="pl-PL"/>
            </w:rPr>
          </w:pPr>
          <w:hyperlink w:anchor="_Toc170117988" w:history="1">
            <w:r w:rsidR="00B34BC9" w:rsidRPr="00667EAF">
              <w:rPr>
                <w:rStyle w:val="Hipercze"/>
                <w:noProof/>
              </w:rPr>
              <w:t>PUBLIKACJE</w:t>
            </w:r>
            <w:r w:rsidR="00B34BC9">
              <w:rPr>
                <w:noProof/>
                <w:webHidden/>
              </w:rPr>
              <w:tab/>
            </w:r>
            <w:r w:rsidR="00B34BC9">
              <w:rPr>
                <w:noProof/>
                <w:webHidden/>
              </w:rPr>
              <w:fldChar w:fldCharType="begin"/>
            </w:r>
            <w:r w:rsidR="00B34BC9">
              <w:rPr>
                <w:noProof/>
                <w:webHidden/>
              </w:rPr>
              <w:instrText xml:space="preserve"> PAGEREF _Toc170117988 \h </w:instrText>
            </w:r>
            <w:r w:rsidR="00B34BC9">
              <w:rPr>
                <w:noProof/>
                <w:webHidden/>
              </w:rPr>
            </w:r>
            <w:r w:rsidR="00B34BC9">
              <w:rPr>
                <w:noProof/>
                <w:webHidden/>
              </w:rPr>
              <w:fldChar w:fldCharType="separate"/>
            </w:r>
            <w:r>
              <w:rPr>
                <w:noProof/>
                <w:webHidden/>
              </w:rPr>
              <w:t>162</w:t>
            </w:r>
            <w:r w:rsidR="00B34BC9">
              <w:rPr>
                <w:noProof/>
                <w:webHidden/>
              </w:rPr>
              <w:fldChar w:fldCharType="end"/>
            </w:r>
          </w:hyperlink>
        </w:p>
        <w:p w14:paraId="2C5CF940" w14:textId="6CB0AC4B" w:rsidR="00B34BC9" w:rsidRDefault="00B82931">
          <w:pPr>
            <w:pStyle w:val="Spistreci2"/>
            <w:rPr>
              <w:rFonts w:eastAsiaTheme="minorEastAsia"/>
              <w:bCs w:val="0"/>
              <w:sz w:val="24"/>
              <w:szCs w:val="24"/>
              <w:lang w:eastAsia="pl-PL"/>
            </w:rPr>
          </w:pPr>
          <w:hyperlink w:anchor="_Toc170117989" w:history="1">
            <w:r w:rsidR="00B34BC9" w:rsidRPr="00667EAF">
              <w:rPr>
                <w:rStyle w:val="Hipercze"/>
              </w:rPr>
              <w:t>UD263 - projekt, który miał w PL zablokować innowacyjność</w:t>
            </w:r>
            <w:r w:rsidR="00B34BC9">
              <w:rPr>
                <w:webHidden/>
              </w:rPr>
              <w:tab/>
            </w:r>
            <w:r w:rsidR="00B34BC9">
              <w:rPr>
                <w:webHidden/>
              </w:rPr>
              <w:fldChar w:fldCharType="begin"/>
            </w:r>
            <w:r w:rsidR="00B34BC9">
              <w:rPr>
                <w:webHidden/>
              </w:rPr>
              <w:instrText xml:space="preserve"> PAGEREF _Toc170117989 \h </w:instrText>
            </w:r>
            <w:r w:rsidR="00B34BC9">
              <w:rPr>
                <w:webHidden/>
              </w:rPr>
            </w:r>
            <w:r w:rsidR="00B34BC9">
              <w:rPr>
                <w:webHidden/>
              </w:rPr>
              <w:fldChar w:fldCharType="separate"/>
            </w:r>
            <w:r>
              <w:rPr>
                <w:webHidden/>
              </w:rPr>
              <w:t>163</w:t>
            </w:r>
            <w:r w:rsidR="00B34BC9">
              <w:rPr>
                <w:webHidden/>
              </w:rPr>
              <w:fldChar w:fldCharType="end"/>
            </w:r>
          </w:hyperlink>
        </w:p>
        <w:p w14:paraId="05D2DB14" w14:textId="21FE6CF2" w:rsidR="00B34BC9" w:rsidRDefault="00B82931">
          <w:pPr>
            <w:pStyle w:val="Spistreci2"/>
            <w:rPr>
              <w:rFonts w:eastAsiaTheme="minorEastAsia"/>
              <w:bCs w:val="0"/>
              <w:sz w:val="24"/>
              <w:szCs w:val="24"/>
              <w:lang w:eastAsia="pl-PL"/>
            </w:rPr>
          </w:pPr>
          <w:hyperlink w:anchor="_Toc170117990" w:history="1">
            <w:r w:rsidR="00B34BC9" w:rsidRPr="00667EAF">
              <w:rPr>
                <w:rStyle w:val="Hipercze"/>
              </w:rPr>
              <w:t>Sposób „</w:t>
            </w:r>
            <w:r w:rsidR="00B34BC9" w:rsidRPr="00667EAF">
              <w:rPr>
                <w:rStyle w:val="Hipercze"/>
                <w:i/>
                <w:iCs/>
              </w:rPr>
              <w:t>na wnuczka</w:t>
            </w:r>
            <w:r w:rsidR="00B34BC9" w:rsidRPr="00667EAF">
              <w:rPr>
                <w:rStyle w:val="Hipercze"/>
              </w:rPr>
              <w:t>” i sposób „</w:t>
            </w:r>
            <w:r w:rsidR="00B34BC9" w:rsidRPr="00667EAF">
              <w:rPr>
                <w:rStyle w:val="Hipercze"/>
                <w:i/>
                <w:iCs/>
              </w:rPr>
              <w:t>na patent</w:t>
            </w:r>
            <w:r w:rsidR="00B34BC9" w:rsidRPr="00667EAF">
              <w:rPr>
                <w:rStyle w:val="Hipercze"/>
              </w:rPr>
              <w:t>”</w:t>
            </w:r>
            <w:r w:rsidR="00B34BC9">
              <w:rPr>
                <w:webHidden/>
              </w:rPr>
              <w:tab/>
            </w:r>
            <w:r w:rsidR="00B34BC9">
              <w:rPr>
                <w:webHidden/>
              </w:rPr>
              <w:fldChar w:fldCharType="begin"/>
            </w:r>
            <w:r w:rsidR="00B34BC9">
              <w:rPr>
                <w:webHidden/>
              </w:rPr>
              <w:instrText xml:space="preserve"> PAGEREF _Toc170117990 \h </w:instrText>
            </w:r>
            <w:r w:rsidR="00B34BC9">
              <w:rPr>
                <w:webHidden/>
              </w:rPr>
            </w:r>
            <w:r w:rsidR="00B34BC9">
              <w:rPr>
                <w:webHidden/>
              </w:rPr>
              <w:fldChar w:fldCharType="separate"/>
            </w:r>
            <w:r>
              <w:rPr>
                <w:webHidden/>
              </w:rPr>
              <w:t>181</w:t>
            </w:r>
            <w:r w:rsidR="00B34BC9">
              <w:rPr>
                <w:webHidden/>
              </w:rPr>
              <w:fldChar w:fldCharType="end"/>
            </w:r>
          </w:hyperlink>
        </w:p>
        <w:p w14:paraId="052B450B" w14:textId="5D615A3A" w:rsidR="00B34BC9" w:rsidRDefault="00B82931">
          <w:pPr>
            <w:pStyle w:val="Spistreci2"/>
            <w:rPr>
              <w:rFonts w:eastAsiaTheme="minorEastAsia"/>
              <w:bCs w:val="0"/>
              <w:sz w:val="24"/>
              <w:szCs w:val="24"/>
              <w:lang w:eastAsia="pl-PL"/>
            </w:rPr>
          </w:pPr>
          <w:hyperlink w:anchor="_Toc170117991" w:history="1">
            <w:r w:rsidR="00B34BC9" w:rsidRPr="00667EAF">
              <w:rPr>
                <w:rStyle w:val="Hipercze"/>
              </w:rPr>
              <w:t>Cudowny chwast i opatentowany sposób produkcji preparatu, który służy naszemu zdrowiu. Sylimarol – służy zdrowiu i odbudowuje komórki wątroby</w:t>
            </w:r>
            <w:r w:rsidR="00B34BC9">
              <w:rPr>
                <w:webHidden/>
              </w:rPr>
              <w:tab/>
            </w:r>
            <w:r w:rsidR="00B34BC9">
              <w:rPr>
                <w:webHidden/>
              </w:rPr>
              <w:fldChar w:fldCharType="begin"/>
            </w:r>
            <w:r w:rsidR="00B34BC9">
              <w:rPr>
                <w:webHidden/>
              </w:rPr>
              <w:instrText xml:space="preserve"> PAGEREF _Toc170117991 \h </w:instrText>
            </w:r>
            <w:r w:rsidR="00B34BC9">
              <w:rPr>
                <w:webHidden/>
              </w:rPr>
            </w:r>
            <w:r w:rsidR="00B34BC9">
              <w:rPr>
                <w:webHidden/>
              </w:rPr>
              <w:fldChar w:fldCharType="separate"/>
            </w:r>
            <w:r>
              <w:rPr>
                <w:webHidden/>
              </w:rPr>
              <w:t>186</w:t>
            </w:r>
            <w:r w:rsidR="00B34BC9">
              <w:rPr>
                <w:webHidden/>
              </w:rPr>
              <w:fldChar w:fldCharType="end"/>
            </w:r>
          </w:hyperlink>
        </w:p>
        <w:p w14:paraId="68046201" w14:textId="7FB33686" w:rsidR="00B34BC9" w:rsidRDefault="00B82931">
          <w:pPr>
            <w:pStyle w:val="Spistreci2"/>
            <w:rPr>
              <w:rFonts w:eastAsiaTheme="minorEastAsia"/>
              <w:bCs w:val="0"/>
              <w:sz w:val="24"/>
              <w:szCs w:val="24"/>
              <w:lang w:eastAsia="pl-PL"/>
            </w:rPr>
          </w:pPr>
          <w:hyperlink w:anchor="_Toc170117992" w:history="1">
            <w:r w:rsidR="00B34BC9" w:rsidRPr="00667EAF">
              <w:rPr>
                <w:rStyle w:val="Hipercze"/>
              </w:rPr>
              <w:t>Odpowiedzialność osoby, z usług której korzystano przy naruszaniu prawa</w:t>
            </w:r>
            <w:r w:rsidR="00B34BC9">
              <w:rPr>
                <w:webHidden/>
              </w:rPr>
              <w:tab/>
            </w:r>
            <w:r w:rsidR="00B34BC9">
              <w:rPr>
                <w:webHidden/>
              </w:rPr>
              <w:fldChar w:fldCharType="begin"/>
            </w:r>
            <w:r w:rsidR="00B34BC9">
              <w:rPr>
                <w:webHidden/>
              </w:rPr>
              <w:instrText xml:space="preserve"> PAGEREF _Toc170117992 \h </w:instrText>
            </w:r>
            <w:r w:rsidR="00B34BC9">
              <w:rPr>
                <w:webHidden/>
              </w:rPr>
            </w:r>
            <w:r w:rsidR="00B34BC9">
              <w:rPr>
                <w:webHidden/>
              </w:rPr>
              <w:fldChar w:fldCharType="separate"/>
            </w:r>
            <w:r>
              <w:rPr>
                <w:webHidden/>
              </w:rPr>
              <w:t>194</w:t>
            </w:r>
            <w:r w:rsidR="00B34BC9">
              <w:rPr>
                <w:webHidden/>
              </w:rPr>
              <w:fldChar w:fldCharType="end"/>
            </w:r>
          </w:hyperlink>
        </w:p>
        <w:p w14:paraId="0B30A43F" w14:textId="39A1F22A" w:rsidR="00B34BC9" w:rsidRDefault="00B82931">
          <w:pPr>
            <w:pStyle w:val="Spistreci1"/>
            <w:rPr>
              <w:rFonts w:eastAsiaTheme="minorEastAsia"/>
              <w:noProof/>
              <w:sz w:val="24"/>
              <w:szCs w:val="24"/>
              <w:lang w:eastAsia="pl-PL"/>
            </w:rPr>
          </w:pPr>
          <w:hyperlink w:anchor="_Toc170117993" w:history="1">
            <w:r w:rsidR="00B34BC9" w:rsidRPr="00667EAF">
              <w:rPr>
                <w:rStyle w:val="Hipercze"/>
                <w:noProof/>
              </w:rPr>
              <w:t>ROZWIĄZANIA DO OCHRONY I NIE</w:t>
            </w:r>
            <w:r w:rsidR="00B34BC9">
              <w:rPr>
                <w:noProof/>
                <w:webHidden/>
              </w:rPr>
              <w:tab/>
            </w:r>
            <w:r w:rsidR="00B34BC9">
              <w:rPr>
                <w:noProof/>
                <w:webHidden/>
              </w:rPr>
              <w:fldChar w:fldCharType="begin"/>
            </w:r>
            <w:r w:rsidR="00B34BC9">
              <w:rPr>
                <w:noProof/>
                <w:webHidden/>
              </w:rPr>
              <w:instrText xml:space="preserve"> PAGEREF _Toc170117993 \h </w:instrText>
            </w:r>
            <w:r w:rsidR="00B34BC9">
              <w:rPr>
                <w:noProof/>
                <w:webHidden/>
              </w:rPr>
            </w:r>
            <w:r w:rsidR="00B34BC9">
              <w:rPr>
                <w:noProof/>
                <w:webHidden/>
              </w:rPr>
              <w:fldChar w:fldCharType="separate"/>
            </w:r>
            <w:r>
              <w:rPr>
                <w:noProof/>
                <w:webHidden/>
              </w:rPr>
              <w:t>200</w:t>
            </w:r>
            <w:r w:rsidR="00B34BC9">
              <w:rPr>
                <w:noProof/>
                <w:webHidden/>
              </w:rPr>
              <w:fldChar w:fldCharType="end"/>
            </w:r>
          </w:hyperlink>
        </w:p>
        <w:p w14:paraId="6419BD3B" w14:textId="22ADCDC9" w:rsidR="00B34BC9" w:rsidRDefault="00B82931">
          <w:pPr>
            <w:pStyle w:val="Spistreci2"/>
            <w:rPr>
              <w:rFonts w:eastAsiaTheme="minorEastAsia"/>
              <w:bCs w:val="0"/>
              <w:sz w:val="24"/>
              <w:szCs w:val="24"/>
              <w:lang w:eastAsia="pl-PL"/>
            </w:rPr>
          </w:pPr>
          <w:hyperlink w:anchor="_Toc170117994" w:history="1">
            <w:r w:rsidR="00B34BC9" w:rsidRPr="00667EAF">
              <w:rPr>
                <w:rStyle w:val="Hipercze"/>
              </w:rPr>
              <w:t>Kod geniusza - dr Jarosław DUDA to twórca ANS, czyli</w:t>
            </w:r>
            <w:r w:rsidR="00B34BC9">
              <w:rPr>
                <w:webHidden/>
              </w:rPr>
              <w:tab/>
            </w:r>
            <w:r w:rsidR="00B34BC9">
              <w:rPr>
                <w:webHidden/>
              </w:rPr>
              <w:fldChar w:fldCharType="begin"/>
            </w:r>
            <w:r w:rsidR="00B34BC9">
              <w:rPr>
                <w:webHidden/>
              </w:rPr>
              <w:instrText xml:space="preserve"> PAGEREF _Toc170117994 \h </w:instrText>
            </w:r>
            <w:r w:rsidR="00B34BC9">
              <w:rPr>
                <w:webHidden/>
              </w:rPr>
            </w:r>
            <w:r w:rsidR="00B34BC9">
              <w:rPr>
                <w:webHidden/>
              </w:rPr>
              <w:fldChar w:fldCharType="separate"/>
            </w:r>
            <w:r>
              <w:rPr>
                <w:webHidden/>
              </w:rPr>
              <w:t>201</w:t>
            </w:r>
            <w:r w:rsidR="00B34BC9">
              <w:rPr>
                <w:webHidden/>
              </w:rPr>
              <w:fldChar w:fldCharType="end"/>
            </w:r>
          </w:hyperlink>
        </w:p>
        <w:p w14:paraId="4A7D710D" w14:textId="57D63D30" w:rsidR="00B34BC9" w:rsidRDefault="00B82931">
          <w:pPr>
            <w:pStyle w:val="Spistreci3"/>
            <w:rPr>
              <w:rFonts w:eastAsiaTheme="minorEastAsia"/>
              <w:noProof/>
              <w:sz w:val="24"/>
              <w:szCs w:val="24"/>
              <w:lang w:eastAsia="pl-PL"/>
            </w:rPr>
          </w:pPr>
          <w:hyperlink w:anchor="_Toc170117995" w:history="1">
            <w:r w:rsidR="00B34BC9" w:rsidRPr="00667EAF">
              <w:rPr>
                <w:rStyle w:val="Hipercze"/>
                <w:rFonts w:cstheme="minorHAnsi"/>
                <w:b/>
                <w:bCs/>
                <w:noProof/>
              </w:rPr>
              <w:t>WIPO [</w:t>
            </w:r>
            <w:r w:rsidR="00B34BC9" w:rsidRPr="00667EAF">
              <w:rPr>
                <w:rStyle w:val="Hipercze"/>
                <w:rFonts w:cstheme="minorHAnsi"/>
                <w:b/>
                <w:bCs/>
                <w:i/>
                <w:iCs/>
                <w:noProof/>
              </w:rPr>
              <w:t>World Intellectual Property Organization</w:t>
            </w:r>
            <w:r w:rsidR="00B34BC9" w:rsidRPr="00667EAF">
              <w:rPr>
                <w:rStyle w:val="Hipercze"/>
                <w:rFonts w:cstheme="minorHAnsi"/>
                <w:b/>
                <w:bCs/>
                <w:noProof/>
              </w:rPr>
              <w:t xml:space="preserve">  - Światowa Organizacja Własności Intelektualnej]  -</w:t>
            </w:r>
            <w:r w:rsidR="00B34BC9">
              <w:rPr>
                <w:noProof/>
                <w:webHidden/>
              </w:rPr>
              <w:tab/>
            </w:r>
            <w:r w:rsidR="00B34BC9">
              <w:rPr>
                <w:noProof/>
                <w:webHidden/>
              </w:rPr>
              <w:fldChar w:fldCharType="begin"/>
            </w:r>
            <w:r w:rsidR="00B34BC9">
              <w:rPr>
                <w:noProof/>
                <w:webHidden/>
              </w:rPr>
              <w:instrText xml:space="preserve"> PAGEREF _Toc170117995 \h </w:instrText>
            </w:r>
            <w:r w:rsidR="00B34BC9">
              <w:rPr>
                <w:noProof/>
                <w:webHidden/>
              </w:rPr>
            </w:r>
            <w:r w:rsidR="00B34BC9">
              <w:rPr>
                <w:noProof/>
                <w:webHidden/>
              </w:rPr>
              <w:fldChar w:fldCharType="separate"/>
            </w:r>
            <w:r>
              <w:rPr>
                <w:noProof/>
                <w:webHidden/>
              </w:rPr>
              <w:t>206</w:t>
            </w:r>
            <w:r w:rsidR="00B34BC9">
              <w:rPr>
                <w:noProof/>
                <w:webHidden/>
              </w:rPr>
              <w:fldChar w:fldCharType="end"/>
            </w:r>
          </w:hyperlink>
        </w:p>
        <w:p w14:paraId="4966D9C9" w14:textId="12EF6606" w:rsidR="00B34BC9" w:rsidRDefault="00B82931">
          <w:pPr>
            <w:pStyle w:val="Spistreci3"/>
            <w:rPr>
              <w:rFonts w:eastAsiaTheme="minorEastAsia"/>
              <w:noProof/>
              <w:sz w:val="24"/>
              <w:szCs w:val="24"/>
              <w:lang w:eastAsia="pl-PL"/>
            </w:rPr>
          </w:pPr>
          <w:hyperlink w:anchor="_Toc170117996" w:history="1">
            <w:r w:rsidR="00B34BC9" w:rsidRPr="00667EAF">
              <w:rPr>
                <w:rStyle w:val="Hipercze"/>
                <w:rFonts w:cstheme="minorHAnsi"/>
                <w:b/>
                <w:bCs/>
                <w:noProof/>
              </w:rPr>
              <w:t>Kod geniusza. Jak dr Jarosław Duda zmienił świat</w:t>
            </w:r>
            <w:r w:rsidR="00B34BC9">
              <w:rPr>
                <w:noProof/>
                <w:webHidden/>
              </w:rPr>
              <w:tab/>
            </w:r>
            <w:r w:rsidR="00B34BC9">
              <w:rPr>
                <w:noProof/>
                <w:webHidden/>
              </w:rPr>
              <w:fldChar w:fldCharType="begin"/>
            </w:r>
            <w:r w:rsidR="00B34BC9">
              <w:rPr>
                <w:noProof/>
                <w:webHidden/>
              </w:rPr>
              <w:instrText xml:space="preserve"> PAGEREF _Toc170117996 \h </w:instrText>
            </w:r>
            <w:r w:rsidR="00B34BC9">
              <w:rPr>
                <w:noProof/>
                <w:webHidden/>
              </w:rPr>
            </w:r>
            <w:r w:rsidR="00B34BC9">
              <w:rPr>
                <w:noProof/>
                <w:webHidden/>
              </w:rPr>
              <w:fldChar w:fldCharType="separate"/>
            </w:r>
            <w:r>
              <w:rPr>
                <w:noProof/>
                <w:webHidden/>
              </w:rPr>
              <w:t>213</w:t>
            </w:r>
            <w:r w:rsidR="00B34BC9">
              <w:rPr>
                <w:noProof/>
                <w:webHidden/>
              </w:rPr>
              <w:fldChar w:fldCharType="end"/>
            </w:r>
          </w:hyperlink>
        </w:p>
        <w:p w14:paraId="09BDDA9A" w14:textId="2AACE2B9" w:rsidR="00B34BC9" w:rsidRDefault="00B82931">
          <w:pPr>
            <w:pStyle w:val="Spistreci3"/>
            <w:rPr>
              <w:rFonts w:eastAsiaTheme="minorEastAsia"/>
              <w:noProof/>
              <w:sz w:val="24"/>
              <w:szCs w:val="24"/>
              <w:lang w:eastAsia="pl-PL"/>
            </w:rPr>
          </w:pPr>
          <w:hyperlink w:anchor="_Toc170117997" w:history="1">
            <w:r w:rsidR="00B34BC9" w:rsidRPr="00667EAF">
              <w:rPr>
                <w:rStyle w:val="Hipercze"/>
                <w:b/>
                <w:bCs/>
                <w:noProof/>
              </w:rPr>
              <w:t>ANS zastępujące kompresję danych Huffmana i arytmetyczne kodowanie RISSANENA - stało się podstawową metodą zapisu informacji  - prezentacja.</w:t>
            </w:r>
            <w:r w:rsidR="00B34BC9">
              <w:rPr>
                <w:noProof/>
                <w:webHidden/>
              </w:rPr>
              <w:tab/>
            </w:r>
            <w:r w:rsidR="00B34BC9">
              <w:rPr>
                <w:noProof/>
                <w:webHidden/>
              </w:rPr>
              <w:fldChar w:fldCharType="begin"/>
            </w:r>
            <w:r w:rsidR="00B34BC9">
              <w:rPr>
                <w:noProof/>
                <w:webHidden/>
              </w:rPr>
              <w:instrText xml:space="preserve"> PAGEREF _Toc170117997 \h </w:instrText>
            </w:r>
            <w:r w:rsidR="00B34BC9">
              <w:rPr>
                <w:noProof/>
                <w:webHidden/>
              </w:rPr>
            </w:r>
            <w:r w:rsidR="00B34BC9">
              <w:rPr>
                <w:noProof/>
                <w:webHidden/>
              </w:rPr>
              <w:fldChar w:fldCharType="separate"/>
            </w:r>
            <w:r>
              <w:rPr>
                <w:noProof/>
                <w:webHidden/>
              </w:rPr>
              <w:t>214</w:t>
            </w:r>
            <w:r w:rsidR="00B34BC9">
              <w:rPr>
                <w:noProof/>
                <w:webHidden/>
              </w:rPr>
              <w:fldChar w:fldCharType="end"/>
            </w:r>
          </w:hyperlink>
        </w:p>
        <w:p w14:paraId="5377EC9C" w14:textId="3C89ACD5" w:rsidR="00B34BC9" w:rsidRDefault="00B82931">
          <w:pPr>
            <w:pStyle w:val="Spistreci3"/>
            <w:rPr>
              <w:rFonts w:eastAsiaTheme="minorEastAsia"/>
              <w:noProof/>
              <w:sz w:val="24"/>
              <w:szCs w:val="24"/>
              <w:lang w:eastAsia="pl-PL"/>
            </w:rPr>
          </w:pPr>
          <w:hyperlink w:anchor="_Toc170117998" w:history="1">
            <w:r w:rsidR="00B34BC9" w:rsidRPr="00667EAF">
              <w:rPr>
                <w:rStyle w:val="Hipercze"/>
                <w:rFonts w:cstheme="minorHAnsi"/>
                <w:b/>
                <w:bCs/>
                <w:noProof/>
              </w:rPr>
              <w:t>Zestawienie informacji</w:t>
            </w:r>
            <w:r w:rsidR="00B34BC9" w:rsidRPr="00667EAF">
              <w:rPr>
                <w:rStyle w:val="Hipercze"/>
                <w:noProof/>
              </w:rPr>
              <w:t>.</w:t>
            </w:r>
            <w:r w:rsidR="00B34BC9">
              <w:rPr>
                <w:noProof/>
                <w:webHidden/>
              </w:rPr>
              <w:tab/>
            </w:r>
            <w:r w:rsidR="00B34BC9">
              <w:rPr>
                <w:noProof/>
                <w:webHidden/>
              </w:rPr>
              <w:fldChar w:fldCharType="begin"/>
            </w:r>
            <w:r w:rsidR="00B34BC9">
              <w:rPr>
                <w:noProof/>
                <w:webHidden/>
              </w:rPr>
              <w:instrText xml:space="preserve"> PAGEREF _Toc170117998 \h </w:instrText>
            </w:r>
            <w:r w:rsidR="00B34BC9">
              <w:rPr>
                <w:noProof/>
                <w:webHidden/>
              </w:rPr>
            </w:r>
            <w:r w:rsidR="00B34BC9">
              <w:rPr>
                <w:noProof/>
                <w:webHidden/>
              </w:rPr>
              <w:fldChar w:fldCharType="separate"/>
            </w:r>
            <w:r>
              <w:rPr>
                <w:noProof/>
                <w:webHidden/>
              </w:rPr>
              <w:t>224</w:t>
            </w:r>
            <w:r w:rsidR="00B34BC9">
              <w:rPr>
                <w:noProof/>
                <w:webHidden/>
              </w:rPr>
              <w:fldChar w:fldCharType="end"/>
            </w:r>
          </w:hyperlink>
        </w:p>
        <w:p w14:paraId="3ABCEC06" w14:textId="1DCDA87C" w:rsidR="00B34BC9" w:rsidRDefault="00B82931">
          <w:pPr>
            <w:pStyle w:val="Spistreci2"/>
            <w:rPr>
              <w:rFonts w:eastAsiaTheme="minorEastAsia"/>
              <w:bCs w:val="0"/>
              <w:sz w:val="24"/>
              <w:szCs w:val="24"/>
              <w:lang w:eastAsia="pl-PL"/>
            </w:rPr>
          </w:pPr>
          <w:hyperlink w:anchor="_Toc170117999" w:history="1">
            <w:r w:rsidR="00B34BC9" w:rsidRPr="00667EAF">
              <w:rPr>
                <w:rStyle w:val="Hipercze"/>
              </w:rPr>
              <w:t>Elastyczne, perowskitowe panele fotowoltaiczne w elewacjach budynków + szyby generujące prąd wymyślone i już produkowane w Polsce</w:t>
            </w:r>
            <w:r w:rsidR="00B34BC9">
              <w:rPr>
                <w:webHidden/>
              </w:rPr>
              <w:tab/>
            </w:r>
            <w:r w:rsidR="00B34BC9">
              <w:rPr>
                <w:webHidden/>
              </w:rPr>
              <w:fldChar w:fldCharType="begin"/>
            </w:r>
            <w:r w:rsidR="00B34BC9">
              <w:rPr>
                <w:webHidden/>
              </w:rPr>
              <w:instrText xml:space="preserve"> PAGEREF _Toc170117999 \h </w:instrText>
            </w:r>
            <w:r w:rsidR="00B34BC9">
              <w:rPr>
                <w:webHidden/>
              </w:rPr>
            </w:r>
            <w:r w:rsidR="00B34BC9">
              <w:rPr>
                <w:webHidden/>
              </w:rPr>
              <w:fldChar w:fldCharType="separate"/>
            </w:r>
            <w:r>
              <w:rPr>
                <w:webHidden/>
              </w:rPr>
              <w:t>226</w:t>
            </w:r>
            <w:r w:rsidR="00B34BC9">
              <w:rPr>
                <w:webHidden/>
              </w:rPr>
              <w:fldChar w:fldCharType="end"/>
            </w:r>
          </w:hyperlink>
        </w:p>
        <w:p w14:paraId="7CB7635D" w14:textId="32664009" w:rsidR="00B34BC9" w:rsidRDefault="00B82931">
          <w:pPr>
            <w:pStyle w:val="Spistreci2"/>
            <w:rPr>
              <w:rFonts w:eastAsiaTheme="minorEastAsia"/>
              <w:bCs w:val="0"/>
              <w:sz w:val="24"/>
              <w:szCs w:val="24"/>
              <w:lang w:eastAsia="pl-PL"/>
            </w:rPr>
          </w:pPr>
          <w:hyperlink w:anchor="_Toc170118000" w:history="1">
            <w:r w:rsidR="00B34BC9" w:rsidRPr="00667EAF">
              <w:rPr>
                <w:rStyle w:val="Hipercze"/>
              </w:rPr>
              <w:t>Poszukiwacze skarbów</w:t>
            </w:r>
            <w:r w:rsidR="00B34BC9">
              <w:rPr>
                <w:webHidden/>
              </w:rPr>
              <w:tab/>
            </w:r>
            <w:r w:rsidR="00B34BC9">
              <w:rPr>
                <w:webHidden/>
              </w:rPr>
              <w:fldChar w:fldCharType="begin"/>
            </w:r>
            <w:r w:rsidR="00B34BC9">
              <w:rPr>
                <w:webHidden/>
              </w:rPr>
              <w:instrText xml:space="preserve"> PAGEREF _Toc170118000 \h </w:instrText>
            </w:r>
            <w:r w:rsidR="00B34BC9">
              <w:rPr>
                <w:webHidden/>
              </w:rPr>
            </w:r>
            <w:r w:rsidR="00B34BC9">
              <w:rPr>
                <w:webHidden/>
              </w:rPr>
              <w:fldChar w:fldCharType="separate"/>
            </w:r>
            <w:r>
              <w:rPr>
                <w:webHidden/>
              </w:rPr>
              <w:t>235</w:t>
            </w:r>
            <w:r w:rsidR="00B34BC9">
              <w:rPr>
                <w:webHidden/>
              </w:rPr>
              <w:fldChar w:fldCharType="end"/>
            </w:r>
          </w:hyperlink>
        </w:p>
        <w:p w14:paraId="226BE80A" w14:textId="599BD31F" w:rsidR="00B34BC9" w:rsidRDefault="00B82931">
          <w:pPr>
            <w:pStyle w:val="Spistreci3"/>
            <w:rPr>
              <w:rFonts w:eastAsiaTheme="minorEastAsia"/>
              <w:noProof/>
              <w:sz w:val="24"/>
              <w:szCs w:val="24"/>
              <w:lang w:eastAsia="pl-PL"/>
            </w:rPr>
          </w:pPr>
          <w:hyperlink w:anchor="_Toc170118001" w:history="1">
            <w:r w:rsidR="00B34BC9" w:rsidRPr="00667EAF">
              <w:rPr>
                <w:rStyle w:val="Hipercze"/>
                <w:rFonts w:cstheme="minorHAnsi"/>
                <w:b/>
                <w:bCs/>
                <w:noProof/>
              </w:rPr>
              <w:t>Dorobek poszukiwacza skarbów</w:t>
            </w:r>
            <w:r w:rsidR="00B34BC9">
              <w:rPr>
                <w:noProof/>
                <w:webHidden/>
              </w:rPr>
              <w:tab/>
            </w:r>
            <w:r w:rsidR="00B34BC9">
              <w:rPr>
                <w:noProof/>
                <w:webHidden/>
              </w:rPr>
              <w:fldChar w:fldCharType="begin"/>
            </w:r>
            <w:r w:rsidR="00B34BC9">
              <w:rPr>
                <w:noProof/>
                <w:webHidden/>
              </w:rPr>
              <w:instrText xml:space="preserve"> PAGEREF _Toc170118001 \h </w:instrText>
            </w:r>
            <w:r w:rsidR="00B34BC9">
              <w:rPr>
                <w:noProof/>
                <w:webHidden/>
              </w:rPr>
            </w:r>
            <w:r w:rsidR="00B34BC9">
              <w:rPr>
                <w:noProof/>
                <w:webHidden/>
              </w:rPr>
              <w:fldChar w:fldCharType="separate"/>
            </w:r>
            <w:r>
              <w:rPr>
                <w:noProof/>
                <w:webHidden/>
              </w:rPr>
              <w:t>238</w:t>
            </w:r>
            <w:r w:rsidR="00B34BC9">
              <w:rPr>
                <w:noProof/>
                <w:webHidden/>
              </w:rPr>
              <w:fldChar w:fldCharType="end"/>
            </w:r>
          </w:hyperlink>
        </w:p>
        <w:p w14:paraId="20B187D9" w14:textId="5B9C4E2B" w:rsidR="00B34BC9" w:rsidRDefault="00B82931">
          <w:pPr>
            <w:pStyle w:val="Spistreci3"/>
            <w:rPr>
              <w:rFonts w:eastAsiaTheme="minorEastAsia"/>
              <w:noProof/>
              <w:sz w:val="24"/>
              <w:szCs w:val="24"/>
              <w:lang w:eastAsia="pl-PL"/>
            </w:rPr>
          </w:pPr>
          <w:hyperlink w:anchor="_Toc170118002" w:history="1">
            <w:r w:rsidR="00B34BC9" w:rsidRPr="00667EAF">
              <w:rPr>
                <w:rStyle w:val="Hipercze"/>
                <w:rFonts w:cstheme="minorHAnsi"/>
                <w:b/>
                <w:bCs/>
                <w:noProof/>
              </w:rPr>
              <w:t>Poszukiwacze skarbów</w:t>
            </w:r>
            <w:r w:rsidR="00B34BC9">
              <w:rPr>
                <w:noProof/>
                <w:webHidden/>
              </w:rPr>
              <w:tab/>
            </w:r>
            <w:r w:rsidR="00B34BC9">
              <w:rPr>
                <w:noProof/>
                <w:webHidden/>
              </w:rPr>
              <w:fldChar w:fldCharType="begin"/>
            </w:r>
            <w:r w:rsidR="00B34BC9">
              <w:rPr>
                <w:noProof/>
                <w:webHidden/>
              </w:rPr>
              <w:instrText xml:space="preserve"> PAGEREF _Toc170118002 \h </w:instrText>
            </w:r>
            <w:r w:rsidR="00B34BC9">
              <w:rPr>
                <w:noProof/>
                <w:webHidden/>
              </w:rPr>
            </w:r>
            <w:r w:rsidR="00B34BC9">
              <w:rPr>
                <w:noProof/>
                <w:webHidden/>
              </w:rPr>
              <w:fldChar w:fldCharType="separate"/>
            </w:r>
            <w:r>
              <w:rPr>
                <w:noProof/>
                <w:webHidden/>
              </w:rPr>
              <w:t>245</w:t>
            </w:r>
            <w:r w:rsidR="00B34BC9">
              <w:rPr>
                <w:noProof/>
                <w:webHidden/>
              </w:rPr>
              <w:fldChar w:fldCharType="end"/>
            </w:r>
          </w:hyperlink>
        </w:p>
        <w:p w14:paraId="2A1B9DA5" w14:textId="55B55CDB" w:rsidR="00BC2F4F" w:rsidRDefault="00BC2F4F" w:rsidP="008E4310">
          <w:pPr>
            <w:pStyle w:val="Spistreci1"/>
          </w:pPr>
          <w:r>
            <w:fldChar w:fldCharType="end"/>
          </w:r>
        </w:p>
      </w:sdtContent>
    </w:sdt>
    <w:p w14:paraId="012D1F2B" w14:textId="635B9EC9" w:rsidR="00BA0CAC" w:rsidRDefault="00BA0CAC" w:rsidP="00B948E0">
      <w:pPr>
        <w:rPr>
          <w:color w:val="4472C4" w:themeColor="accent1"/>
          <w:sz w:val="20"/>
          <w:szCs w:val="20"/>
        </w:rPr>
      </w:pPr>
    </w:p>
    <w:p w14:paraId="5F648C69" w14:textId="058EF7E0" w:rsidR="00AA6CCB" w:rsidRDefault="005A60DD" w:rsidP="00CE63B7">
      <w:pPr>
        <w:rPr>
          <w:color w:val="4472C4" w:themeColor="accent1"/>
          <w:sz w:val="20"/>
          <w:szCs w:val="20"/>
        </w:rPr>
      </w:pPr>
      <w:r>
        <w:rPr>
          <w:color w:val="4472C4" w:themeColor="accent1"/>
          <w:sz w:val="20"/>
          <w:szCs w:val="20"/>
        </w:rPr>
        <w:softHyphen/>
      </w:r>
      <w:r>
        <w:rPr>
          <w:color w:val="4472C4" w:themeColor="accent1"/>
          <w:sz w:val="20"/>
          <w:szCs w:val="20"/>
        </w:rPr>
        <w:softHyphen/>
      </w:r>
      <w:r>
        <w:rPr>
          <w:color w:val="4472C4" w:themeColor="accent1"/>
          <w:sz w:val="20"/>
          <w:szCs w:val="20"/>
        </w:rPr>
        <w:softHyphen/>
      </w:r>
      <w:r w:rsidR="00CE63B7">
        <w:rPr>
          <w:color w:val="4472C4" w:themeColor="accent1"/>
          <w:sz w:val="20"/>
          <w:szCs w:val="20"/>
        </w:rPr>
        <w:br w:type="page"/>
      </w:r>
    </w:p>
    <w:p w14:paraId="74BAE4AA" w14:textId="77A300A4" w:rsidR="00AA6CCB" w:rsidRDefault="00CE63B7" w:rsidP="002126C9">
      <w:pPr>
        <w:jc w:val="center"/>
        <w:rPr>
          <w:color w:val="4472C4" w:themeColor="accent1"/>
          <w:sz w:val="20"/>
          <w:szCs w:val="20"/>
        </w:rPr>
      </w:pPr>
      <w:r>
        <w:rPr>
          <w:noProof/>
          <w:color w:val="FF0000"/>
          <w:sz w:val="32"/>
          <w:szCs w:val="20"/>
          <w:lang w:eastAsia="pl-PL"/>
        </w:rPr>
        <w:lastRenderedPageBreak/>
        <mc:AlternateContent>
          <mc:Choice Requires="wps">
            <w:drawing>
              <wp:anchor distT="0" distB="0" distL="114300" distR="114300" simplePos="0" relativeHeight="251658239" behindDoc="1" locked="0" layoutInCell="1" allowOverlap="1" wp14:anchorId="224DE73D" wp14:editId="724166C0">
                <wp:simplePos x="0" y="0"/>
                <wp:positionH relativeFrom="column">
                  <wp:posOffset>-725805</wp:posOffset>
                </wp:positionH>
                <wp:positionV relativeFrom="paragraph">
                  <wp:posOffset>-901065</wp:posOffset>
                </wp:positionV>
                <wp:extent cx="7708236" cy="10909005"/>
                <wp:effectExtent l="0" t="0" r="26670" b="26035"/>
                <wp:wrapNone/>
                <wp:docPr id="50" name="Prostokąt 50"/>
                <wp:cNvGraphicFramePr/>
                <a:graphic xmlns:a="http://schemas.openxmlformats.org/drawingml/2006/main">
                  <a:graphicData uri="http://schemas.microsoft.com/office/word/2010/wordprocessingShape">
                    <wps:wsp>
                      <wps:cNvSpPr/>
                      <wps:spPr>
                        <a:xfrm>
                          <a:off x="0" y="0"/>
                          <a:ext cx="7708236" cy="10909005"/>
                        </a:xfrm>
                        <a:prstGeom prst="rect">
                          <a:avLst/>
                        </a:prstGeom>
                        <a:solidFill>
                          <a:srgbClr val="1E2D4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D244B" id="Prostokąt 50" o:spid="_x0000_s1026" style="position:absolute;margin-left:-57.15pt;margin-top:-70.95pt;width:606.95pt;height:85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" fillcolor="#1e2d40" strokecolor="#1f3763 [1604]" strokeweight="1pt"/>
            </w:pict>
          </mc:Fallback>
        </mc:AlternateContent>
      </w:r>
    </w:p>
    <w:p w14:paraId="3DFCB992" w14:textId="683D4574" w:rsidR="00BA0CAC" w:rsidRDefault="00BA0CAC" w:rsidP="002126C9">
      <w:pPr>
        <w:jc w:val="center"/>
        <w:rPr>
          <w:color w:val="4472C4" w:themeColor="accent1"/>
          <w:sz w:val="20"/>
          <w:szCs w:val="20"/>
        </w:rPr>
      </w:pPr>
    </w:p>
    <w:p w14:paraId="1CF029AF" w14:textId="2736AD4C" w:rsidR="00BA0CAC" w:rsidRDefault="00BA0CAC" w:rsidP="00031194">
      <w:pPr>
        <w:rPr>
          <w:color w:val="4472C4" w:themeColor="accent1"/>
          <w:sz w:val="20"/>
          <w:szCs w:val="20"/>
        </w:rPr>
      </w:pPr>
    </w:p>
    <w:p w14:paraId="40E33AEA" w14:textId="3F9E98D6" w:rsidR="004C7D5A" w:rsidRDefault="004C7D5A" w:rsidP="004C7D5A">
      <w:pPr>
        <w:jc w:val="center"/>
        <w:rPr>
          <w:color w:val="E7E6E6" w:themeColor="background2"/>
          <w:sz w:val="32"/>
          <w:szCs w:val="20"/>
        </w:rPr>
      </w:pPr>
    </w:p>
    <w:p w14:paraId="30557B39" w14:textId="77777777" w:rsidR="004C7D5A" w:rsidRDefault="004C7D5A" w:rsidP="004C7D5A">
      <w:pPr>
        <w:jc w:val="center"/>
        <w:rPr>
          <w:color w:val="E7E6E6" w:themeColor="background2"/>
          <w:sz w:val="32"/>
          <w:szCs w:val="20"/>
        </w:rPr>
      </w:pPr>
    </w:p>
    <w:p w14:paraId="57F32D27" w14:textId="02EEA1B4" w:rsidR="003F5DA8" w:rsidRDefault="003F5DA8" w:rsidP="002126C9">
      <w:pPr>
        <w:jc w:val="center"/>
        <w:rPr>
          <w:color w:val="E7E6E6" w:themeColor="background2"/>
          <w:sz w:val="32"/>
          <w:szCs w:val="20"/>
        </w:rPr>
      </w:pPr>
    </w:p>
    <w:p w14:paraId="17BE2633" w14:textId="2A92D3FB" w:rsidR="004C7D5A" w:rsidRDefault="004C7D5A" w:rsidP="002126C9">
      <w:pPr>
        <w:jc w:val="center"/>
        <w:rPr>
          <w:color w:val="E7E6E6" w:themeColor="background2"/>
          <w:sz w:val="32"/>
          <w:szCs w:val="20"/>
        </w:rPr>
      </w:pPr>
    </w:p>
    <w:p w14:paraId="4CFA89E5" w14:textId="51988E8A" w:rsidR="005D14C4" w:rsidRDefault="005D14C4" w:rsidP="005D14C4">
      <w:pPr>
        <w:rPr>
          <w:color w:val="E7E6E6" w:themeColor="background2"/>
          <w:sz w:val="32"/>
          <w:szCs w:val="20"/>
        </w:rPr>
      </w:pPr>
    </w:p>
    <w:p w14:paraId="4F2FE2EE" w14:textId="4D3150D6" w:rsidR="004C7D5A" w:rsidRDefault="004C7D5A" w:rsidP="002126C9">
      <w:pPr>
        <w:jc w:val="center"/>
        <w:rPr>
          <w:color w:val="E7E6E6" w:themeColor="background2"/>
          <w:sz w:val="32"/>
          <w:szCs w:val="20"/>
        </w:rPr>
      </w:pPr>
    </w:p>
    <w:p w14:paraId="300CB974" w14:textId="4A027705" w:rsidR="007B63E4" w:rsidRPr="007B63E4" w:rsidRDefault="007B63E4" w:rsidP="007B63E4">
      <w:pPr>
        <w:rPr>
          <w:color w:val="1E2D40"/>
          <w:sz w:val="32"/>
          <w:szCs w:val="20"/>
        </w:rPr>
      </w:pPr>
    </w:p>
    <w:p w14:paraId="0920FA24" w14:textId="7B63F2C0" w:rsidR="00215FBB" w:rsidRDefault="00215FBB" w:rsidP="00215FBB"/>
    <w:p w14:paraId="44649833" w14:textId="77777777" w:rsidR="00215FBB" w:rsidRDefault="00215FBB" w:rsidP="00215FBB"/>
    <w:p w14:paraId="2E502DAE" w14:textId="35B8AF11" w:rsidR="003413BD" w:rsidRPr="005D69C5" w:rsidRDefault="00A2434D" w:rsidP="005D69C5">
      <w:pPr>
        <w:pStyle w:val="Nagwek1"/>
        <w:sectPr w:rsidR="003413BD" w:rsidRPr="005D69C5" w:rsidSect="00F72864">
          <w:pgSz w:w="11906" w:h="16838" w:code="9"/>
          <w:pgMar w:top="1440" w:right="1077" w:bottom="993" w:left="1077" w:header="0" w:footer="0" w:gutter="0"/>
          <w:cols w:space="708"/>
          <w:docGrid w:linePitch="360"/>
        </w:sectPr>
      </w:pPr>
      <w:bookmarkStart w:id="13" w:name="_Toc170117966"/>
      <w:r w:rsidRPr="00A2434D">
        <w:t>CENNE INTERPELACJE POSELSK</w:t>
      </w:r>
      <w:r w:rsidR="00397CF8">
        <w:t>I</w:t>
      </w:r>
      <w:r w:rsidR="00015241">
        <w:t>E</w:t>
      </w:r>
      <w:bookmarkEnd w:id="13"/>
    </w:p>
    <w:bookmarkEnd w:id="2"/>
    <w:p w14:paraId="5CFF0F08" w14:textId="44B21375" w:rsidR="00831D80" w:rsidRPr="00E67595" w:rsidRDefault="00E34871" w:rsidP="002E5577">
      <w:pPr>
        <w:shd w:val="clear" w:color="auto" w:fill="FFFFFF"/>
        <w:spacing w:after="0" w:line="240" w:lineRule="auto"/>
        <w:rPr>
          <w:rFonts w:cstheme="minorHAnsi"/>
          <w:b/>
          <w:bCs/>
        </w:rPr>
      </w:pPr>
      <w:r w:rsidRPr="00282375">
        <w:rPr>
          <w:rStyle w:val="Nagwek2Znak"/>
          <w:noProof/>
          <w:lang w:eastAsia="pl-PL"/>
        </w:rPr>
        <w:lastRenderedPageBreak/>
        <mc:AlternateContent>
          <mc:Choice Requires="wps">
            <w:drawing>
              <wp:anchor distT="0" distB="0" distL="114300" distR="114300" simplePos="0" relativeHeight="251753472" behindDoc="0" locked="0" layoutInCell="1" allowOverlap="1" wp14:anchorId="18D44CCC" wp14:editId="2CF54AF7">
                <wp:simplePos x="0" y="0"/>
                <wp:positionH relativeFrom="margin">
                  <wp:posOffset>-88472</wp:posOffset>
                </wp:positionH>
                <wp:positionV relativeFrom="paragraph">
                  <wp:posOffset>-228777</wp:posOffset>
                </wp:positionV>
                <wp:extent cx="612111" cy="400050"/>
                <wp:effectExtent l="0" t="0" r="0" b="0"/>
                <wp:wrapNone/>
                <wp:docPr id="1989075066" name="Pole tekstowe 1"/>
                <wp:cNvGraphicFramePr/>
                <a:graphic xmlns:a="http://schemas.openxmlformats.org/drawingml/2006/main">
                  <a:graphicData uri="http://schemas.microsoft.com/office/word/2010/wordprocessingShape">
                    <wps:wsp>
                      <wps:cNvSpPr txBox="1"/>
                      <wps:spPr>
                        <a:xfrm>
                          <a:off x="0" y="0"/>
                          <a:ext cx="612111" cy="400050"/>
                        </a:xfrm>
                        <a:prstGeom prst="rect">
                          <a:avLst/>
                        </a:prstGeom>
                        <a:solidFill>
                          <a:schemeClr val="lt1"/>
                        </a:solidFill>
                        <a:ln w="6350">
                          <a:noFill/>
                        </a:ln>
                      </wps:spPr>
                      <wps:txbx>
                        <w:txbxContent>
                          <w:p w14:paraId="22E268BF" w14:textId="49367EDE" w:rsidR="00541DD6" w:rsidRPr="00FA4053" w:rsidRDefault="00541DD6" w:rsidP="00397CF8">
                            <w:pPr>
                              <w:pStyle w:val="NumeracjaRozdzial"/>
                            </w:pPr>
                            <w:r>
                              <w:t>1</w:t>
                            </w:r>
                            <w:r w:rsidRPr="00FA4053">
                              <w:t>.</w:t>
                            </w:r>
                          </w:p>
                          <w:p w14:paraId="62D927C0" w14:textId="77777777" w:rsidR="00541DD6" w:rsidRDefault="00541DD6" w:rsidP="002E5577">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8D44CCC" id="_x0000_t202" coordsize="21600,21600" o:spt="202" path="m,l,21600r21600,l21600,xe">
                <v:stroke joinstyle="miter"/>
                <v:path gradientshapeok="t" o:connecttype="rect"/>
              </v:shapetype>
              <v:shape id="Pole tekstowe 1" o:spid="_x0000_s1026" type="#_x0000_t202" style="position:absolute;margin-left:-6.95pt;margin-top:-18pt;width:48.2pt;height:31.5pt;z-index:251753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" fillcolor="white [3201]" stroked="f" strokeweight=".5pt">
                <v:textbox>
                  <w:txbxContent>
                    <w:p w14:paraId="22E268BF" w14:textId="49367EDE" w:rsidR="00541DD6" w:rsidRPr="00FA4053" w:rsidRDefault="00541DD6" w:rsidP="00397CF8">
                      <w:pPr>
                        <w:pStyle w:val="NumeracjaRozdzial"/>
                      </w:pPr>
                      <w:r>
                        <w:t>1</w:t>
                      </w:r>
                      <w:r w:rsidRPr="00FA4053">
                        <w:t>.</w:t>
                      </w:r>
                    </w:p>
                    <w:p w14:paraId="62D927C0" w14:textId="77777777" w:rsidR="00541DD6" w:rsidRDefault="00541DD6" w:rsidP="002E5577">
                      <w:pPr>
                        <w:spacing w:after="144"/>
                      </w:pPr>
                    </w:p>
                  </w:txbxContent>
                </v:textbox>
                <w10:wrap anchorx="margin"/>
              </v:shape>
            </w:pict>
          </mc:Fallback>
        </mc:AlternateContent>
      </w:r>
    </w:p>
    <w:p w14:paraId="3DDBBCAE" w14:textId="77777777" w:rsidR="004166EB" w:rsidRDefault="00C9384B" w:rsidP="00282375">
      <w:pPr>
        <w:shd w:val="clear" w:color="auto" w:fill="FFFFFF"/>
        <w:spacing w:after="0" w:line="240" w:lineRule="auto"/>
        <w:rPr>
          <w:rStyle w:val="Nagwek2Znak"/>
          <w:sz w:val="2"/>
          <w:szCs w:val="2"/>
        </w:rPr>
      </w:pPr>
      <w:r w:rsidRPr="006C6FC4">
        <w:rPr>
          <w:rStyle w:val="Nagwek2Znak"/>
          <w:noProof/>
          <w:sz w:val="2"/>
          <w:szCs w:val="2"/>
          <w:lang w:eastAsia="pl-PL"/>
        </w:rPr>
        <w:drawing>
          <wp:anchor distT="0" distB="0" distL="114300" distR="114300" simplePos="0" relativeHeight="251754496" behindDoc="0" locked="0" layoutInCell="1" allowOverlap="1" wp14:anchorId="7D03FFA7" wp14:editId="3C2A2E4B">
            <wp:simplePos x="0" y="0"/>
            <wp:positionH relativeFrom="column">
              <wp:posOffset>3810</wp:posOffset>
            </wp:positionH>
            <wp:positionV relativeFrom="paragraph">
              <wp:posOffset>0</wp:posOffset>
            </wp:positionV>
            <wp:extent cx="1980000" cy="1080000"/>
            <wp:effectExtent l="0" t="0" r="1270" b="6350"/>
            <wp:wrapThrough wrapText="bothSides">
              <wp:wrapPolygon edited="0">
                <wp:start x="0" y="0"/>
                <wp:lineTo x="0" y="21346"/>
                <wp:lineTo x="21406" y="21346"/>
                <wp:lineTo x="21406" y="0"/>
                <wp:lineTo x="0" y="0"/>
              </wp:wrapPolygon>
            </wp:wrapThrough>
            <wp:docPr id="1601932987" name="Obraz 1" descr="Obraz zawierający w pomieszczeniu, rząd, osoba, parlamen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1932987" name="Obraz 1" descr="Obraz zawierający w pomieszczeniu, rząd, osoba, parlament&#10;&#10;Opis wygenerowany automatyczni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6FC4" w:rsidRPr="006C6FC4">
        <w:rPr>
          <w:rStyle w:val="Nagwek2Znak"/>
          <w:sz w:val="2"/>
          <w:szCs w:val="2"/>
        </w:rPr>
        <w:t xml:space="preserve">                                                                                                  </w:t>
      </w:r>
    </w:p>
    <w:p w14:paraId="4E5A5D67" w14:textId="77777777" w:rsidR="004166EB" w:rsidRDefault="004166EB" w:rsidP="00282375">
      <w:pPr>
        <w:shd w:val="clear" w:color="auto" w:fill="FFFFFF"/>
        <w:spacing w:after="0" w:line="240" w:lineRule="auto"/>
        <w:rPr>
          <w:rStyle w:val="Nagwek2Znak"/>
          <w:sz w:val="2"/>
          <w:szCs w:val="2"/>
        </w:rPr>
      </w:pPr>
    </w:p>
    <w:p w14:paraId="139B4DD9" w14:textId="77777777" w:rsidR="00F93E2F" w:rsidRDefault="00F93E2F" w:rsidP="00282375">
      <w:pPr>
        <w:shd w:val="clear" w:color="auto" w:fill="FFFFFF"/>
        <w:spacing w:after="0" w:line="240" w:lineRule="auto"/>
        <w:rPr>
          <w:rStyle w:val="Nagwek2Znak"/>
          <w:sz w:val="2"/>
          <w:szCs w:val="2"/>
        </w:rPr>
      </w:pPr>
    </w:p>
    <w:p w14:paraId="32592175" w14:textId="77777777" w:rsidR="00F93E2F" w:rsidRDefault="00F93E2F" w:rsidP="00282375">
      <w:pPr>
        <w:shd w:val="clear" w:color="auto" w:fill="FFFFFF"/>
        <w:spacing w:after="0" w:line="240" w:lineRule="auto"/>
        <w:rPr>
          <w:rStyle w:val="Nagwek2Znak"/>
          <w:sz w:val="2"/>
          <w:szCs w:val="2"/>
        </w:rPr>
      </w:pPr>
    </w:p>
    <w:p w14:paraId="68D7295E" w14:textId="77777777" w:rsidR="00F93E2F" w:rsidRDefault="00F93E2F" w:rsidP="00282375">
      <w:pPr>
        <w:shd w:val="clear" w:color="auto" w:fill="FFFFFF"/>
        <w:spacing w:after="0" w:line="240" w:lineRule="auto"/>
        <w:rPr>
          <w:rStyle w:val="Nagwek2Znak"/>
          <w:sz w:val="2"/>
          <w:szCs w:val="2"/>
        </w:rPr>
      </w:pPr>
    </w:p>
    <w:p w14:paraId="3783DEBC" w14:textId="77777777" w:rsidR="00F93E2F" w:rsidRDefault="00F93E2F" w:rsidP="00282375">
      <w:pPr>
        <w:shd w:val="clear" w:color="auto" w:fill="FFFFFF"/>
        <w:spacing w:after="0" w:line="240" w:lineRule="auto"/>
        <w:rPr>
          <w:rStyle w:val="Nagwek2Znak"/>
          <w:sz w:val="2"/>
          <w:szCs w:val="2"/>
        </w:rPr>
      </w:pPr>
    </w:p>
    <w:p w14:paraId="2197A00C" w14:textId="77777777" w:rsidR="00F93E2F" w:rsidRDefault="00F93E2F" w:rsidP="00282375">
      <w:pPr>
        <w:shd w:val="clear" w:color="auto" w:fill="FFFFFF"/>
        <w:spacing w:after="0" w:line="240" w:lineRule="auto"/>
        <w:rPr>
          <w:rStyle w:val="Nagwek2Znak"/>
          <w:sz w:val="2"/>
          <w:szCs w:val="2"/>
        </w:rPr>
      </w:pPr>
    </w:p>
    <w:p w14:paraId="47A3CA91" w14:textId="77777777" w:rsidR="004166EB" w:rsidRDefault="004166EB" w:rsidP="00282375">
      <w:pPr>
        <w:shd w:val="clear" w:color="auto" w:fill="FFFFFF"/>
        <w:spacing w:after="0" w:line="240" w:lineRule="auto"/>
        <w:rPr>
          <w:rStyle w:val="Nagwek2Znak"/>
          <w:sz w:val="2"/>
          <w:szCs w:val="2"/>
        </w:rPr>
      </w:pPr>
    </w:p>
    <w:p w14:paraId="5CD1D215" w14:textId="77777777" w:rsidR="004166EB" w:rsidRDefault="004166EB" w:rsidP="00282375">
      <w:pPr>
        <w:shd w:val="clear" w:color="auto" w:fill="FFFFFF"/>
        <w:spacing w:after="0" w:line="240" w:lineRule="auto"/>
        <w:rPr>
          <w:rStyle w:val="Nagwek2Znak"/>
          <w:sz w:val="2"/>
          <w:szCs w:val="2"/>
        </w:rPr>
      </w:pPr>
    </w:p>
    <w:p w14:paraId="47BE24B0" w14:textId="77777777" w:rsidR="004166EB" w:rsidRDefault="004166EB" w:rsidP="00282375">
      <w:pPr>
        <w:shd w:val="clear" w:color="auto" w:fill="FFFFFF"/>
        <w:spacing w:after="0" w:line="240" w:lineRule="auto"/>
        <w:rPr>
          <w:rStyle w:val="Nagwek2Znak"/>
          <w:sz w:val="2"/>
          <w:szCs w:val="2"/>
        </w:rPr>
      </w:pPr>
    </w:p>
    <w:p w14:paraId="5A15301B" w14:textId="77777777" w:rsidR="004166EB" w:rsidRDefault="004166EB" w:rsidP="00282375">
      <w:pPr>
        <w:shd w:val="clear" w:color="auto" w:fill="FFFFFF"/>
        <w:spacing w:after="0" w:line="240" w:lineRule="auto"/>
        <w:rPr>
          <w:rStyle w:val="Nagwek2Znak"/>
          <w:sz w:val="2"/>
          <w:szCs w:val="2"/>
        </w:rPr>
      </w:pPr>
    </w:p>
    <w:p w14:paraId="20B2DA7B" w14:textId="77777777" w:rsidR="004166EB" w:rsidRDefault="004166EB" w:rsidP="00282375">
      <w:pPr>
        <w:shd w:val="clear" w:color="auto" w:fill="FFFFFF"/>
        <w:spacing w:after="0" w:line="240" w:lineRule="auto"/>
        <w:rPr>
          <w:rStyle w:val="Nagwek2Znak"/>
          <w:sz w:val="2"/>
          <w:szCs w:val="2"/>
        </w:rPr>
      </w:pPr>
    </w:p>
    <w:p w14:paraId="730F6C14" w14:textId="77777777" w:rsidR="004166EB" w:rsidRDefault="004166EB" w:rsidP="00282375">
      <w:pPr>
        <w:shd w:val="clear" w:color="auto" w:fill="FFFFFF"/>
        <w:spacing w:after="0" w:line="240" w:lineRule="auto"/>
        <w:rPr>
          <w:rStyle w:val="Nagwek2Znak"/>
          <w:sz w:val="2"/>
          <w:szCs w:val="2"/>
        </w:rPr>
      </w:pPr>
    </w:p>
    <w:p w14:paraId="107D63FC" w14:textId="77777777" w:rsidR="004F0C06" w:rsidRPr="00F93E2F" w:rsidRDefault="00C9384B" w:rsidP="00CB5276">
      <w:pPr>
        <w:shd w:val="clear" w:color="auto" w:fill="FFFFFF"/>
        <w:spacing w:after="0" w:line="240" w:lineRule="auto"/>
        <w:rPr>
          <w:rStyle w:val="Nagwek2Znak"/>
          <w:b w:val="0"/>
          <w:bCs w:val="0"/>
        </w:rPr>
      </w:pPr>
      <w:bookmarkStart w:id="14" w:name="_Toc170117967"/>
      <w:r w:rsidRPr="00F93E2F">
        <w:rPr>
          <w:rStyle w:val="Nagwek2Znak"/>
        </w:rPr>
        <w:t>Interpelacja nr 37330</w:t>
      </w:r>
      <w:r w:rsidR="00282375" w:rsidRPr="00F93E2F">
        <w:rPr>
          <w:rStyle w:val="Nagwek2Znak"/>
        </w:rPr>
        <w:t xml:space="preserve"> d</w:t>
      </w:r>
      <w:r w:rsidRPr="00F93E2F">
        <w:rPr>
          <w:rStyle w:val="Nagwek2Znak"/>
        </w:rPr>
        <w:t>o</w:t>
      </w:r>
      <w:r w:rsidR="00060D64" w:rsidRPr="00F93E2F">
        <w:rPr>
          <w:rStyle w:val="Nagwek2Znak"/>
        </w:rPr>
        <w:t xml:space="preserve"> P</w:t>
      </w:r>
      <w:r w:rsidR="002E5577" w:rsidRPr="00F93E2F">
        <w:rPr>
          <w:rStyle w:val="Nagwek2Znak"/>
        </w:rPr>
        <w:t xml:space="preserve">rezesa </w:t>
      </w:r>
      <w:r w:rsidRPr="00F93E2F">
        <w:rPr>
          <w:rStyle w:val="Nagwek2Znak"/>
        </w:rPr>
        <w:t>Rady Ministrów</w:t>
      </w:r>
      <w:r w:rsidR="00282375" w:rsidRPr="00F93E2F">
        <w:rPr>
          <w:rStyle w:val="Nagwek2Znak"/>
        </w:rPr>
        <w:t xml:space="preserve"> w sprawie podjęcia </w:t>
      </w:r>
      <w:r w:rsidRPr="00F93E2F">
        <w:rPr>
          <w:rStyle w:val="Nagwek2Znak"/>
        </w:rPr>
        <w:t>działań dotyczących ochrony po</w:t>
      </w:r>
      <w:r w:rsidR="00282375" w:rsidRPr="00F93E2F">
        <w:rPr>
          <w:rStyle w:val="Nagwek2Znak"/>
        </w:rPr>
        <w:t xml:space="preserve">lskich wynalazków istotnych dla </w:t>
      </w:r>
      <w:r w:rsidRPr="00F93E2F">
        <w:rPr>
          <w:rStyle w:val="Nagwek2Znak"/>
        </w:rPr>
        <w:t>rozwoju gospodarczego Polski</w:t>
      </w:r>
      <w:bookmarkEnd w:id="14"/>
      <w:r w:rsidR="004166EB" w:rsidRPr="00F93E2F">
        <w:rPr>
          <w:rStyle w:val="Nagwek2Znak"/>
        </w:rPr>
        <w:t xml:space="preserve">  </w:t>
      </w:r>
    </w:p>
    <w:p w14:paraId="07E843CF" w14:textId="3CFD355D" w:rsidR="00ED5937" w:rsidRPr="0051049D" w:rsidRDefault="00ED5937" w:rsidP="00ED5937">
      <w:pPr>
        <w:spacing w:after="0" w:line="240" w:lineRule="auto"/>
        <w:rPr>
          <w:rFonts w:cstheme="minorHAnsi"/>
          <w:b/>
          <w:bCs/>
          <w:sz w:val="2"/>
          <w:szCs w:val="2"/>
        </w:rPr>
      </w:pPr>
      <w:r w:rsidRPr="0051049D">
        <w:rPr>
          <w:rFonts w:cstheme="minorHAnsi"/>
          <w:b/>
          <w:bCs/>
          <w:sz w:val="24"/>
          <w:szCs w:val="24"/>
        </w:rPr>
        <w:t xml:space="preserve">- </w:t>
      </w:r>
      <w:r w:rsidR="0051049D">
        <w:rPr>
          <w:rFonts w:cstheme="minorHAnsi"/>
          <w:b/>
          <w:bCs/>
          <w:sz w:val="24"/>
          <w:szCs w:val="24"/>
        </w:rPr>
        <w:t xml:space="preserve">wytłuszczenia fragmentów tekstu pochodzą od </w:t>
      </w:r>
      <w:r w:rsidRPr="0051049D">
        <w:rPr>
          <w:rFonts w:cstheme="minorHAnsi"/>
          <w:b/>
          <w:bCs/>
          <w:sz w:val="24"/>
          <w:szCs w:val="24"/>
        </w:rPr>
        <w:t>Redakcji</w:t>
      </w:r>
      <w:r w:rsidR="0051049D" w:rsidRPr="0051049D">
        <w:rPr>
          <w:rFonts w:cstheme="minorHAnsi"/>
          <w:b/>
          <w:bCs/>
          <w:sz w:val="24"/>
          <w:szCs w:val="24"/>
        </w:rPr>
        <w:t>:</w:t>
      </w:r>
      <w:r w:rsidRPr="0051049D">
        <w:rPr>
          <w:rFonts w:cstheme="minorHAnsi"/>
          <w:b/>
          <w:bCs/>
          <w:sz w:val="24"/>
          <w:szCs w:val="24"/>
        </w:rPr>
        <w:t xml:space="preserve"> </w:t>
      </w:r>
    </w:p>
    <w:p w14:paraId="747E0302" w14:textId="77777777" w:rsidR="00ED5937" w:rsidRPr="00EC4F25" w:rsidRDefault="00ED5937" w:rsidP="00ED5937">
      <w:pPr>
        <w:spacing w:after="0"/>
        <w:rPr>
          <w:b/>
          <w:bCs/>
          <w:color w:val="C00000"/>
        </w:rPr>
      </w:pPr>
    </w:p>
    <w:p w14:paraId="731B9F94" w14:textId="77777777" w:rsidR="00ED5937" w:rsidRPr="00F93E2F" w:rsidRDefault="00ED5937" w:rsidP="002337B1">
      <w:pPr>
        <w:spacing w:after="0"/>
        <w:jc w:val="center"/>
        <w:rPr>
          <w:i/>
          <w:iCs/>
          <w:kern w:val="0"/>
          <w:sz w:val="10"/>
          <w:szCs w:val="10"/>
        </w:rPr>
      </w:pPr>
    </w:p>
    <w:p w14:paraId="7D9A6A6E" w14:textId="5B8F2B75" w:rsidR="002337B1" w:rsidRDefault="002337B1" w:rsidP="002337B1">
      <w:pPr>
        <w:spacing w:after="0" w:line="240" w:lineRule="auto"/>
        <w:jc w:val="center"/>
        <w:rPr>
          <w:b/>
          <w:bCs/>
          <w:kern w:val="0"/>
          <w:sz w:val="24"/>
          <w:szCs w:val="24"/>
        </w:rPr>
      </w:pPr>
      <w:r>
        <w:rPr>
          <w:b/>
          <w:bCs/>
          <w:kern w:val="0"/>
          <w:sz w:val="24"/>
          <w:szCs w:val="24"/>
        </w:rPr>
        <w:t>* * *</w:t>
      </w:r>
    </w:p>
    <w:p w14:paraId="26C57161" w14:textId="77777777" w:rsidR="002337B1" w:rsidRPr="002337B1" w:rsidRDefault="002337B1" w:rsidP="002337B1">
      <w:pPr>
        <w:spacing w:after="0" w:line="240" w:lineRule="auto"/>
        <w:jc w:val="center"/>
        <w:rPr>
          <w:b/>
          <w:bCs/>
          <w:kern w:val="0"/>
          <w:sz w:val="10"/>
          <w:szCs w:val="10"/>
        </w:rPr>
      </w:pPr>
    </w:p>
    <w:p w14:paraId="025D0937" w14:textId="51607CA3" w:rsidR="005D69C5" w:rsidRPr="0051049D" w:rsidRDefault="00332F15" w:rsidP="00924443">
      <w:pPr>
        <w:spacing w:after="0" w:line="240" w:lineRule="auto"/>
        <w:jc w:val="both"/>
        <w:rPr>
          <w:sz w:val="24"/>
          <w:szCs w:val="24"/>
        </w:rPr>
      </w:pPr>
      <w:r w:rsidRPr="0051049D">
        <w:rPr>
          <w:b/>
          <w:bCs/>
          <w:kern w:val="0"/>
          <w:sz w:val="24"/>
          <w:szCs w:val="24"/>
        </w:rPr>
        <w:t>Zgłaszający</w:t>
      </w:r>
      <w:r w:rsidRPr="0051049D">
        <w:rPr>
          <w:kern w:val="0"/>
          <w:sz w:val="24"/>
          <w:szCs w:val="24"/>
        </w:rPr>
        <w:t>:</w:t>
      </w:r>
      <w:r w:rsidRPr="0051049D">
        <w:rPr>
          <w:sz w:val="24"/>
          <w:szCs w:val="24"/>
        </w:rPr>
        <w:t xml:space="preserve"> Andrzej Szewiński, Piotr Adamowicz, Romuald Ajchler, Tomasz </w:t>
      </w:r>
      <w:proofErr w:type="spellStart"/>
      <w:r w:rsidRPr="0051049D">
        <w:rPr>
          <w:sz w:val="24"/>
          <w:szCs w:val="24"/>
        </w:rPr>
        <w:t>Aniśko</w:t>
      </w:r>
      <w:proofErr w:type="spellEnd"/>
      <w:r w:rsidRPr="0051049D">
        <w:rPr>
          <w:sz w:val="24"/>
          <w:szCs w:val="24"/>
        </w:rPr>
        <w:t xml:space="preserve">, Urszula Augustyn, Władysław Teofil Bartoszewski, Jerzy Borowczak, Piotr Borys, Borys Budka, Małgorzata Chmiel, Janusz Cichoń, Adam </w:t>
      </w:r>
      <w:proofErr w:type="spellStart"/>
      <w:r w:rsidRPr="0051049D">
        <w:rPr>
          <w:sz w:val="24"/>
          <w:szCs w:val="24"/>
        </w:rPr>
        <w:t>Cyrański</w:t>
      </w:r>
      <w:proofErr w:type="spellEnd"/>
      <w:r w:rsidRPr="0051049D">
        <w:rPr>
          <w:sz w:val="24"/>
          <w:szCs w:val="24"/>
        </w:rPr>
        <w:t xml:space="preserve">, Jacek Czerniak, Zofia Czernow, Barbara Dolniak, </w:t>
      </w:r>
      <w:proofErr w:type="spellStart"/>
      <w:r w:rsidRPr="0051049D">
        <w:rPr>
          <w:sz w:val="24"/>
          <w:szCs w:val="24"/>
        </w:rPr>
        <w:t>Waldy</w:t>
      </w:r>
      <w:proofErr w:type="spellEnd"/>
      <w:r w:rsidRPr="0051049D">
        <w:rPr>
          <w:sz w:val="24"/>
          <w:szCs w:val="24"/>
        </w:rPr>
        <w:t xml:space="preserve"> Dzikowski, Monika </w:t>
      </w:r>
      <w:proofErr w:type="spellStart"/>
      <w:r w:rsidRPr="0051049D">
        <w:rPr>
          <w:sz w:val="24"/>
          <w:szCs w:val="24"/>
        </w:rPr>
        <w:t>Falej</w:t>
      </w:r>
      <w:proofErr w:type="spellEnd"/>
      <w:r w:rsidRPr="0051049D">
        <w:rPr>
          <w:sz w:val="24"/>
          <w:szCs w:val="24"/>
        </w:rPr>
        <w:t xml:space="preserve">, Magdalena </w:t>
      </w:r>
      <w:proofErr w:type="spellStart"/>
      <w:r w:rsidRPr="0051049D">
        <w:rPr>
          <w:sz w:val="24"/>
          <w:szCs w:val="24"/>
        </w:rPr>
        <w:t>Filiks</w:t>
      </w:r>
      <w:proofErr w:type="spellEnd"/>
      <w:r w:rsidRPr="0051049D">
        <w:rPr>
          <w:sz w:val="24"/>
          <w:szCs w:val="24"/>
        </w:rPr>
        <w:t xml:space="preserve">, Joanna Frydrych, Krzysztof Gadowski, Aleksandra Gajewska, Kinga Gajewska, Elżbieta Gelert, Hanna </w:t>
      </w:r>
      <w:proofErr w:type="spellStart"/>
      <w:r w:rsidRPr="0051049D">
        <w:rPr>
          <w:sz w:val="24"/>
          <w:szCs w:val="24"/>
        </w:rPr>
        <w:t>Gill</w:t>
      </w:r>
      <w:proofErr w:type="spellEnd"/>
      <w:r w:rsidRPr="0051049D">
        <w:rPr>
          <w:sz w:val="24"/>
          <w:szCs w:val="24"/>
        </w:rPr>
        <w:t xml:space="preserve">-Piątek, Tomasz Głogowski, Marta </w:t>
      </w:r>
      <w:proofErr w:type="spellStart"/>
      <w:r w:rsidRPr="0051049D">
        <w:rPr>
          <w:sz w:val="24"/>
          <w:szCs w:val="24"/>
        </w:rPr>
        <w:t>Golbik</w:t>
      </w:r>
      <w:proofErr w:type="spellEnd"/>
      <w:r w:rsidRPr="0051049D">
        <w:rPr>
          <w:sz w:val="24"/>
          <w:szCs w:val="24"/>
        </w:rPr>
        <w:t xml:space="preserve">, Cezary Grabarczyk, Krzysztof Grabczuk, Michał Gramatyka, Rafał Grupiński, </w:t>
      </w:r>
      <w:proofErr w:type="spellStart"/>
      <w:r w:rsidRPr="0051049D">
        <w:rPr>
          <w:sz w:val="24"/>
          <w:szCs w:val="24"/>
        </w:rPr>
        <w:t>Riad</w:t>
      </w:r>
      <w:proofErr w:type="spellEnd"/>
      <w:r w:rsidRPr="0051049D">
        <w:rPr>
          <w:sz w:val="24"/>
          <w:szCs w:val="24"/>
        </w:rPr>
        <w:t xml:space="preserve"> </w:t>
      </w:r>
      <w:proofErr w:type="spellStart"/>
      <w:r w:rsidRPr="0051049D">
        <w:rPr>
          <w:sz w:val="24"/>
          <w:szCs w:val="24"/>
        </w:rPr>
        <w:t>Haidar</w:t>
      </w:r>
      <w:proofErr w:type="spellEnd"/>
      <w:r w:rsidRPr="0051049D">
        <w:rPr>
          <w:sz w:val="24"/>
          <w:szCs w:val="24"/>
        </w:rPr>
        <w:t xml:space="preserve">, Agnieszka </w:t>
      </w:r>
      <w:proofErr w:type="spellStart"/>
      <w:r w:rsidRPr="0051049D">
        <w:rPr>
          <w:sz w:val="24"/>
          <w:szCs w:val="24"/>
        </w:rPr>
        <w:t>Hanajczyk</w:t>
      </w:r>
      <w:proofErr w:type="spellEnd"/>
      <w:r w:rsidRPr="0051049D">
        <w:rPr>
          <w:sz w:val="24"/>
          <w:szCs w:val="24"/>
        </w:rPr>
        <w:t xml:space="preserve">, Jerzy </w:t>
      </w:r>
      <w:proofErr w:type="spellStart"/>
      <w:r w:rsidRPr="0051049D">
        <w:rPr>
          <w:sz w:val="24"/>
          <w:szCs w:val="24"/>
        </w:rPr>
        <w:t>Hardie</w:t>
      </w:r>
      <w:proofErr w:type="spellEnd"/>
      <w:r w:rsidRPr="0051049D">
        <w:rPr>
          <w:sz w:val="24"/>
          <w:szCs w:val="24"/>
        </w:rPr>
        <w:t xml:space="preserve">-Douglas, Marek </w:t>
      </w:r>
      <w:proofErr w:type="spellStart"/>
      <w:r w:rsidRPr="0051049D">
        <w:rPr>
          <w:sz w:val="24"/>
          <w:szCs w:val="24"/>
        </w:rPr>
        <w:t>Hok</w:t>
      </w:r>
      <w:proofErr w:type="spellEnd"/>
      <w:r w:rsidRPr="0051049D">
        <w:rPr>
          <w:sz w:val="24"/>
          <w:szCs w:val="24"/>
        </w:rPr>
        <w:t xml:space="preserve">, Klaudia </w:t>
      </w:r>
      <w:proofErr w:type="spellStart"/>
      <w:r w:rsidRPr="0051049D">
        <w:rPr>
          <w:sz w:val="24"/>
          <w:szCs w:val="24"/>
        </w:rPr>
        <w:t>Jachira</w:t>
      </w:r>
      <w:proofErr w:type="spellEnd"/>
      <w:r w:rsidRPr="0051049D">
        <w:rPr>
          <w:sz w:val="24"/>
          <w:szCs w:val="24"/>
        </w:rPr>
        <w:t xml:space="preserve">, Maria Małgorzata </w:t>
      </w:r>
      <w:proofErr w:type="spellStart"/>
      <w:r w:rsidRPr="0051049D">
        <w:rPr>
          <w:sz w:val="24"/>
          <w:szCs w:val="24"/>
        </w:rPr>
        <w:t>Janyska</w:t>
      </w:r>
      <w:proofErr w:type="spellEnd"/>
      <w:r w:rsidRPr="0051049D">
        <w:rPr>
          <w:sz w:val="24"/>
          <w:szCs w:val="24"/>
        </w:rPr>
        <w:t xml:space="preserve">, Michał Jaros, Joanna Jaśkowiak, Dariusz Joński, Mieczysław Kasprzak, Marcin </w:t>
      </w:r>
      <w:proofErr w:type="spellStart"/>
      <w:r w:rsidRPr="0051049D">
        <w:rPr>
          <w:sz w:val="24"/>
          <w:szCs w:val="24"/>
        </w:rPr>
        <w:t>Kierwiński</w:t>
      </w:r>
      <w:proofErr w:type="spellEnd"/>
      <w:r w:rsidRPr="0051049D">
        <w:rPr>
          <w:sz w:val="24"/>
          <w:szCs w:val="24"/>
        </w:rPr>
        <w:t xml:space="preserve">, Joanna </w:t>
      </w:r>
      <w:proofErr w:type="spellStart"/>
      <w:r w:rsidRPr="0051049D">
        <w:rPr>
          <w:sz w:val="24"/>
          <w:szCs w:val="24"/>
        </w:rPr>
        <w:t>Kluzik</w:t>
      </w:r>
      <w:proofErr w:type="spellEnd"/>
      <w:r w:rsidRPr="0051049D">
        <w:rPr>
          <w:sz w:val="24"/>
          <w:szCs w:val="24"/>
        </w:rPr>
        <w:t>-Rostkowska, Ewa Kołodziej, Przemysław Koperski, Maciej Kopiec, Tomasz Kostuś, Katarzyna Kotula, Iwona Maria Kozłowska, Michał Krawczyk, Katarzyna Kretkowska, Robert Kropiwnicki, Wojciech Król, Paweł Krutul, Marek Krząkała, Henryka Krzywonos</w:t>
      </w:r>
      <w:r w:rsidR="0037432C" w:rsidRPr="0051049D">
        <w:rPr>
          <w:sz w:val="24"/>
          <w:szCs w:val="24"/>
        </w:rPr>
        <w:t xml:space="preserve"> </w:t>
      </w:r>
      <w:r w:rsidRPr="0051049D">
        <w:rPr>
          <w:sz w:val="24"/>
          <w:szCs w:val="24"/>
        </w:rPr>
        <w:t xml:space="preserve">Strycharska, Anita Kucharska-Dziedzic, Marcin Kulasek, Dariusz Kurzawa, Robert Kwiatkowski, Gabriela Lenartowicz, Katarzyna </w:t>
      </w:r>
      <w:proofErr w:type="spellStart"/>
      <w:r w:rsidRPr="0051049D">
        <w:rPr>
          <w:sz w:val="24"/>
          <w:szCs w:val="24"/>
        </w:rPr>
        <w:t>Lubnauer</w:t>
      </w:r>
      <w:proofErr w:type="spellEnd"/>
      <w:r w:rsidRPr="0051049D">
        <w:rPr>
          <w:sz w:val="24"/>
          <w:szCs w:val="24"/>
        </w:rPr>
        <w:t xml:space="preserve">, Artur Łącki, Magdalena </w:t>
      </w:r>
      <w:proofErr w:type="spellStart"/>
      <w:r w:rsidRPr="0051049D">
        <w:rPr>
          <w:sz w:val="24"/>
          <w:szCs w:val="24"/>
        </w:rPr>
        <w:t>Łośko</w:t>
      </w:r>
      <w:proofErr w:type="spellEnd"/>
      <w:r w:rsidRPr="0051049D">
        <w:rPr>
          <w:sz w:val="24"/>
          <w:szCs w:val="24"/>
        </w:rPr>
        <w:t xml:space="preserve">, Jagna </w:t>
      </w:r>
      <w:proofErr w:type="spellStart"/>
      <w:r w:rsidRPr="0051049D">
        <w:rPr>
          <w:sz w:val="24"/>
          <w:szCs w:val="24"/>
        </w:rPr>
        <w:t>Marczułajtis</w:t>
      </w:r>
      <w:proofErr w:type="spellEnd"/>
      <w:r w:rsidRPr="0051049D">
        <w:rPr>
          <w:sz w:val="24"/>
          <w:szCs w:val="24"/>
        </w:rPr>
        <w:t xml:space="preserve">-Walczak, Rajmund Miller, Aleksander Miszalski, Izabela Katarzyna </w:t>
      </w:r>
      <w:proofErr w:type="spellStart"/>
      <w:r w:rsidRPr="0051049D">
        <w:rPr>
          <w:sz w:val="24"/>
          <w:szCs w:val="24"/>
        </w:rPr>
        <w:t>Mrzygłocka</w:t>
      </w:r>
      <w:proofErr w:type="spellEnd"/>
      <w:r w:rsidRPr="0051049D">
        <w:rPr>
          <w:sz w:val="24"/>
          <w:szCs w:val="24"/>
        </w:rPr>
        <w:t xml:space="preserve">, Grzegorz Napieralski, Sławomir Neumann, Dorota Niedziela, Małgorzata Niemczyk, Sławomir </w:t>
      </w:r>
      <w:proofErr w:type="spellStart"/>
      <w:r w:rsidRPr="0051049D">
        <w:rPr>
          <w:sz w:val="24"/>
          <w:szCs w:val="24"/>
        </w:rPr>
        <w:t>Nitras</w:t>
      </w:r>
      <w:proofErr w:type="spellEnd"/>
      <w:r w:rsidRPr="0051049D">
        <w:rPr>
          <w:sz w:val="24"/>
          <w:szCs w:val="24"/>
        </w:rPr>
        <w:t xml:space="preserve">, Barbara Nowacka, Tomasz Piotr Nowak, Wanda Nowicka, Mirosława </w:t>
      </w:r>
      <w:proofErr w:type="spellStart"/>
      <w:r w:rsidRPr="0051049D">
        <w:rPr>
          <w:sz w:val="24"/>
          <w:szCs w:val="24"/>
        </w:rPr>
        <w:t>Nykiel</w:t>
      </w:r>
      <w:proofErr w:type="spellEnd"/>
      <w:r w:rsidRPr="0051049D">
        <w:rPr>
          <w:sz w:val="24"/>
          <w:szCs w:val="24"/>
        </w:rPr>
        <w:t xml:space="preserve">, Robert </w:t>
      </w:r>
      <w:proofErr w:type="spellStart"/>
      <w:r w:rsidRPr="0051049D">
        <w:rPr>
          <w:sz w:val="24"/>
          <w:szCs w:val="24"/>
        </w:rPr>
        <w:t>Obaz</w:t>
      </w:r>
      <w:proofErr w:type="spellEnd"/>
      <w:r w:rsidRPr="0051049D">
        <w:rPr>
          <w:sz w:val="24"/>
          <w:szCs w:val="24"/>
        </w:rPr>
        <w:t>, Marzena Okła-</w:t>
      </w:r>
      <w:proofErr w:type="spellStart"/>
      <w:r w:rsidRPr="0051049D">
        <w:rPr>
          <w:sz w:val="24"/>
          <w:szCs w:val="24"/>
        </w:rPr>
        <w:t>Drewnowicz</w:t>
      </w:r>
      <w:proofErr w:type="spellEnd"/>
      <w:r w:rsidRPr="0051049D">
        <w:rPr>
          <w:sz w:val="24"/>
          <w:szCs w:val="24"/>
        </w:rPr>
        <w:t xml:space="preserve">, Tomasz </w:t>
      </w:r>
      <w:proofErr w:type="spellStart"/>
      <w:r w:rsidRPr="0051049D">
        <w:rPr>
          <w:sz w:val="24"/>
          <w:szCs w:val="24"/>
        </w:rPr>
        <w:t>Olichwer</w:t>
      </w:r>
      <w:proofErr w:type="spellEnd"/>
      <w:r w:rsidRPr="0051049D">
        <w:rPr>
          <w:sz w:val="24"/>
          <w:szCs w:val="24"/>
        </w:rPr>
        <w:t xml:space="preserve">, Paweł Olszewski, Katarzyna </w:t>
      </w:r>
      <w:proofErr w:type="spellStart"/>
      <w:r w:rsidRPr="0051049D">
        <w:rPr>
          <w:sz w:val="24"/>
          <w:szCs w:val="24"/>
        </w:rPr>
        <w:t>Osos</w:t>
      </w:r>
      <w:proofErr w:type="spellEnd"/>
      <w:r w:rsidRPr="0051049D">
        <w:rPr>
          <w:sz w:val="24"/>
          <w:szCs w:val="24"/>
        </w:rPr>
        <w:t xml:space="preserve">, Paweł </w:t>
      </w:r>
      <w:proofErr w:type="spellStart"/>
      <w:r w:rsidRPr="0051049D">
        <w:rPr>
          <w:sz w:val="24"/>
          <w:szCs w:val="24"/>
        </w:rPr>
        <w:t>Papke</w:t>
      </w:r>
      <w:proofErr w:type="spellEnd"/>
      <w:r w:rsidRPr="0051049D">
        <w:rPr>
          <w:sz w:val="24"/>
          <w:szCs w:val="24"/>
        </w:rPr>
        <w:t xml:space="preserve">, Karolina </w:t>
      </w:r>
      <w:proofErr w:type="spellStart"/>
      <w:r w:rsidRPr="0051049D">
        <w:rPr>
          <w:sz w:val="24"/>
          <w:szCs w:val="24"/>
        </w:rPr>
        <w:t>Pawliczak</w:t>
      </w:r>
      <w:proofErr w:type="spellEnd"/>
      <w:r w:rsidRPr="0051049D">
        <w:rPr>
          <w:sz w:val="24"/>
          <w:szCs w:val="24"/>
        </w:rPr>
        <w:t xml:space="preserve">, Małgorzata Pępek, Krzysztof Piątkowski, Sławomir Jan Piechota, Kazimierz </w:t>
      </w:r>
      <w:proofErr w:type="spellStart"/>
      <w:r w:rsidRPr="0051049D">
        <w:rPr>
          <w:sz w:val="24"/>
          <w:szCs w:val="24"/>
        </w:rPr>
        <w:t>Plocke</w:t>
      </w:r>
      <w:proofErr w:type="spellEnd"/>
      <w:r w:rsidRPr="0051049D">
        <w:rPr>
          <w:sz w:val="24"/>
          <w:szCs w:val="24"/>
        </w:rPr>
        <w:t xml:space="preserve">, Agnieszka </w:t>
      </w:r>
      <w:proofErr w:type="spellStart"/>
      <w:r w:rsidRPr="0051049D">
        <w:rPr>
          <w:sz w:val="24"/>
          <w:szCs w:val="24"/>
        </w:rPr>
        <w:t>Pomaska</w:t>
      </w:r>
      <w:proofErr w:type="spellEnd"/>
      <w:r w:rsidRPr="0051049D">
        <w:rPr>
          <w:sz w:val="24"/>
          <w:szCs w:val="24"/>
        </w:rPr>
        <w:t xml:space="preserve">, Paweł Poncyljusz, Małgorzata Prokop-Paczkowska, Jacek Protas, Jacek Protasiewicz, Ireneusz Raś, Monika Rosa, Grzegorz Rusiecki, Jakub </w:t>
      </w:r>
      <w:proofErr w:type="spellStart"/>
      <w:r w:rsidRPr="0051049D">
        <w:rPr>
          <w:sz w:val="24"/>
          <w:szCs w:val="24"/>
        </w:rPr>
        <w:t>Rutnicki</w:t>
      </w:r>
      <w:proofErr w:type="spellEnd"/>
      <w:r w:rsidRPr="0051049D">
        <w:rPr>
          <w:sz w:val="24"/>
          <w:szCs w:val="24"/>
        </w:rPr>
        <w:t xml:space="preserve">, Marek </w:t>
      </w:r>
      <w:proofErr w:type="spellStart"/>
      <w:r w:rsidRPr="0051049D">
        <w:rPr>
          <w:sz w:val="24"/>
          <w:szCs w:val="24"/>
        </w:rPr>
        <w:t>Rząsa</w:t>
      </w:r>
      <w:proofErr w:type="spellEnd"/>
      <w:r w:rsidRPr="0051049D">
        <w:rPr>
          <w:sz w:val="24"/>
          <w:szCs w:val="24"/>
        </w:rPr>
        <w:t xml:space="preserve">, Wojciech </w:t>
      </w:r>
      <w:proofErr w:type="spellStart"/>
      <w:r w:rsidRPr="0051049D">
        <w:rPr>
          <w:sz w:val="24"/>
          <w:szCs w:val="24"/>
        </w:rPr>
        <w:t>Saługa</w:t>
      </w:r>
      <w:proofErr w:type="spellEnd"/>
      <w:r w:rsidRPr="0051049D">
        <w:rPr>
          <w:sz w:val="24"/>
          <w:szCs w:val="24"/>
        </w:rPr>
        <w:t xml:space="preserve">, Grzegorz Schetyna, Małgorzata Sekuła-Szmajdzińska, Joanna Senyszyn, Krystyna </w:t>
      </w:r>
      <w:proofErr w:type="spellStart"/>
      <w:r w:rsidRPr="0051049D">
        <w:rPr>
          <w:sz w:val="24"/>
          <w:szCs w:val="24"/>
        </w:rPr>
        <w:t>Sibińska</w:t>
      </w:r>
      <w:proofErr w:type="spellEnd"/>
      <w:r w:rsidRPr="0051049D">
        <w:rPr>
          <w:sz w:val="24"/>
          <w:szCs w:val="24"/>
        </w:rPr>
        <w:t xml:space="preserve">, Tomasz Siemoniak, Bartłomiej Sienkiewicz, Krystyna Skowrońska, Waldemar </w:t>
      </w:r>
      <w:proofErr w:type="spellStart"/>
      <w:r w:rsidRPr="0051049D">
        <w:rPr>
          <w:sz w:val="24"/>
          <w:szCs w:val="24"/>
        </w:rPr>
        <w:t>Sługocki</w:t>
      </w:r>
      <w:proofErr w:type="spellEnd"/>
      <w:r w:rsidRPr="0051049D">
        <w:rPr>
          <w:sz w:val="24"/>
          <w:szCs w:val="24"/>
        </w:rPr>
        <w:t xml:space="preserve">, Bogusław Sonik, Marek Sowa, Anita Sowińska, Franciszek </w:t>
      </w:r>
      <w:proofErr w:type="spellStart"/>
      <w:r w:rsidRPr="0051049D">
        <w:rPr>
          <w:sz w:val="24"/>
          <w:szCs w:val="24"/>
        </w:rPr>
        <w:t>Sterczewski</w:t>
      </w:r>
      <w:proofErr w:type="spellEnd"/>
      <w:r w:rsidRPr="0051049D">
        <w:rPr>
          <w:sz w:val="24"/>
          <w:szCs w:val="24"/>
        </w:rPr>
        <w:t xml:space="preserve">, Mirosław Suchoń, Michał Szczerba, Adam Szłapka, Jan Szopiński, Krystyna </w:t>
      </w:r>
      <w:proofErr w:type="spellStart"/>
      <w:r w:rsidRPr="0051049D">
        <w:rPr>
          <w:sz w:val="24"/>
          <w:szCs w:val="24"/>
        </w:rPr>
        <w:t>Szumilas</w:t>
      </w:r>
      <w:proofErr w:type="spellEnd"/>
      <w:r w:rsidRPr="0051049D">
        <w:rPr>
          <w:sz w:val="24"/>
          <w:szCs w:val="24"/>
        </w:rPr>
        <w:t xml:space="preserve">, Iwona Śledzińska-Katarasińska, Tadeusz Tomaszewski, Małgorzata Tracz, Robert Tyszkiewicz, Katarzyna </w:t>
      </w:r>
      <w:proofErr w:type="spellStart"/>
      <w:r w:rsidRPr="0051049D">
        <w:rPr>
          <w:sz w:val="24"/>
          <w:szCs w:val="24"/>
        </w:rPr>
        <w:t>Ueberhan</w:t>
      </w:r>
      <w:proofErr w:type="spellEnd"/>
      <w:r w:rsidRPr="0051049D">
        <w:rPr>
          <w:sz w:val="24"/>
          <w:szCs w:val="24"/>
        </w:rPr>
        <w:t>, Jarosław Urbaniak, Jarosław Wałęsa, Marta Wcisło, Monika Wielichowska, Mariusz Witczak, Anna Wojciechowska, Paweł Zalewski, Witold Zembaczyński, Piotr Benedykt Zientarski, Tomasz Zimoch</w:t>
      </w:r>
    </w:p>
    <w:p w14:paraId="4EE1A9B3" w14:textId="31747636" w:rsidR="00332F15" w:rsidRPr="00C519CC" w:rsidRDefault="00332F15" w:rsidP="00924443">
      <w:pPr>
        <w:spacing w:after="0" w:line="240" w:lineRule="auto"/>
        <w:jc w:val="both"/>
        <w:rPr>
          <w:sz w:val="28"/>
          <w:szCs w:val="28"/>
        </w:rPr>
      </w:pPr>
      <w:r w:rsidRPr="00C519CC">
        <w:rPr>
          <w:b/>
          <w:bCs/>
          <w:kern w:val="0"/>
          <w:sz w:val="24"/>
          <w:szCs w:val="24"/>
        </w:rPr>
        <w:t>Data wpływu</w:t>
      </w:r>
      <w:r w:rsidRPr="00C519CC">
        <w:rPr>
          <w:b/>
          <w:bCs/>
          <w:sz w:val="24"/>
          <w:szCs w:val="24"/>
        </w:rPr>
        <w:t xml:space="preserve">: </w:t>
      </w:r>
      <w:r w:rsidRPr="00C519CC">
        <w:rPr>
          <w:sz w:val="24"/>
          <w:szCs w:val="24"/>
        </w:rPr>
        <w:t>11-11-2022</w:t>
      </w:r>
    </w:p>
    <w:p w14:paraId="7D4136BF" w14:textId="77777777" w:rsidR="00C9384B" w:rsidRPr="003025B1" w:rsidRDefault="00C9384B" w:rsidP="00C9384B">
      <w:pPr>
        <w:spacing w:after="0"/>
        <w:rPr>
          <w:b/>
          <w:bCs/>
          <w:sz w:val="42"/>
          <w:szCs w:val="42"/>
        </w:rPr>
      </w:pPr>
    </w:p>
    <w:p w14:paraId="30DA7CDB" w14:textId="169D8845" w:rsidR="00C9384B" w:rsidRPr="00C519CC" w:rsidRDefault="00C9384B" w:rsidP="00060D64">
      <w:pPr>
        <w:spacing w:after="0"/>
        <w:ind w:firstLine="567"/>
        <w:jc w:val="both"/>
        <w:rPr>
          <w:rFonts w:cstheme="minorHAnsi"/>
          <w:i/>
          <w:iCs/>
          <w:sz w:val="24"/>
          <w:szCs w:val="24"/>
        </w:rPr>
      </w:pPr>
      <w:r w:rsidRPr="00C519CC">
        <w:rPr>
          <w:rFonts w:cstheme="minorHAnsi"/>
          <w:i/>
          <w:iCs/>
          <w:sz w:val="24"/>
          <w:szCs w:val="24"/>
        </w:rPr>
        <w:t xml:space="preserve">Szanowny Panie </w:t>
      </w:r>
      <w:r w:rsidRPr="00E56D39">
        <w:rPr>
          <w:rFonts w:cstheme="minorHAnsi"/>
          <w:b/>
          <w:bCs/>
          <w:i/>
          <w:iCs/>
          <w:sz w:val="24"/>
          <w:szCs w:val="24"/>
        </w:rPr>
        <w:t>Premierze</w:t>
      </w:r>
      <w:r w:rsidRPr="00C519CC">
        <w:rPr>
          <w:rFonts w:cstheme="minorHAnsi"/>
          <w:i/>
          <w:iCs/>
          <w:sz w:val="24"/>
          <w:szCs w:val="24"/>
        </w:rPr>
        <w:t>!</w:t>
      </w:r>
    </w:p>
    <w:p w14:paraId="48F4B9F2" w14:textId="77777777" w:rsidR="00C9384B" w:rsidRPr="00C519CC" w:rsidRDefault="00C9384B" w:rsidP="00060D64">
      <w:pPr>
        <w:pStyle w:val="NormalnyWeb"/>
        <w:shd w:val="clear" w:color="auto" w:fill="FFFFFF"/>
        <w:spacing w:before="0" w:beforeAutospacing="0" w:after="0" w:afterAutospacing="0"/>
        <w:ind w:firstLine="567"/>
        <w:rPr>
          <w:rFonts w:asciiTheme="minorHAnsi" w:hAnsiTheme="minorHAnsi" w:cstheme="minorHAnsi"/>
          <w:sz w:val="10"/>
          <w:szCs w:val="10"/>
        </w:rPr>
      </w:pPr>
    </w:p>
    <w:p w14:paraId="6F8E5154" w14:textId="77777777" w:rsidR="00C9384B" w:rsidRPr="00C519CC" w:rsidRDefault="00C9384B" w:rsidP="00060D64">
      <w:pPr>
        <w:pStyle w:val="NormalnyWeb"/>
        <w:shd w:val="clear" w:color="auto" w:fill="FFFFFF"/>
        <w:spacing w:before="0" w:beforeAutospacing="0" w:after="0" w:afterAutospacing="0"/>
        <w:ind w:firstLine="567"/>
        <w:jc w:val="both"/>
        <w:rPr>
          <w:rFonts w:asciiTheme="minorHAnsi" w:hAnsiTheme="minorHAnsi" w:cstheme="minorHAnsi"/>
        </w:rPr>
      </w:pPr>
      <w:r w:rsidRPr="00C519CC">
        <w:rPr>
          <w:rFonts w:asciiTheme="minorHAnsi" w:hAnsiTheme="minorHAnsi" w:cstheme="minorHAnsi"/>
        </w:rPr>
        <w:t xml:space="preserve">W interpelacji nr 35345 </w:t>
      </w:r>
      <w:r w:rsidRPr="00E56D39">
        <w:rPr>
          <w:rFonts w:asciiTheme="minorHAnsi" w:hAnsiTheme="minorHAnsi" w:cstheme="minorHAnsi"/>
          <w:b/>
          <w:bCs/>
        </w:rPr>
        <w:t>grupa</w:t>
      </w:r>
      <w:r w:rsidRPr="00C519CC">
        <w:rPr>
          <w:rFonts w:asciiTheme="minorHAnsi" w:hAnsiTheme="minorHAnsi" w:cstheme="minorHAnsi"/>
        </w:rPr>
        <w:t xml:space="preserve"> 92 </w:t>
      </w:r>
      <w:r w:rsidRPr="00E56D39">
        <w:rPr>
          <w:rFonts w:asciiTheme="minorHAnsi" w:hAnsiTheme="minorHAnsi" w:cstheme="minorHAnsi"/>
          <w:b/>
          <w:bCs/>
        </w:rPr>
        <w:t>posłów przedstawiła pytania</w:t>
      </w:r>
      <w:r w:rsidRPr="00C519CC">
        <w:rPr>
          <w:rFonts w:asciiTheme="minorHAnsi" w:hAnsiTheme="minorHAnsi" w:cstheme="minorHAnsi"/>
        </w:rPr>
        <w:t xml:space="preserve"> skierowane </w:t>
      </w:r>
      <w:r w:rsidRPr="00E56D39">
        <w:rPr>
          <w:rFonts w:asciiTheme="minorHAnsi" w:hAnsiTheme="minorHAnsi" w:cstheme="minorHAnsi"/>
          <w:b/>
          <w:bCs/>
        </w:rPr>
        <w:t>do</w:t>
      </w:r>
      <w:r w:rsidRPr="00C519CC">
        <w:rPr>
          <w:rFonts w:asciiTheme="minorHAnsi" w:hAnsiTheme="minorHAnsi" w:cstheme="minorHAnsi"/>
        </w:rPr>
        <w:t xml:space="preserve"> Pana </w:t>
      </w:r>
      <w:r w:rsidRPr="00E56D39">
        <w:rPr>
          <w:rFonts w:asciiTheme="minorHAnsi" w:hAnsiTheme="minorHAnsi" w:cstheme="minorHAnsi"/>
          <w:b/>
          <w:bCs/>
        </w:rPr>
        <w:t>Ministra Rozwoju i Technologii</w:t>
      </w:r>
      <w:r w:rsidRPr="00C519CC">
        <w:rPr>
          <w:rFonts w:asciiTheme="minorHAnsi" w:hAnsiTheme="minorHAnsi" w:cstheme="minorHAnsi"/>
        </w:rPr>
        <w:t xml:space="preserve">, </w:t>
      </w:r>
      <w:r w:rsidRPr="00E56D39">
        <w:rPr>
          <w:rFonts w:asciiTheme="minorHAnsi" w:hAnsiTheme="minorHAnsi" w:cstheme="minorHAnsi"/>
          <w:b/>
          <w:bCs/>
        </w:rPr>
        <w:t>sygnalizując potrzebę zaangażowania się instytucji państwowych w obronę polskich wynalazków</w:t>
      </w:r>
      <w:r w:rsidRPr="00C519CC">
        <w:rPr>
          <w:rFonts w:asciiTheme="minorHAnsi" w:hAnsiTheme="minorHAnsi" w:cstheme="minorHAnsi"/>
        </w:rPr>
        <w:t xml:space="preserve"> </w:t>
      </w:r>
      <w:r w:rsidRPr="00E56D39">
        <w:rPr>
          <w:rFonts w:asciiTheme="minorHAnsi" w:hAnsiTheme="minorHAnsi" w:cstheme="minorHAnsi"/>
          <w:b/>
          <w:bCs/>
        </w:rPr>
        <w:t>przed zawłaszczaniem</w:t>
      </w:r>
      <w:r w:rsidRPr="00C519CC">
        <w:rPr>
          <w:rFonts w:asciiTheme="minorHAnsi" w:hAnsiTheme="minorHAnsi" w:cstheme="minorHAnsi"/>
        </w:rPr>
        <w:t xml:space="preserve"> ich </w:t>
      </w:r>
      <w:r w:rsidRPr="00E56D39">
        <w:rPr>
          <w:rFonts w:asciiTheme="minorHAnsi" w:hAnsiTheme="minorHAnsi" w:cstheme="minorHAnsi"/>
          <w:b/>
          <w:bCs/>
        </w:rPr>
        <w:t>przez globalne koncerny</w:t>
      </w:r>
      <w:r w:rsidRPr="00C519CC">
        <w:rPr>
          <w:rFonts w:asciiTheme="minorHAnsi" w:hAnsiTheme="minorHAnsi" w:cstheme="minorHAnsi"/>
        </w:rPr>
        <w:t xml:space="preserve">, w tym </w:t>
      </w:r>
      <w:r w:rsidRPr="00E56D39">
        <w:rPr>
          <w:rFonts w:asciiTheme="minorHAnsi" w:hAnsiTheme="minorHAnsi" w:cstheme="minorHAnsi"/>
          <w:b/>
          <w:bCs/>
        </w:rPr>
        <w:t>przed przejęciem przez koncern informatyczny Microsoft Corporation przełomowego osiągnięcia</w:t>
      </w:r>
      <w:r w:rsidRPr="00C519CC">
        <w:rPr>
          <w:rFonts w:asciiTheme="minorHAnsi" w:hAnsiTheme="minorHAnsi" w:cstheme="minorHAnsi"/>
        </w:rPr>
        <w:t xml:space="preserve"> wybitnego polskiego naukowca z </w:t>
      </w:r>
      <w:r w:rsidRPr="00E56D39">
        <w:rPr>
          <w:rFonts w:asciiTheme="minorHAnsi" w:hAnsiTheme="minorHAnsi" w:cstheme="minorHAnsi"/>
          <w:b/>
          <w:bCs/>
        </w:rPr>
        <w:t>Uniwersytetu Jagiellońskiego</w:t>
      </w:r>
      <w:r w:rsidRPr="00C519CC">
        <w:rPr>
          <w:rFonts w:asciiTheme="minorHAnsi" w:hAnsiTheme="minorHAnsi" w:cstheme="minorHAnsi"/>
        </w:rPr>
        <w:t xml:space="preserve"> w Krakowie, którym jest </w:t>
      </w:r>
      <w:r w:rsidRPr="00E56D39">
        <w:rPr>
          <w:rFonts w:asciiTheme="minorHAnsi" w:hAnsiTheme="minorHAnsi" w:cstheme="minorHAnsi"/>
          <w:b/>
          <w:bCs/>
        </w:rPr>
        <w:t>dr Jarosław Duda</w:t>
      </w:r>
      <w:r w:rsidRPr="00C519CC">
        <w:rPr>
          <w:rFonts w:asciiTheme="minorHAnsi" w:hAnsiTheme="minorHAnsi" w:cstheme="minorHAnsi"/>
        </w:rPr>
        <w:t>. Informacje na temat ww. wynalazku można odnaleźć pod ogólnie dostępnymi adresami: Animacja UJ:</w:t>
      </w:r>
    </w:p>
    <w:p w14:paraId="41D2EA3E" w14:textId="77777777" w:rsidR="00C9384B" w:rsidRPr="00C519CC"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5371278F" w14:textId="63BCF499" w:rsidR="00C9384B" w:rsidRPr="00C519CC" w:rsidRDefault="00C9384B" w:rsidP="00C9384B">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lastRenderedPageBreak/>
        <w:t>PL</w:t>
      </w:r>
      <w:r w:rsidRPr="003025B1">
        <w:rPr>
          <w:rFonts w:asciiTheme="minorHAnsi" w:hAnsiTheme="minorHAnsi" w:cstheme="minorHAnsi"/>
          <w:color w:val="2E74B5" w:themeColor="accent5" w:themeShade="BF"/>
        </w:rPr>
        <w:t>:</w:t>
      </w:r>
      <w:r w:rsidR="00372FC9" w:rsidRPr="003025B1">
        <w:rPr>
          <w:rFonts w:asciiTheme="minorHAnsi" w:hAnsiTheme="minorHAnsi" w:cstheme="minorHAnsi"/>
          <w:color w:val="2E74B5" w:themeColor="accent5" w:themeShade="BF"/>
        </w:rPr>
        <w:t xml:space="preserve"> </w:t>
      </w:r>
      <w:hyperlink r:id="rId22" w:history="1">
        <w:r w:rsidRPr="003025B1">
          <w:rPr>
            <w:rStyle w:val="Hipercze"/>
            <w:rFonts w:asciiTheme="minorHAnsi" w:hAnsiTheme="minorHAnsi" w:cstheme="minorHAnsi"/>
            <w:color w:val="2E74B5" w:themeColor="accent5" w:themeShade="BF"/>
          </w:rPr>
          <w:t>Polski wynalazek z UJ rewolucjonizuje wirtualny świat - YouTube</w:t>
        </w:r>
      </w:hyperlink>
    </w:p>
    <w:p w14:paraId="1D9D16E4" w14:textId="2700CCFE" w:rsidR="00DC7815" w:rsidRPr="003025B1" w:rsidRDefault="00C9384B" w:rsidP="00DC7815">
      <w:pPr>
        <w:pStyle w:val="NormalnyWeb"/>
        <w:shd w:val="clear" w:color="auto" w:fill="FFFFFF"/>
        <w:spacing w:before="0" w:beforeAutospacing="0" w:after="0" w:afterAutospacing="0"/>
        <w:jc w:val="both"/>
        <w:rPr>
          <w:rFonts w:asciiTheme="minorHAnsi" w:hAnsiTheme="minorHAnsi" w:cstheme="minorHAnsi"/>
          <w:color w:val="2E74B5" w:themeColor="accent5" w:themeShade="BF"/>
          <w:lang w:val="nl-NL"/>
        </w:rPr>
      </w:pPr>
      <w:r w:rsidRPr="00C519CC">
        <w:rPr>
          <w:rFonts w:asciiTheme="minorHAnsi" w:hAnsiTheme="minorHAnsi" w:cstheme="minorHAnsi"/>
          <w:lang w:val="nl-NL"/>
        </w:rPr>
        <w:t>EN</w:t>
      </w:r>
      <w:r w:rsidR="00372FC9" w:rsidRPr="00C519CC">
        <w:rPr>
          <w:rFonts w:asciiTheme="minorHAnsi" w:hAnsiTheme="minorHAnsi" w:cstheme="minorHAnsi"/>
          <w:lang w:val="nl-NL"/>
        </w:rPr>
        <w:t xml:space="preserve">: </w:t>
      </w:r>
      <w:hyperlink r:id="rId23" w:history="1">
        <w:r w:rsidRPr="003025B1">
          <w:rPr>
            <w:rStyle w:val="Hipercze"/>
            <w:rFonts w:asciiTheme="minorHAnsi" w:hAnsiTheme="minorHAnsi" w:cstheme="minorHAnsi"/>
            <w:color w:val="2E74B5" w:themeColor="accent5" w:themeShade="BF"/>
            <w:lang w:val="nl-NL"/>
          </w:rPr>
          <w:t>https://www.youtube.com/watch?v=uXtmN9fE01k</w:t>
        </w:r>
      </w:hyperlink>
      <w:r w:rsidR="00372FC9" w:rsidRPr="003025B1">
        <w:rPr>
          <w:rFonts w:asciiTheme="minorHAnsi" w:hAnsiTheme="minorHAnsi" w:cstheme="minorHAnsi"/>
          <w:color w:val="2E74B5" w:themeColor="accent5" w:themeShade="BF"/>
          <w:lang w:val="nl-NL"/>
        </w:rPr>
        <w:t xml:space="preserve"> </w:t>
      </w:r>
      <w:r w:rsidRPr="003025B1">
        <w:rPr>
          <w:rFonts w:asciiTheme="minorHAnsi" w:hAnsiTheme="minorHAnsi" w:cstheme="minorHAnsi"/>
          <w:color w:val="2E74B5" w:themeColor="accent5" w:themeShade="BF"/>
          <w:lang w:val="nl-NL"/>
        </w:rPr>
        <w:t>.</w:t>
      </w:r>
    </w:p>
    <w:p w14:paraId="7357D16C" w14:textId="77777777" w:rsidR="00DC7815" w:rsidRPr="00DC7815" w:rsidRDefault="00DC7815" w:rsidP="00DC7815">
      <w:pPr>
        <w:pStyle w:val="NormalnyWeb"/>
        <w:shd w:val="clear" w:color="auto" w:fill="FFFFFF"/>
        <w:spacing w:before="0" w:beforeAutospacing="0" w:after="0" w:afterAutospacing="0"/>
        <w:jc w:val="both"/>
        <w:rPr>
          <w:rFonts w:asciiTheme="minorHAnsi" w:hAnsiTheme="minorHAnsi" w:cstheme="minorHAnsi"/>
          <w:sz w:val="14"/>
          <w:szCs w:val="14"/>
          <w:lang w:val="nl-NL"/>
        </w:rPr>
      </w:pPr>
    </w:p>
    <w:p w14:paraId="0CC7A6AA" w14:textId="63D5D6C4" w:rsidR="00C9384B" w:rsidRPr="00C519CC" w:rsidRDefault="00C519CC" w:rsidP="00C519CC">
      <w:pPr>
        <w:pStyle w:val="NormalnyWeb"/>
        <w:shd w:val="clear" w:color="auto" w:fill="FFFFFF"/>
        <w:tabs>
          <w:tab w:val="left" w:pos="567"/>
        </w:tabs>
        <w:spacing w:before="0" w:beforeAutospacing="0" w:after="0" w:afterAutospacing="0"/>
        <w:jc w:val="both"/>
        <w:rPr>
          <w:rFonts w:asciiTheme="minorHAnsi" w:hAnsiTheme="minorHAnsi" w:cstheme="minorHAnsi"/>
        </w:rPr>
      </w:pPr>
      <w:r w:rsidRPr="002B69EC">
        <w:rPr>
          <w:rFonts w:asciiTheme="minorHAnsi" w:hAnsiTheme="minorHAnsi" w:cstheme="minorHAnsi"/>
          <w:lang w:val="nl-NL"/>
        </w:rPr>
        <w:tab/>
      </w:r>
      <w:r w:rsidR="00C9384B" w:rsidRPr="00C519CC">
        <w:rPr>
          <w:rFonts w:asciiTheme="minorHAnsi" w:hAnsiTheme="minorHAnsi" w:cstheme="minorHAnsi"/>
        </w:rPr>
        <w:t xml:space="preserve">W naszym wystąpieniu </w:t>
      </w:r>
      <w:r w:rsidR="00C9384B" w:rsidRPr="00E56D39">
        <w:rPr>
          <w:rFonts w:asciiTheme="minorHAnsi" w:hAnsiTheme="minorHAnsi" w:cstheme="minorHAnsi"/>
          <w:b/>
          <w:bCs/>
        </w:rPr>
        <w:t>poprosiliśmy o odpowiedź na trzy</w:t>
      </w:r>
      <w:r w:rsidR="00C9384B" w:rsidRPr="00C519CC">
        <w:rPr>
          <w:rFonts w:asciiTheme="minorHAnsi" w:hAnsiTheme="minorHAnsi" w:cstheme="minorHAnsi"/>
        </w:rPr>
        <w:t xml:space="preserve"> proste </w:t>
      </w:r>
      <w:r w:rsidR="00C9384B" w:rsidRPr="00E56D39">
        <w:rPr>
          <w:rFonts w:asciiTheme="minorHAnsi" w:hAnsiTheme="minorHAnsi" w:cstheme="minorHAnsi"/>
          <w:b/>
          <w:bCs/>
        </w:rPr>
        <w:t>pytania</w:t>
      </w:r>
      <w:r w:rsidR="00C9384B" w:rsidRPr="00C519CC">
        <w:rPr>
          <w:rFonts w:asciiTheme="minorHAnsi" w:hAnsiTheme="minorHAnsi" w:cstheme="minorHAnsi"/>
        </w:rPr>
        <w:t>:</w:t>
      </w:r>
    </w:p>
    <w:p w14:paraId="62518187" w14:textId="77777777" w:rsidR="00C9384B" w:rsidRPr="00C519CC"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6BE2F39A" w14:textId="77777777" w:rsidR="00C9384B" w:rsidRPr="00C519CC" w:rsidRDefault="00C9384B" w:rsidP="00C519CC">
      <w:pPr>
        <w:numPr>
          <w:ilvl w:val="0"/>
          <w:numId w:val="1"/>
        </w:numPr>
        <w:shd w:val="clear" w:color="auto" w:fill="FFFFFF"/>
        <w:tabs>
          <w:tab w:val="clear" w:pos="720"/>
          <w:tab w:val="num" w:pos="567"/>
        </w:tabs>
        <w:spacing w:after="0" w:line="240" w:lineRule="auto"/>
        <w:ind w:left="567" w:hanging="283"/>
        <w:jc w:val="both"/>
        <w:rPr>
          <w:rFonts w:cstheme="minorHAnsi"/>
          <w:sz w:val="24"/>
          <w:szCs w:val="24"/>
        </w:rPr>
      </w:pPr>
      <w:r w:rsidRPr="00C519CC">
        <w:rPr>
          <w:rFonts w:cstheme="minorHAnsi"/>
          <w:sz w:val="24"/>
          <w:szCs w:val="24"/>
        </w:rPr>
        <w:t>Czy Pan Minister może zainicjować aktywność prezesa Urzędu Patentowego RP w sprawie zapewnienia Uniwersytetowi Jagiellońskiemu w Krakowie niezbędnego merytorycznego i prawnego wsparcia w sprawie złożenia wniosku o unieważnienie patentu US11234023B Microsoft Corporation uzyskanego na ww. polskie rozwiązanie?</w:t>
      </w:r>
    </w:p>
    <w:p w14:paraId="7CA859CC" w14:textId="77777777" w:rsidR="00C9384B" w:rsidRPr="00C519CC" w:rsidRDefault="00C9384B" w:rsidP="00C519CC">
      <w:pPr>
        <w:numPr>
          <w:ilvl w:val="0"/>
          <w:numId w:val="1"/>
        </w:numPr>
        <w:shd w:val="clear" w:color="auto" w:fill="FFFFFF"/>
        <w:tabs>
          <w:tab w:val="clear" w:pos="720"/>
          <w:tab w:val="num" w:pos="567"/>
        </w:tabs>
        <w:spacing w:after="0" w:line="240" w:lineRule="auto"/>
        <w:ind w:left="567" w:hanging="283"/>
        <w:jc w:val="both"/>
        <w:rPr>
          <w:rFonts w:cstheme="minorHAnsi"/>
          <w:sz w:val="24"/>
          <w:szCs w:val="24"/>
        </w:rPr>
      </w:pPr>
      <w:r w:rsidRPr="00C519CC">
        <w:rPr>
          <w:rFonts w:cstheme="minorHAnsi"/>
          <w:sz w:val="24"/>
          <w:szCs w:val="24"/>
        </w:rPr>
        <w:t>Czy w ramach budżetu na 2023 r. możliwe będzie wyodrębnienie środków i przygotowanie rozwiązań finansowych, które umożliwią zabezpieczanie polskich wynalazców przed praktykami monopolistycznymi koncernów?</w:t>
      </w:r>
    </w:p>
    <w:p w14:paraId="6189D4E1" w14:textId="77777777" w:rsidR="00C9384B" w:rsidRPr="00C519CC" w:rsidRDefault="00C9384B" w:rsidP="00C519CC">
      <w:pPr>
        <w:numPr>
          <w:ilvl w:val="0"/>
          <w:numId w:val="1"/>
        </w:numPr>
        <w:shd w:val="clear" w:color="auto" w:fill="FFFFFF"/>
        <w:tabs>
          <w:tab w:val="clear" w:pos="720"/>
          <w:tab w:val="num" w:pos="567"/>
        </w:tabs>
        <w:spacing w:after="0" w:line="240" w:lineRule="auto"/>
        <w:ind w:left="567" w:hanging="283"/>
        <w:jc w:val="both"/>
        <w:rPr>
          <w:rFonts w:cstheme="minorHAnsi"/>
          <w:sz w:val="24"/>
          <w:szCs w:val="24"/>
        </w:rPr>
      </w:pPr>
      <w:r w:rsidRPr="00C519CC">
        <w:rPr>
          <w:rFonts w:cstheme="minorHAnsi"/>
          <w:sz w:val="24"/>
          <w:szCs w:val="24"/>
        </w:rPr>
        <w:t>Czy Pan Minister może wpłynąć na prezesa Urzędu Patentowego RP, aby delegowano z grona kwalifikowanych profesjonalnych kadr eksperckich urzędu odpowiednich specjalistów, którzy udzielą merytorycznej pomocy w sprawie unieważnienia patentu US11234023B?</w:t>
      </w:r>
    </w:p>
    <w:p w14:paraId="7FB8999F" w14:textId="77777777" w:rsidR="00C9384B" w:rsidRPr="00C519CC" w:rsidRDefault="00C9384B" w:rsidP="00C9384B">
      <w:pPr>
        <w:shd w:val="clear" w:color="auto" w:fill="FFFFFF"/>
        <w:spacing w:after="0" w:line="240" w:lineRule="auto"/>
        <w:ind w:left="1080"/>
        <w:jc w:val="both"/>
        <w:rPr>
          <w:rFonts w:cstheme="minorHAnsi"/>
          <w:sz w:val="10"/>
          <w:szCs w:val="10"/>
        </w:rPr>
      </w:pPr>
    </w:p>
    <w:p w14:paraId="67EA5974" w14:textId="2FBDD843" w:rsidR="00C9384B" w:rsidRPr="00C519CC" w:rsidRDefault="00C519CC" w:rsidP="00C519CC">
      <w:pPr>
        <w:pStyle w:val="NormalnyWeb"/>
        <w:shd w:val="clear" w:color="auto" w:fill="FFFFFF"/>
        <w:tabs>
          <w:tab w:val="left" w:pos="567"/>
        </w:tabs>
        <w:spacing w:before="0" w:beforeAutospacing="0" w:after="0" w:afterAutospacing="0"/>
        <w:jc w:val="both"/>
        <w:rPr>
          <w:rFonts w:asciiTheme="minorHAnsi" w:hAnsiTheme="minorHAnsi" w:cstheme="minorHAnsi"/>
        </w:rPr>
      </w:pPr>
      <w:r>
        <w:rPr>
          <w:rFonts w:asciiTheme="minorHAnsi" w:hAnsiTheme="minorHAnsi" w:cstheme="minorHAnsi"/>
        </w:rPr>
        <w:t xml:space="preserve"> </w:t>
      </w:r>
      <w:r>
        <w:rPr>
          <w:rFonts w:asciiTheme="minorHAnsi" w:hAnsiTheme="minorHAnsi" w:cstheme="minorHAnsi"/>
        </w:rPr>
        <w:tab/>
      </w:r>
      <w:r w:rsidR="00C9384B" w:rsidRPr="00C519CC">
        <w:rPr>
          <w:rFonts w:asciiTheme="minorHAnsi" w:hAnsiTheme="minorHAnsi" w:cstheme="minorHAnsi"/>
        </w:rPr>
        <w:t xml:space="preserve">Ww. </w:t>
      </w:r>
      <w:r w:rsidR="00C9384B" w:rsidRPr="00E56D39">
        <w:rPr>
          <w:rFonts w:asciiTheme="minorHAnsi" w:hAnsiTheme="minorHAnsi" w:cstheme="minorHAnsi"/>
          <w:b/>
          <w:bCs/>
        </w:rPr>
        <w:t>interpelacja zaadresowana została do Pana Ministra. Nie wiemy jednak, kto przygotował nadesłaną odpowiedź, gdyż podano w niej</w:t>
      </w:r>
      <w:r w:rsidR="00C9384B" w:rsidRPr="00C519CC">
        <w:rPr>
          <w:rFonts w:asciiTheme="minorHAnsi" w:hAnsiTheme="minorHAnsi" w:cstheme="minorHAnsi"/>
        </w:rPr>
        <w:t xml:space="preserve">: </w:t>
      </w:r>
      <w:r w:rsidR="00C9384B" w:rsidRPr="00C519CC">
        <w:rPr>
          <w:rFonts w:asciiTheme="minorHAnsi" w:hAnsiTheme="minorHAnsi" w:cstheme="minorHAnsi"/>
          <w:i/>
        </w:rPr>
        <w:t>„(…) Urząd Patentowy RP uprzejmie wyjaśnia, co następuje. (…)</w:t>
      </w:r>
      <w:r w:rsidR="00C9384B" w:rsidRPr="00C519CC">
        <w:rPr>
          <w:rFonts w:asciiTheme="minorHAnsi" w:hAnsiTheme="minorHAnsi" w:cstheme="minorHAnsi"/>
        </w:rPr>
        <w:t xml:space="preserve">”. W sprawie interpelacji nr 35345 przyjęta zatem została formuła, której nie zna art. 193 Regulaminu Sejmu Rzeczypospolitej Polskiej (M.P. z 2022 r. poz. 723). Na pytania skierowane do Pana Ministra Rozwoju i Technologii odpowiedziała odrębna instytucja na listowniku </w:t>
      </w:r>
      <w:r w:rsidR="002A7218">
        <w:rPr>
          <w:rFonts w:asciiTheme="minorHAnsi" w:hAnsiTheme="minorHAnsi" w:cstheme="minorHAnsi"/>
        </w:rPr>
        <w:t>M</w:t>
      </w:r>
      <w:r w:rsidR="00C9384B" w:rsidRPr="00C519CC">
        <w:rPr>
          <w:rFonts w:asciiTheme="minorHAnsi" w:hAnsiTheme="minorHAnsi" w:cstheme="minorHAnsi"/>
        </w:rPr>
        <w:t>inisterstwa. Tymczasem istotne było w tej sprawie stanowisko zajmowane przez Pana Ministra, tym bardziej że wyjaśnienia urzędu zawierają mylące stwierdzenia nie tylko niezwiązane z postawionymi w interpelacji pytaniami, ale też opisujące w istocie nierealizowanie przez Urząd Patentowy RP istotnych zadań ujawnianych w deklaracjach, które mijają się z obowiązującym prawem: „</w:t>
      </w:r>
      <w:r w:rsidR="00C9384B" w:rsidRPr="00C519CC">
        <w:rPr>
          <w:rFonts w:asciiTheme="minorHAnsi" w:hAnsiTheme="minorHAnsi" w:cstheme="minorHAnsi"/>
          <w:i/>
        </w:rPr>
        <w:t>Pragnę zapewnić, że Urząd Patentowy RP realizuje zadania w oparciu o przepisy prawa polskiego i międzynarodowego i na bieżąco udziela w ramach swoich kompetencji informacji, o które występują zarówno wynalazcy i twórcy, jak i przedsiębiorcy lub przedstawiciele świata nauki.</w:t>
      </w:r>
      <w:r w:rsidR="00C9384B" w:rsidRPr="00C519CC">
        <w:rPr>
          <w:rFonts w:asciiTheme="minorHAnsi" w:hAnsiTheme="minorHAnsi" w:cstheme="minorHAnsi"/>
        </w:rPr>
        <w:t>” - co wyjaśniono na przedostatniej stronie odpowiedzi.</w:t>
      </w:r>
    </w:p>
    <w:p w14:paraId="2476982D"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74B8B270" w14:textId="0DEF849D"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 xml:space="preserve">Obserwujemy zatem niebezpieczne praktyki </w:t>
      </w:r>
      <w:r w:rsidR="002A7218">
        <w:rPr>
          <w:rFonts w:asciiTheme="minorHAnsi" w:hAnsiTheme="minorHAnsi" w:cstheme="minorHAnsi"/>
        </w:rPr>
        <w:t>U</w:t>
      </w:r>
      <w:r w:rsidRPr="00C519CC">
        <w:rPr>
          <w:rFonts w:asciiTheme="minorHAnsi" w:hAnsiTheme="minorHAnsi" w:cstheme="minorHAnsi"/>
        </w:rPr>
        <w:t xml:space="preserve">rzędu, polegające na redukowaniu przez </w:t>
      </w:r>
      <w:r w:rsidR="002A7218">
        <w:rPr>
          <w:rFonts w:asciiTheme="minorHAnsi" w:hAnsiTheme="minorHAnsi" w:cstheme="minorHAnsi"/>
        </w:rPr>
        <w:t>U</w:t>
      </w:r>
      <w:r w:rsidRPr="00C519CC">
        <w:rPr>
          <w:rFonts w:asciiTheme="minorHAnsi" w:hAnsiTheme="minorHAnsi" w:cstheme="minorHAnsi"/>
        </w:rPr>
        <w:t>rząd własnych kompetencji i obowiązków, co prowadzi do nierealizowania zadań nakazanych przepisami rozporządzenia Rady Ministrów z dnia 8 stycznia 2002 r. w sprawie szczegółowego zakresu działania Urzędu Patentowego Rzeczypospolitej Polskiej (Dz. U. Nr 8 poz. 59, z późn. zm.), w tym określonych w § 2 ust. 2 pkt 15, w którym stwierdza się, że do szczegółowego zakresu działania Urzędu Patentowego RP należy m.in. „</w:t>
      </w:r>
      <w:r w:rsidRPr="00C519CC">
        <w:rPr>
          <w:rFonts w:asciiTheme="minorHAnsi" w:hAnsiTheme="minorHAnsi" w:cstheme="minorHAnsi"/>
          <w:i/>
          <w:iCs/>
        </w:rPr>
        <w:t>organizowanie i prowadzenie działalności wspierającej badania naukowe i prace rozwojowe w zakresie ochrony własności przemysłowej</w:t>
      </w:r>
      <w:r w:rsidRPr="00C519CC">
        <w:rPr>
          <w:rFonts w:asciiTheme="minorHAnsi" w:hAnsiTheme="minorHAnsi" w:cstheme="minorHAnsi"/>
        </w:rPr>
        <w:t>”.</w:t>
      </w:r>
    </w:p>
    <w:p w14:paraId="6CA26673"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2D413C0B" w14:textId="77777777"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W niniejszej sprawie właśnie takie działania winny zostać podjęte, lecz nie zostały.</w:t>
      </w:r>
    </w:p>
    <w:p w14:paraId="3AA94BFC"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18B8D127" w14:textId="77777777" w:rsidR="002A7218"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 xml:space="preserve">Uważamy, że Pan Minister Rozwoju i Technologii zawierzył wyjaśnieniom przedkładanym resortowi przez Urząd Patentowy RP, uznał je za wiarygodne oraz poprzestał na złożeniu ich na ręce Pani Marszałek Sejmu. </w:t>
      </w:r>
    </w:p>
    <w:p w14:paraId="0BD4E229" w14:textId="38BF29F1"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Urząd Patentowy RP nie dopełnia ciążących na nim obowiązków, lecz wierzymy, że w wyniku niniejszej interpelacji Pan Premier dostrzeże nie tylko nieprzedłożenie dotąd rzetelnej i wyczerpującej odpowiedzi w tej sprawie, ale uzna potrzebę i konieczność opracowania przez resort prawnych uregulowań i modelu zabezpieczeń, chroniących w przyszłości polskie wynalazki przed ich zawłaszczaniem.</w:t>
      </w:r>
    </w:p>
    <w:p w14:paraId="00F4E9AF"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4EB5872F" w14:textId="7F095FC9"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 xml:space="preserve">Odpowiedź </w:t>
      </w:r>
      <w:r w:rsidR="002A7218">
        <w:rPr>
          <w:rFonts w:asciiTheme="minorHAnsi" w:hAnsiTheme="minorHAnsi" w:cstheme="minorHAnsi"/>
        </w:rPr>
        <w:t>m</w:t>
      </w:r>
      <w:r w:rsidRPr="00C519CC">
        <w:rPr>
          <w:rFonts w:asciiTheme="minorHAnsi" w:hAnsiTheme="minorHAnsi" w:cstheme="minorHAnsi"/>
        </w:rPr>
        <w:t xml:space="preserve">inisterstwa na interpelację nr 35345 wskazuje, że nie została ona potraktowana z taką powagą, na jaką zasługuje poruszony w niej problem. Nie tylko nie zaproponowano w niej </w:t>
      </w:r>
      <w:r w:rsidRPr="00C519CC">
        <w:rPr>
          <w:rFonts w:asciiTheme="minorHAnsi" w:hAnsiTheme="minorHAnsi" w:cstheme="minorHAnsi"/>
        </w:rPr>
        <w:lastRenderedPageBreak/>
        <w:t>merytorycznego rozwiązania, ale także przedstawiono stwierdzenia zawierające istotne błędy dotyczące faktów, które łatwo zweryfikować w oparciu o powszechnie dostępne źródła.</w:t>
      </w:r>
    </w:p>
    <w:p w14:paraId="25100126"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4"/>
          <w:szCs w:val="14"/>
        </w:rPr>
      </w:pPr>
    </w:p>
    <w:p w14:paraId="7208E365" w14:textId="77777777"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pierwsze</w:t>
      </w:r>
      <w:r w:rsidRPr="00C519CC">
        <w:rPr>
          <w:rFonts w:asciiTheme="minorHAnsi" w:hAnsiTheme="minorHAnsi" w:cstheme="minorHAnsi"/>
        </w:rPr>
        <w:t>, treść odpowiedzi nieoczekiwanie polemizuje ze stwierdzeniami, których nie zawierała interpelacja nr 35345. Na przykład poinformowano w niej o tym, że nie przyrasta liczba patentów udzielonych przez Urząd Patentowy RP podmiotom zagranicznym na rozwiązania informatyczne: „</w:t>
      </w:r>
      <w:r w:rsidRPr="00C519CC">
        <w:rPr>
          <w:rFonts w:asciiTheme="minorHAnsi" w:hAnsiTheme="minorHAnsi" w:cstheme="minorHAnsi"/>
          <w:i/>
        </w:rPr>
        <w:t>nie sposób zgodzić się z podnoszonym w piśmie twierdzeniem, że w Polsce można obserwować obecnie drastyczny wzrost tego zjawiska</w:t>
      </w:r>
      <w:r w:rsidRPr="00C519CC">
        <w:rPr>
          <w:rFonts w:asciiTheme="minorHAnsi" w:hAnsiTheme="minorHAnsi" w:cstheme="minorHAnsi"/>
        </w:rPr>
        <w:t>” - tymczasem interpelacja nr 35345 nie porusza tego tematu, ponieważ nie miałby on żadnego związku z postawionymi w niej pytaniami, które dotyczą głównie amerykańskiego patentu US11234023B.</w:t>
      </w:r>
    </w:p>
    <w:p w14:paraId="5A089CAA"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176F1315" w14:textId="77777777"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drugie</w:t>
      </w:r>
      <w:r w:rsidRPr="00C519CC">
        <w:rPr>
          <w:rFonts w:asciiTheme="minorHAnsi" w:hAnsiTheme="minorHAnsi" w:cstheme="minorHAnsi"/>
        </w:rPr>
        <w:t>, w odpowiedzi resortu przytoczono niezwiązane z tematem statystyki Urzędu Patentowego RP z lat 2018-2022 zestawione na wielostronicowej, liczącej kilkaset pozycji liście patentów (opracowanej w sposób mało czytelny z pewnością także dla jej autorów), przedstawionej najprawdopodobniej w oparciu o bazy danych Urzędu Patentowego RP, które od kilku lat są niekompletne i pozbawione precyzji. Lista ta nadesłana została także w bliżej nieokreślonym celu, a już pobieżna analiza pięciu pierwszych pozycji pozwoliła ustalić, że wskazane na niej wynalazki dotyczą innych dziedzin techniki niż rozwiązanie stanowiące przedmiot interpelacji.</w:t>
      </w:r>
    </w:p>
    <w:p w14:paraId="1B3BC0A2" w14:textId="1DC2C202"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5E59BC93" w14:textId="77777777"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trzecie</w:t>
      </w:r>
      <w:r w:rsidRPr="00C519CC">
        <w:rPr>
          <w:rFonts w:asciiTheme="minorHAnsi" w:hAnsiTheme="minorHAnsi" w:cstheme="minorHAnsi"/>
        </w:rPr>
        <w:t xml:space="preserve">, w odpowiedzi przypomniano również, że dr J. Duda osobiście rozmawiał z Panią Edytą </w:t>
      </w:r>
      <w:proofErr w:type="spellStart"/>
      <w:r w:rsidRPr="00C519CC">
        <w:rPr>
          <w:rFonts w:asciiTheme="minorHAnsi" w:hAnsiTheme="minorHAnsi" w:cstheme="minorHAnsi"/>
        </w:rPr>
        <w:t>Demby</w:t>
      </w:r>
      <w:proofErr w:type="spellEnd"/>
      <w:r w:rsidRPr="00C519CC">
        <w:rPr>
          <w:rFonts w:asciiTheme="minorHAnsi" w:hAnsiTheme="minorHAnsi" w:cstheme="minorHAnsi"/>
        </w:rPr>
        <w:t>-Siwek, prezes UP RP, która poinformowała, że nie ma ona wpływu na postępowanie w USA, a także, że pracownicy urzędu nie są biegli w amerykańskich procedurach, ale przecież przez pełnomocnika może sam wystąpić tam z wnioskiem o unieważnienie.</w:t>
      </w:r>
    </w:p>
    <w:p w14:paraId="33A4364F"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3DC4458C" w14:textId="6C2E4723"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 xml:space="preserve">Stanowisko </w:t>
      </w:r>
      <w:r w:rsidR="002A7218">
        <w:rPr>
          <w:rFonts w:asciiTheme="minorHAnsi" w:hAnsiTheme="minorHAnsi" w:cstheme="minorHAnsi"/>
        </w:rPr>
        <w:t>P</w:t>
      </w:r>
      <w:r w:rsidRPr="00C519CC">
        <w:rPr>
          <w:rFonts w:asciiTheme="minorHAnsi" w:hAnsiTheme="minorHAnsi" w:cstheme="minorHAnsi"/>
        </w:rPr>
        <w:t xml:space="preserve">rezes UP RP nie uwzględnia faktu, że istotniejsze zgłoszenia patentowe od początku są rozpatrywane (także w Polsce) zgodnie z międzynarodowymi procedurami PCT (The Patent </w:t>
      </w:r>
      <w:proofErr w:type="spellStart"/>
      <w:r w:rsidRPr="00C519CC">
        <w:rPr>
          <w:rFonts w:asciiTheme="minorHAnsi" w:hAnsiTheme="minorHAnsi" w:cstheme="minorHAnsi"/>
        </w:rPr>
        <w:t>Cooperation</w:t>
      </w:r>
      <w:proofErr w:type="spellEnd"/>
      <w:r w:rsidRPr="00C519CC">
        <w:rPr>
          <w:rFonts w:asciiTheme="minorHAnsi" w:hAnsiTheme="minorHAnsi" w:cstheme="minorHAnsi"/>
        </w:rPr>
        <w:t xml:space="preserve"> </w:t>
      </w:r>
      <w:proofErr w:type="spellStart"/>
      <w:r w:rsidRPr="00C519CC">
        <w:rPr>
          <w:rFonts w:asciiTheme="minorHAnsi" w:hAnsiTheme="minorHAnsi" w:cstheme="minorHAnsi"/>
        </w:rPr>
        <w:t>Treaty</w:t>
      </w:r>
      <w:proofErr w:type="spellEnd"/>
      <w:r w:rsidRPr="00C519CC">
        <w:rPr>
          <w:rFonts w:asciiTheme="minorHAnsi" w:hAnsiTheme="minorHAnsi" w:cstheme="minorHAnsi"/>
        </w:rPr>
        <w:t xml:space="preserve"> - Układu o Współpracy Patentowej) ujednolicającymi postępowania na całym świecie. Tymczasem Polska jest od kilkudziesięciu lat sygnatariuszem PCT i merytoryczni pracownicy UP RP wykonują w ramach PCT różne etapowe zadania, znają i stosują na co dzień kryteria ocen, jakim ma być poddany wątpliwy amerykański patent w ramach wniosku o jego unieważnianie.</w:t>
      </w:r>
    </w:p>
    <w:p w14:paraId="2DACE553"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5CE67658" w14:textId="77777777" w:rsidR="00C9384B" w:rsidRPr="00C519CC" w:rsidRDefault="00C9384B" w:rsidP="000667A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czwarte</w:t>
      </w:r>
      <w:r w:rsidRPr="00C519CC">
        <w:rPr>
          <w:rFonts w:asciiTheme="minorHAnsi" w:hAnsiTheme="minorHAnsi" w:cstheme="minorHAnsi"/>
        </w:rPr>
        <w:t>, warto podkreślić, że sugestia, aby dr J. Duda z pensji adiunkta zatrudnił i opłacił wysokie koszty amerykańskiego pełnomocnika, jest wręcz niestosowna, zwłaszcza że naruszanie praw do opisywanego polskiego wynalazku nie stanowi prywatnego problemu Pana Doktora. Tymczasem w odpowiedzi na interpelację przeczytać możemy:</w:t>
      </w:r>
    </w:p>
    <w:p w14:paraId="1056FBF7"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740CFF14" w14:textId="77777777" w:rsidR="00C9384B" w:rsidRPr="00C519CC" w:rsidRDefault="00C9384B" w:rsidP="000667A5">
      <w:pPr>
        <w:pStyle w:val="NormalnyWeb"/>
        <w:shd w:val="clear" w:color="auto" w:fill="FFFFFF"/>
        <w:spacing w:before="0" w:beforeAutospacing="0" w:after="0" w:afterAutospacing="0"/>
        <w:ind w:left="567"/>
        <w:jc w:val="both"/>
        <w:rPr>
          <w:rFonts w:asciiTheme="minorHAnsi" w:hAnsiTheme="minorHAnsi" w:cstheme="minorHAnsi"/>
        </w:rPr>
      </w:pPr>
      <w:r w:rsidRPr="00C519CC">
        <w:rPr>
          <w:rFonts w:asciiTheme="minorHAnsi" w:hAnsiTheme="minorHAnsi" w:cstheme="minorHAnsi"/>
        </w:rPr>
        <w:t xml:space="preserve">„(…) </w:t>
      </w:r>
      <w:r w:rsidRPr="00C519CC">
        <w:rPr>
          <w:rFonts w:asciiTheme="minorHAnsi" w:hAnsiTheme="minorHAnsi" w:cstheme="minorHAnsi"/>
          <w:i/>
        </w:rPr>
        <w:t>w odniesieniu do wskazanego w piśmie patentu US11234023B Pan dr Duda taką pomoc już otrzymał. (…) Urząd Patentowy RP poinformował także, iż zasadne jest skorzystanie z usług profesjonalnego pełnomocnika</w:t>
      </w:r>
      <w:r w:rsidRPr="00C519CC">
        <w:rPr>
          <w:rFonts w:asciiTheme="minorHAnsi" w:hAnsiTheme="minorHAnsi" w:cstheme="minorHAnsi"/>
        </w:rPr>
        <w:t>”.</w:t>
      </w:r>
    </w:p>
    <w:p w14:paraId="31A2A5FE" w14:textId="77777777" w:rsidR="00C9384B" w:rsidRPr="00C519CC"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47C6C156" w14:textId="77777777" w:rsidR="00C9384B" w:rsidRPr="00C519CC" w:rsidRDefault="00C9384B" w:rsidP="000667A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piąte</w:t>
      </w:r>
      <w:r w:rsidRPr="00C519CC">
        <w:rPr>
          <w:rFonts w:asciiTheme="minorHAnsi" w:hAnsiTheme="minorHAnsi" w:cstheme="minorHAnsi"/>
        </w:rPr>
        <w:t>, merytoryczni pracownicy Urzędu Patentowego RP są znani z tego, że - wbrew zaleceniom kierownictwa - rzetelnie przestrzegają obecnego w prawie międzynarodowym zakazu udzielania patentów na programy komputerowe.</w:t>
      </w:r>
    </w:p>
    <w:p w14:paraId="2EF3E5B2"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5DBFB541" w14:textId="6875493D" w:rsidR="00C9384B" w:rsidRPr="00C519CC" w:rsidRDefault="00C9384B" w:rsidP="000667A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szóste</w:t>
      </w:r>
      <w:r w:rsidRPr="00C519CC">
        <w:rPr>
          <w:rFonts w:asciiTheme="minorHAnsi" w:hAnsiTheme="minorHAnsi" w:cstheme="minorHAnsi"/>
        </w:rPr>
        <w:t xml:space="preserve">, wyraźnie podkreślamy, że nie oczekujemy, by Urząd Patentowy RP pełnił rolę profesjonalnego pełnomocnika przed USPTO (United </w:t>
      </w:r>
      <w:proofErr w:type="spellStart"/>
      <w:r w:rsidRPr="00C519CC">
        <w:rPr>
          <w:rFonts w:asciiTheme="minorHAnsi" w:hAnsiTheme="minorHAnsi" w:cstheme="minorHAnsi"/>
        </w:rPr>
        <w:t>States</w:t>
      </w:r>
      <w:proofErr w:type="spellEnd"/>
      <w:r w:rsidRPr="00C519CC">
        <w:rPr>
          <w:rFonts w:asciiTheme="minorHAnsi" w:hAnsiTheme="minorHAnsi" w:cstheme="minorHAnsi"/>
        </w:rPr>
        <w:t xml:space="preserve"> Patent and </w:t>
      </w:r>
      <w:proofErr w:type="spellStart"/>
      <w:r w:rsidRPr="00C519CC">
        <w:rPr>
          <w:rFonts w:asciiTheme="minorHAnsi" w:hAnsiTheme="minorHAnsi" w:cstheme="minorHAnsi"/>
        </w:rPr>
        <w:t>Trademark</w:t>
      </w:r>
      <w:proofErr w:type="spellEnd"/>
      <w:r w:rsidRPr="00C519CC">
        <w:rPr>
          <w:rFonts w:asciiTheme="minorHAnsi" w:hAnsiTheme="minorHAnsi" w:cstheme="minorHAnsi"/>
        </w:rPr>
        <w:t xml:space="preserve"> Office - Urzędem Patentów i Znaków Towarowych Stanów Zjednoczonych), lecz aby udzielił merytorycznego wparcia wybitnemu polskiemu naukowcowi.</w:t>
      </w:r>
    </w:p>
    <w:p w14:paraId="1E99656B" w14:textId="2DABD10A"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5AAA3309" w14:textId="337F40A1" w:rsidR="00C9384B" w:rsidRPr="00C519CC" w:rsidRDefault="00C9384B" w:rsidP="00C519CC">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siódme</w:t>
      </w:r>
      <w:r w:rsidRPr="00C519CC">
        <w:rPr>
          <w:rFonts w:asciiTheme="minorHAnsi" w:hAnsiTheme="minorHAnsi" w:cstheme="minorHAnsi"/>
        </w:rPr>
        <w:t xml:space="preserve">, odpowiedź na interpelację nr 35345 zawiera obszerne informacje na temat pracy Urzędu Patentowego RP o wątpliwej wartości poznawczej i w żaden sposób nie przybliża ona do rozwiązania przedstawionego problemu o doniosłym znaczeniu społecznym i gospodarczym. Na przykład </w:t>
      </w:r>
      <w:r w:rsidRPr="00C519CC">
        <w:rPr>
          <w:rFonts w:asciiTheme="minorHAnsi" w:hAnsiTheme="minorHAnsi" w:cstheme="minorHAnsi"/>
        </w:rPr>
        <w:lastRenderedPageBreak/>
        <w:t>stwierdza się w niej: „</w:t>
      </w:r>
      <w:r w:rsidRPr="00C519CC">
        <w:rPr>
          <w:rFonts w:asciiTheme="minorHAnsi" w:hAnsiTheme="minorHAnsi" w:cstheme="minorHAnsi"/>
          <w:i/>
        </w:rPr>
        <w:t>Wskazane w piśmie rozwiązanie bazujące na osiągnięciach dr. Jarosława Dudy z Uniwersytetu Jagiellońskiego w Krakowie nie było przedmiotem zgłoszenia w Urzędzie Patentowym RP</w:t>
      </w:r>
      <w:r w:rsidRPr="00C519CC">
        <w:rPr>
          <w:rFonts w:asciiTheme="minorHAnsi" w:hAnsiTheme="minorHAnsi" w:cstheme="minorHAnsi"/>
        </w:rPr>
        <w:t>”.</w:t>
      </w:r>
    </w:p>
    <w:p w14:paraId="6F4F2A4A" w14:textId="77777777" w:rsidR="00C519CC" w:rsidRDefault="00C9384B" w:rsidP="00C9384B">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b/>
          <w:bCs/>
        </w:rPr>
        <w:t>Po ósme</w:t>
      </w:r>
      <w:r w:rsidRPr="00C519CC">
        <w:rPr>
          <w:rFonts w:asciiTheme="minorHAnsi" w:hAnsiTheme="minorHAnsi" w:cstheme="minorHAnsi"/>
        </w:rPr>
        <w:t>, użytkownicy urządzeń elektronicznych na całym świecie (Microsoft Corporation, Google) korzystają obecnie z dobrodziejstwa zapisu danych oraz przesyłają i archiwizują informacje zapisane metodami z Polski, co mogłoby być wykorzystane dla promocji polskiej myśli technicznej i nauki, pokazania naszej pozycji w świecie technologii cyfrowych, zainteresowania inwestorów.</w:t>
      </w:r>
    </w:p>
    <w:p w14:paraId="71537BFA" w14:textId="4B1648AD" w:rsidR="00C9384B" w:rsidRPr="00C519CC"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2AC812FE" w14:textId="77777777" w:rsidR="00C9384B" w:rsidRPr="00C519CC" w:rsidRDefault="00C9384B" w:rsidP="00332F15">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rPr>
        <w:t>W zaistniałej sytuacji prosimy o interwencję Pana Premiera oraz odpowiedź na następujące pytania:</w:t>
      </w:r>
    </w:p>
    <w:p w14:paraId="588D66C6" w14:textId="77777777" w:rsidR="00C9384B" w:rsidRPr="00C519CC"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43ACA53A" w14:textId="77777777" w:rsidR="00C9384B" w:rsidRPr="00C519CC" w:rsidRDefault="00C9384B" w:rsidP="001B6FC4">
      <w:pPr>
        <w:pStyle w:val="NormalnyWeb"/>
        <w:numPr>
          <w:ilvl w:val="0"/>
          <w:numId w:val="13"/>
        </w:numPr>
        <w:shd w:val="clear" w:color="auto" w:fill="FFFFFF"/>
        <w:spacing w:before="0" w:beforeAutospacing="0" w:after="0" w:afterAutospacing="0"/>
        <w:ind w:left="567" w:hanging="425"/>
        <w:jc w:val="both"/>
        <w:rPr>
          <w:rFonts w:asciiTheme="minorHAnsi" w:hAnsiTheme="minorHAnsi" w:cstheme="minorHAnsi"/>
        </w:rPr>
      </w:pPr>
      <w:r w:rsidRPr="00C519CC">
        <w:rPr>
          <w:rFonts w:asciiTheme="minorHAnsi" w:hAnsiTheme="minorHAnsi" w:cstheme="minorHAnsi"/>
        </w:rPr>
        <w:t>Skoro Uniwersytet Jagielloński blokowany uwarunkowaniami finansowymi i prawnymi najwyraźniej nie uważa, że powinien podjąć energiczne działania, by opracowana przez dr. J. Dudę metoda kompresji danych nie została zawłaszczona przez wielki światowy koncern - czy Pan Premier, jako gestor, do kompetencji którego należy troska o właściwe wykorzystanie wszelkich osiągnięć i dóbr własności intelektualnej tworzonych przez Polaków - nie mógłby zalecić podległemu Urzędowi Patentowemu RP przygotowanie i przedstawienie koncepcji działań, jakie państwo polskie mogłoby podjąć w niniejszej sprawie (i podobnych do niej)?</w:t>
      </w:r>
    </w:p>
    <w:p w14:paraId="1FBB92B4" w14:textId="77777777" w:rsidR="00A33335" w:rsidRPr="00A33335" w:rsidRDefault="00A33335" w:rsidP="00831D80">
      <w:pPr>
        <w:pStyle w:val="NormalnyWeb"/>
        <w:shd w:val="clear" w:color="auto" w:fill="FFFFFF"/>
        <w:spacing w:before="0" w:beforeAutospacing="0" w:after="0" w:afterAutospacing="0"/>
        <w:ind w:left="567"/>
        <w:jc w:val="both"/>
        <w:rPr>
          <w:rFonts w:asciiTheme="minorHAnsi" w:hAnsiTheme="minorHAnsi" w:cstheme="minorHAnsi"/>
          <w:sz w:val="6"/>
          <w:szCs w:val="6"/>
        </w:rPr>
      </w:pPr>
    </w:p>
    <w:p w14:paraId="133E30C7" w14:textId="24A9C371" w:rsidR="00BF6BAF" w:rsidRPr="00C519CC" w:rsidRDefault="00C9384B" w:rsidP="00831D80">
      <w:pPr>
        <w:pStyle w:val="NormalnyWeb"/>
        <w:shd w:val="clear" w:color="auto" w:fill="FFFFFF"/>
        <w:spacing w:before="0" w:beforeAutospacing="0" w:after="0" w:afterAutospacing="0"/>
        <w:ind w:left="567"/>
        <w:jc w:val="both"/>
        <w:rPr>
          <w:rFonts w:asciiTheme="minorHAnsi" w:hAnsiTheme="minorHAnsi" w:cstheme="minorHAnsi"/>
        </w:rPr>
      </w:pPr>
      <w:r w:rsidRPr="00C519CC">
        <w:rPr>
          <w:rFonts w:asciiTheme="minorHAnsi" w:hAnsiTheme="minorHAnsi" w:cstheme="minorHAnsi"/>
        </w:rPr>
        <w:t>Przypadek metody kompresji danych ANS, którą opracował dr J. Duda, jest szczególnie drastyczny, lecz niejedyny. Wielkie przedsiębiorstwa poprzez uzyskiwanie praw wyłącznych (udzielanych przez wiodące urzędy patentowe świata) przygotowują się do różnych możliwości zawłaszczania osiągnięć naukowców, blokowania niezależnych badań i kreatywności małych i średnich przedsiębiorstw w całym świecie. W takich sytuacjach polskim instytucjom naukowym oraz małym, lecz innowacyjnym przedsiębiorstwom potrzebna jest systemowa możliwość uzyskiwania od państwa merytorycznego i finansowego wsparcia dla unieważniania patentów na tak zawłaszczane wynalazki - stąd, Panie Premierze, nasze dalsze pytania i prośba o zajęcie konstruktywnego stanowiska.</w:t>
      </w:r>
    </w:p>
    <w:p w14:paraId="45110336" w14:textId="77777777" w:rsidR="00BF6BAF" w:rsidRPr="00C519CC" w:rsidRDefault="00BF6BAF" w:rsidP="00831D80">
      <w:pPr>
        <w:pStyle w:val="NormalnyWeb"/>
        <w:shd w:val="clear" w:color="auto" w:fill="FFFFFF"/>
        <w:spacing w:before="0" w:beforeAutospacing="0" w:after="0" w:afterAutospacing="0"/>
        <w:ind w:left="567" w:hanging="425"/>
        <w:jc w:val="both"/>
        <w:rPr>
          <w:rFonts w:asciiTheme="minorHAnsi" w:hAnsiTheme="minorHAnsi" w:cstheme="minorHAnsi"/>
          <w:sz w:val="6"/>
          <w:szCs w:val="6"/>
        </w:rPr>
      </w:pPr>
    </w:p>
    <w:p w14:paraId="4DC51F4A" w14:textId="77777777" w:rsidR="00BF6BAF" w:rsidRPr="00C519CC" w:rsidRDefault="00C9384B" w:rsidP="001B6FC4">
      <w:pPr>
        <w:pStyle w:val="NormalnyWeb"/>
        <w:numPr>
          <w:ilvl w:val="0"/>
          <w:numId w:val="13"/>
        </w:numPr>
        <w:shd w:val="clear" w:color="auto" w:fill="FFFFFF"/>
        <w:spacing w:before="0" w:beforeAutospacing="0" w:after="0" w:afterAutospacing="0"/>
        <w:ind w:left="567" w:hanging="425"/>
        <w:jc w:val="both"/>
        <w:rPr>
          <w:rFonts w:asciiTheme="minorHAnsi" w:hAnsiTheme="minorHAnsi" w:cstheme="minorHAnsi"/>
        </w:rPr>
      </w:pPr>
      <w:r w:rsidRPr="00C519CC">
        <w:rPr>
          <w:rFonts w:asciiTheme="minorHAnsi" w:hAnsiTheme="minorHAnsi" w:cstheme="minorHAnsi"/>
        </w:rPr>
        <w:t>Czy przyszłoroczny budżet mógłby zawierać pozycję obejmującą fundusz celowy (względnie czy możliwe jest ewentualne wykorzystanie na ten cel środków z rezerwy budżetowej na 2023 r.), bądź czy dostępne są inne formy wsparcia finansowego, które służyć będą wspieraniu polskich naukowców, przedsiębiorców i twórców w działaniach mających na celu ochronę ich dorobku, także w zakresie działań zmierzających do unieważniania patentów udzielanych - z nadużyciem prawa - wielkim, światowym koncernom?</w:t>
      </w:r>
    </w:p>
    <w:p w14:paraId="3BBDF3E0" w14:textId="77777777" w:rsidR="00BF6BAF" w:rsidRPr="00C519CC" w:rsidRDefault="00BF6BAF" w:rsidP="00831D80">
      <w:pPr>
        <w:pStyle w:val="NormalnyWeb"/>
        <w:shd w:val="clear" w:color="auto" w:fill="FFFFFF"/>
        <w:spacing w:before="0" w:beforeAutospacing="0" w:after="0" w:afterAutospacing="0"/>
        <w:ind w:left="567" w:hanging="425"/>
        <w:jc w:val="both"/>
        <w:rPr>
          <w:rFonts w:asciiTheme="minorHAnsi" w:hAnsiTheme="minorHAnsi" w:cstheme="minorHAnsi"/>
          <w:sz w:val="6"/>
          <w:szCs w:val="6"/>
        </w:rPr>
      </w:pPr>
    </w:p>
    <w:p w14:paraId="1A9E5396" w14:textId="1E4E451C" w:rsidR="00C9384B" w:rsidRPr="00C519CC" w:rsidRDefault="00C9384B" w:rsidP="001B6FC4">
      <w:pPr>
        <w:pStyle w:val="NormalnyWeb"/>
        <w:numPr>
          <w:ilvl w:val="0"/>
          <w:numId w:val="13"/>
        </w:numPr>
        <w:shd w:val="clear" w:color="auto" w:fill="FFFFFF"/>
        <w:spacing w:before="0" w:beforeAutospacing="0" w:after="0" w:afterAutospacing="0"/>
        <w:ind w:left="567" w:hanging="425"/>
        <w:jc w:val="both"/>
        <w:rPr>
          <w:rFonts w:asciiTheme="minorHAnsi" w:hAnsiTheme="minorHAnsi" w:cstheme="minorHAnsi"/>
        </w:rPr>
      </w:pPr>
      <w:r w:rsidRPr="00C519CC">
        <w:rPr>
          <w:rFonts w:asciiTheme="minorHAnsi" w:hAnsiTheme="minorHAnsi" w:cstheme="minorHAnsi"/>
        </w:rPr>
        <w:t xml:space="preserve">Czy Pan Premier, jako prezes Rady Ministrów, może udzielić odpowiedzi na pytanie, z jakich powodów pani Edyta </w:t>
      </w:r>
      <w:proofErr w:type="spellStart"/>
      <w:r w:rsidRPr="00C519CC">
        <w:rPr>
          <w:rFonts w:asciiTheme="minorHAnsi" w:hAnsiTheme="minorHAnsi" w:cstheme="minorHAnsi"/>
        </w:rPr>
        <w:t>Demby</w:t>
      </w:r>
      <w:proofErr w:type="spellEnd"/>
      <w:r w:rsidRPr="00C519CC">
        <w:rPr>
          <w:rFonts w:asciiTheme="minorHAnsi" w:hAnsiTheme="minorHAnsi" w:cstheme="minorHAnsi"/>
        </w:rPr>
        <w:t>-Siwek, prezes Urzędu Patentowego, oraz pan Waldemar Buda, minister rozwoju i technologii, nie mogli podjąć działań zmierzających do efektywnej i skutecznej obrony ważnych osiągnięć polskich naukowców nie tylko przed zawłaszczaniem ich dorobku przez obce koncerny, ale nawet nie podjęli się udzielenia pomocy po zgłoszonym fakcie zagarnięcia tak wybitnego polskiego wynalazku, dotyczącego nadzwyczaj cennej metody, którą opracował dr Jarosław Duda - jeżeli istnieje możliwość wystąpienia o unieważnienie patentu?</w:t>
      </w:r>
    </w:p>
    <w:p w14:paraId="46F96A79" w14:textId="77777777" w:rsidR="00C9384B" w:rsidRDefault="00C9384B" w:rsidP="00C9384B">
      <w:pPr>
        <w:pStyle w:val="NormalnyWeb"/>
        <w:shd w:val="clear" w:color="auto" w:fill="FFFFFF"/>
        <w:spacing w:before="0" w:beforeAutospacing="0" w:after="0" w:afterAutospacing="0"/>
        <w:jc w:val="both"/>
        <w:rPr>
          <w:rFonts w:asciiTheme="minorHAnsi" w:hAnsiTheme="minorHAnsi" w:cstheme="minorHAnsi"/>
        </w:rPr>
      </w:pPr>
    </w:p>
    <w:p w14:paraId="0F12BBAB" w14:textId="77777777" w:rsidR="00A152ED" w:rsidRPr="007D2684" w:rsidRDefault="00A152ED" w:rsidP="00C9384B">
      <w:pPr>
        <w:pStyle w:val="NormalnyWeb"/>
        <w:shd w:val="clear" w:color="auto" w:fill="FFFFFF"/>
        <w:spacing w:before="0" w:beforeAutospacing="0" w:after="0" w:afterAutospacing="0"/>
        <w:jc w:val="both"/>
        <w:rPr>
          <w:rFonts w:asciiTheme="minorHAnsi" w:hAnsiTheme="minorHAnsi" w:cstheme="minorHAnsi"/>
        </w:rPr>
      </w:pPr>
    </w:p>
    <w:p w14:paraId="65B75A8F" w14:textId="255D124F" w:rsidR="005D69C5" w:rsidRPr="00AA4E51" w:rsidRDefault="00060D64" w:rsidP="00C9384B">
      <w:pPr>
        <w:pStyle w:val="NormalnyWeb"/>
        <w:shd w:val="clear" w:color="auto" w:fill="FFFFFF"/>
        <w:spacing w:before="0" w:beforeAutospacing="0" w:after="0" w:afterAutospacing="0"/>
        <w:jc w:val="both"/>
        <w:rPr>
          <w:rFonts w:asciiTheme="minorHAnsi" w:hAnsiTheme="minorHAnsi" w:cstheme="minorHAnsi"/>
        </w:rPr>
      </w:pPr>
      <w:r w:rsidRPr="00C519CC">
        <w:rPr>
          <w:rFonts w:asciiTheme="minorHAnsi" w:hAnsiTheme="minorHAnsi" w:cstheme="minorHAnsi"/>
          <w:i/>
          <w:iCs/>
        </w:rPr>
        <w:t xml:space="preserve">                                                                                         </w:t>
      </w:r>
      <w:r w:rsidR="00C9384B" w:rsidRPr="00C519CC">
        <w:rPr>
          <w:rFonts w:asciiTheme="minorHAnsi" w:hAnsiTheme="minorHAnsi" w:cstheme="minorHAnsi"/>
          <w:i/>
          <w:iCs/>
        </w:rPr>
        <w:t>Z wyrazami szacunku</w:t>
      </w:r>
      <w:r w:rsidRPr="00C519CC">
        <w:rPr>
          <w:rFonts w:asciiTheme="minorHAnsi" w:hAnsiTheme="minorHAnsi" w:cstheme="minorHAnsi"/>
          <w:i/>
          <w:iCs/>
        </w:rPr>
        <w:t xml:space="preserve"> </w:t>
      </w:r>
      <w:r w:rsidR="005D69C5" w:rsidRPr="00C519CC">
        <w:rPr>
          <w:rFonts w:asciiTheme="minorHAnsi" w:hAnsiTheme="minorHAnsi" w:cstheme="minorHAnsi"/>
          <w:i/>
          <w:iCs/>
        </w:rPr>
        <w:t>–</w:t>
      </w:r>
    </w:p>
    <w:p w14:paraId="30F9A119" w14:textId="77777777" w:rsidR="005D69C5" w:rsidRDefault="005D69C5" w:rsidP="00C9384B">
      <w:pPr>
        <w:pStyle w:val="NormalnyWeb"/>
        <w:shd w:val="clear" w:color="auto" w:fill="FFFFFF"/>
        <w:spacing w:before="0" w:beforeAutospacing="0" w:after="0" w:afterAutospacing="0"/>
        <w:jc w:val="both"/>
        <w:rPr>
          <w:rFonts w:asciiTheme="minorHAnsi" w:hAnsiTheme="minorHAnsi" w:cstheme="minorHAnsi"/>
          <w:sz w:val="18"/>
          <w:szCs w:val="18"/>
        </w:rPr>
      </w:pPr>
    </w:p>
    <w:p w14:paraId="2A435ACD" w14:textId="77777777" w:rsidR="00CF68CE" w:rsidRDefault="00CF68CE" w:rsidP="00C9384B">
      <w:pPr>
        <w:pStyle w:val="NormalnyWeb"/>
        <w:shd w:val="clear" w:color="auto" w:fill="FFFFFF"/>
        <w:spacing w:before="0" w:beforeAutospacing="0" w:after="0" w:afterAutospacing="0"/>
        <w:jc w:val="both"/>
        <w:rPr>
          <w:rFonts w:asciiTheme="minorHAnsi" w:hAnsiTheme="minorHAnsi" w:cstheme="minorHAnsi"/>
          <w:sz w:val="18"/>
          <w:szCs w:val="18"/>
        </w:rPr>
      </w:pPr>
    </w:p>
    <w:p w14:paraId="55B8A9AD" w14:textId="77777777" w:rsidR="00A152ED" w:rsidRDefault="00A152ED" w:rsidP="00C9384B">
      <w:pPr>
        <w:pStyle w:val="NormalnyWeb"/>
        <w:shd w:val="clear" w:color="auto" w:fill="FFFFFF"/>
        <w:spacing w:before="0" w:beforeAutospacing="0" w:after="0" w:afterAutospacing="0"/>
        <w:jc w:val="both"/>
        <w:rPr>
          <w:rFonts w:asciiTheme="minorHAnsi" w:hAnsiTheme="minorHAnsi" w:cstheme="minorHAnsi"/>
          <w:sz w:val="18"/>
          <w:szCs w:val="18"/>
        </w:rPr>
      </w:pPr>
    </w:p>
    <w:p w14:paraId="770346D6" w14:textId="77777777" w:rsidR="00A152ED" w:rsidRDefault="00A152ED" w:rsidP="00C9384B">
      <w:pPr>
        <w:pStyle w:val="NormalnyWeb"/>
        <w:shd w:val="clear" w:color="auto" w:fill="FFFFFF"/>
        <w:spacing w:before="0" w:beforeAutospacing="0" w:after="0" w:afterAutospacing="0"/>
        <w:jc w:val="both"/>
        <w:rPr>
          <w:rFonts w:asciiTheme="minorHAnsi" w:hAnsiTheme="minorHAnsi" w:cstheme="minorHAnsi"/>
          <w:sz w:val="18"/>
          <w:szCs w:val="18"/>
        </w:rPr>
      </w:pPr>
    </w:p>
    <w:p w14:paraId="3CEC5BA3" w14:textId="77777777" w:rsidR="00CF68CE" w:rsidRDefault="00CF68CE" w:rsidP="00C9384B">
      <w:pPr>
        <w:pStyle w:val="NormalnyWeb"/>
        <w:shd w:val="clear" w:color="auto" w:fill="FFFFFF"/>
        <w:spacing w:before="0" w:beforeAutospacing="0" w:after="0" w:afterAutospacing="0"/>
        <w:jc w:val="both"/>
        <w:rPr>
          <w:rFonts w:asciiTheme="minorHAnsi" w:hAnsiTheme="minorHAnsi" w:cstheme="minorHAnsi"/>
          <w:sz w:val="18"/>
          <w:szCs w:val="18"/>
        </w:rPr>
      </w:pPr>
    </w:p>
    <w:p w14:paraId="36393605" w14:textId="77777777" w:rsidR="00CF68CE" w:rsidRDefault="00CF68CE" w:rsidP="00C9384B">
      <w:pPr>
        <w:pStyle w:val="NormalnyWeb"/>
        <w:shd w:val="clear" w:color="auto" w:fill="FFFFFF"/>
        <w:spacing w:before="0" w:beforeAutospacing="0" w:after="0" w:afterAutospacing="0"/>
        <w:jc w:val="both"/>
        <w:rPr>
          <w:rFonts w:asciiTheme="minorHAnsi" w:hAnsiTheme="minorHAnsi" w:cstheme="minorHAnsi"/>
          <w:sz w:val="18"/>
          <w:szCs w:val="18"/>
        </w:rPr>
      </w:pPr>
    </w:p>
    <w:p w14:paraId="1C502DFC" w14:textId="4EA7F816" w:rsidR="00B07E4D" w:rsidRDefault="00B07E4D" w:rsidP="00B07E4D">
      <w:pPr>
        <w:spacing w:after="0"/>
        <w:jc w:val="center"/>
        <w:rPr>
          <w:b/>
          <w:bCs/>
          <w:kern w:val="0"/>
          <w:sz w:val="24"/>
          <w:szCs w:val="24"/>
        </w:rPr>
      </w:pPr>
      <w:bookmarkStart w:id="15" w:name="_Hlk169359252"/>
      <w:bookmarkStart w:id="16" w:name="_Hlk169201142"/>
      <w:bookmarkStart w:id="17" w:name="_Hlk168475772"/>
      <w:bookmarkStart w:id="18" w:name="_Hlk169196464"/>
      <w:r>
        <w:rPr>
          <w:b/>
          <w:bCs/>
          <w:kern w:val="0"/>
          <w:sz w:val="24"/>
          <w:szCs w:val="24"/>
        </w:rPr>
        <w:lastRenderedPageBreak/>
        <w:t>* * *</w:t>
      </w:r>
    </w:p>
    <w:bookmarkEnd w:id="15"/>
    <w:p w14:paraId="755805BE" w14:textId="5002F3CF" w:rsidR="00D52A5E" w:rsidRPr="00D52A5E" w:rsidRDefault="00D52A5E" w:rsidP="006F0FB8">
      <w:pPr>
        <w:spacing w:after="0"/>
        <w:jc w:val="both"/>
        <w:rPr>
          <w:b/>
          <w:bCs/>
          <w:kern w:val="0"/>
          <w:sz w:val="24"/>
          <w:szCs w:val="24"/>
        </w:rPr>
      </w:pPr>
      <w:r>
        <w:rPr>
          <w:b/>
          <w:bCs/>
          <w:kern w:val="0"/>
          <w:sz w:val="24"/>
          <w:szCs w:val="24"/>
        </w:rPr>
        <w:t>U</w:t>
      </w:r>
      <w:r w:rsidRPr="00D52A5E">
        <w:rPr>
          <w:b/>
          <w:bCs/>
          <w:kern w:val="0"/>
          <w:sz w:val="24"/>
          <w:szCs w:val="24"/>
        </w:rPr>
        <w:t xml:space="preserve">waga </w:t>
      </w:r>
      <w:r w:rsidR="008F3813">
        <w:rPr>
          <w:b/>
          <w:bCs/>
          <w:kern w:val="0"/>
          <w:sz w:val="24"/>
          <w:szCs w:val="24"/>
        </w:rPr>
        <w:t>R</w:t>
      </w:r>
      <w:r w:rsidRPr="00D52A5E">
        <w:rPr>
          <w:b/>
          <w:bCs/>
          <w:kern w:val="0"/>
          <w:sz w:val="24"/>
          <w:szCs w:val="24"/>
        </w:rPr>
        <w:t>edakcji:</w:t>
      </w:r>
    </w:p>
    <w:p w14:paraId="2EE76755" w14:textId="308B0E4F" w:rsidR="006F0FB8" w:rsidRPr="0009556F" w:rsidRDefault="006F0FB8" w:rsidP="006F0FB8">
      <w:pPr>
        <w:spacing w:after="0"/>
        <w:jc w:val="both"/>
        <w:rPr>
          <w:kern w:val="0"/>
          <w:sz w:val="24"/>
          <w:szCs w:val="24"/>
        </w:rPr>
      </w:pPr>
      <w:r w:rsidRPr="0088505D">
        <w:rPr>
          <w:kern w:val="0"/>
          <w:sz w:val="24"/>
          <w:szCs w:val="24"/>
        </w:rPr>
        <w:t xml:space="preserve">Redakcja </w:t>
      </w:r>
      <w:r w:rsidRPr="00E56D39">
        <w:rPr>
          <w:b/>
          <w:bCs/>
          <w:kern w:val="0"/>
          <w:sz w:val="24"/>
          <w:szCs w:val="24"/>
        </w:rPr>
        <w:t>dziękuje i przekazuje wyrazy szacunku wszystkim Parlamentarzystom</w:t>
      </w:r>
      <w:r w:rsidRPr="0088505D">
        <w:rPr>
          <w:kern w:val="0"/>
          <w:sz w:val="24"/>
          <w:szCs w:val="24"/>
        </w:rPr>
        <w:t xml:space="preserve">, którzy </w:t>
      </w:r>
      <w:r w:rsidRPr="00C01756">
        <w:rPr>
          <w:b/>
          <w:bCs/>
          <w:kern w:val="0"/>
          <w:sz w:val="24"/>
          <w:szCs w:val="24"/>
        </w:rPr>
        <w:t>składając w 2022 r. interpelację poselską nr 37330</w:t>
      </w:r>
      <w:r>
        <w:rPr>
          <w:kern w:val="0"/>
          <w:sz w:val="24"/>
          <w:szCs w:val="24"/>
        </w:rPr>
        <w:t xml:space="preserve"> -</w:t>
      </w:r>
      <w:r w:rsidRPr="0088505D">
        <w:rPr>
          <w:kern w:val="0"/>
          <w:sz w:val="24"/>
          <w:szCs w:val="24"/>
        </w:rPr>
        <w:t xml:space="preserve"> </w:t>
      </w:r>
      <w:r w:rsidRPr="00C01756">
        <w:rPr>
          <w:b/>
          <w:bCs/>
          <w:kern w:val="0"/>
          <w:sz w:val="24"/>
          <w:szCs w:val="24"/>
        </w:rPr>
        <w:t>tłumaczyli, że troska i docenianie</w:t>
      </w:r>
      <w:r w:rsidRPr="0088505D">
        <w:rPr>
          <w:kern w:val="0"/>
          <w:sz w:val="24"/>
          <w:szCs w:val="24"/>
        </w:rPr>
        <w:t xml:space="preserve"> </w:t>
      </w:r>
      <w:r w:rsidRPr="00C01756">
        <w:rPr>
          <w:b/>
          <w:bCs/>
          <w:kern w:val="0"/>
          <w:sz w:val="24"/>
          <w:szCs w:val="24"/>
        </w:rPr>
        <w:t>wynalazców</w:t>
      </w:r>
      <w:r w:rsidRPr="0088505D">
        <w:rPr>
          <w:kern w:val="0"/>
          <w:sz w:val="24"/>
          <w:szCs w:val="24"/>
        </w:rPr>
        <w:t xml:space="preserve"> </w:t>
      </w:r>
      <w:r w:rsidRPr="00C01756">
        <w:rPr>
          <w:b/>
          <w:bCs/>
          <w:kern w:val="0"/>
          <w:sz w:val="24"/>
          <w:szCs w:val="24"/>
        </w:rPr>
        <w:t>jest</w:t>
      </w:r>
      <w:r w:rsidRPr="0088505D">
        <w:rPr>
          <w:kern w:val="0"/>
          <w:sz w:val="24"/>
          <w:szCs w:val="24"/>
        </w:rPr>
        <w:t xml:space="preserve"> nie tylko </w:t>
      </w:r>
      <w:r w:rsidRPr="00C01756">
        <w:rPr>
          <w:b/>
          <w:bCs/>
          <w:kern w:val="0"/>
          <w:sz w:val="24"/>
          <w:szCs w:val="24"/>
        </w:rPr>
        <w:t>obowiązkiem</w:t>
      </w:r>
      <w:r w:rsidRPr="0088505D">
        <w:rPr>
          <w:kern w:val="0"/>
          <w:sz w:val="24"/>
          <w:szCs w:val="24"/>
        </w:rPr>
        <w:t xml:space="preserve">, ale też </w:t>
      </w:r>
      <w:r w:rsidRPr="00C01756">
        <w:rPr>
          <w:b/>
          <w:bCs/>
          <w:kern w:val="0"/>
          <w:sz w:val="24"/>
          <w:szCs w:val="24"/>
        </w:rPr>
        <w:t>wyrazem rozsądku</w:t>
      </w:r>
      <w:r>
        <w:rPr>
          <w:kern w:val="0"/>
          <w:sz w:val="24"/>
          <w:szCs w:val="24"/>
        </w:rPr>
        <w:t xml:space="preserve"> (</w:t>
      </w:r>
      <w:r w:rsidRPr="0088505D">
        <w:rPr>
          <w:kern w:val="0"/>
          <w:sz w:val="24"/>
          <w:szCs w:val="24"/>
        </w:rPr>
        <w:t>gdyż przekłada się na polepszanie poziomu naszego życia, obniżanie kosztów produktów i usług, a przede wszystkim na bezpieczeństwo nas wszystkich</w:t>
      </w:r>
      <w:r>
        <w:rPr>
          <w:kern w:val="0"/>
          <w:sz w:val="24"/>
          <w:szCs w:val="24"/>
        </w:rPr>
        <w:t xml:space="preserve">) </w:t>
      </w:r>
      <w:proofErr w:type="gramStart"/>
      <w:r>
        <w:rPr>
          <w:kern w:val="0"/>
          <w:sz w:val="24"/>
          <w:szCs w:val="24"/>
        </w:rPr>
        <w:t>i  o</w:t>
      </w:r>
      <w:r w:rsidRPr="0088505D">
        <w:rPr>
          <w:kern w:val="0"/>
          <w:sz w:val="24"/>
          <w:szCs w:val="24"/>
        </w:rPr>
        <w:t>twarcie</w:t>
      </w:r>
      <w:proofErr w:type="gramEnd"/>
      <w:r w:rsidRPr="0088505D">
        <w:rPr>
          <w:kern w:val="0"/>
          <w:sz w:val="24"/>
          <w:szCs w:val="24"/>
        </w:rPr>
        <w:t xml:space="preserve"> zadawali </w:t>
      </w:r>
      <w:r>
        <w:rPr>
          <w:kern w:val="0"/>
          <w:sz w:val="24"/>
          <w:szCs w:val="24"/>
        </w:rPr>
        <w:t xml:space="preserve">niewygodne </w:t>
      </w:r>
      <w:r w:rsidRPr="0088505D">
        <w:rPr>
          <w:kern w:val="0"/>
          <w:sz w:val="24"/>
          <w:szCs w:val="24"/>
        </w:rPr>
        <w:t>pytania</w:t>
      </w:r>
      <w:r>
        <w:rPr>
          <w:kern w:val="0"/>
          <w:sz w:val="24"/>
          <w:szCs w:val="24"/>
        </w:rPr>
        <w:t>,</w:t>
      </w:r>
      <w:r w:rsidRPr="0088505D">
        <w:rPr>
          <w:kern w:val="0"/>
          <w:sz w:val="24"/>
          <w:szCs w:val="24"/>
        </w:rPr>
        <w:t xml:space="preserve"> </w:t>
      </w:r>
      <w:r>
        <w:rPr>
          <w:kern w:val="0"/>
          <w:sz w:val="24"/>
          <w:szCs w:val="24"/>
        </w:rPr>
        <w:t xml:space="preserve">a także </w:t>
      </w:r>
      <w:r w:rsidRPr="0088505D">
        <w:rPr>
          <w:kern w:val="0"/>
          <w:sz w:val="24"/>
          <w:szCs w:val="24"/>
        </w:rPr>
        <w:t>ustalili, kto w naszym kraju rozumie i podziela ten pogląd.</w:t>
      </w:r>
      <w:r w:rsidR="0009556F">
        <w:rPr>
          <w:kern w:val="0"/>
          <w:sz w:val="24"/>
          <w:szCs w:val="24"/>
        </w:rPr>
        <w:t xml:space="preserve"> </w:t>
      </w:r>
    </w:p>
    <w:bookmarkEnd w:id="16"/>
    <w:bookmarkEnd w:id="17"/>
    <w:bookmarkEnd w:id="18"/>
    <w:p w14:paraId="6060683E" w14:textId="77777777" w:rsidR="008F3813" w:rsidRPr="00EA4494" w:rsidRDefault="008F3813" w:rsidP="00A33335">
      <w:pPr>
        <w:spacing w:after="0"/>
        <w:rPr>
          <w:b/>
          <w:bCs/>
          <w:kern w:val="0"/>
          <w:sz w:val="10"/>
          <w:szCs w:val="10"/>
        </w:rPr>
      </w:pPr>
    </w:p>
    <w:p w14:paraId="4CB6E143" w14:textId="3C09D5EB" w:rsidR="00D52A5E" w:rsidRPr="00F1043D" w:rsidRDefault="00D52A5E" w:rsidP="00A33335">
      <w:pPr>
        <w:spacing w:after="0"/>
        <w:rPr>
          <w:rFonts w:cstheme="minorHAnsi"/>
          <w:b/>
          <w:bCs/>
          <w:color w:val="2E74B5" w:themeColor="accent5" w:themeShade="BF"/>
          <w:sz w:val="24"/>
          <w:szCs w:val="24"/>
          <w:lang w:val="en-US"/>
        </w:rPr>
      </w:pPr>
      <w:r w:rsidRPr="00F1043D">
        <w:rPr>
          <w:rFonts w:cstheme="minorHAnsi"/>
          <w:b/>
          <w:bCs/>
          <w:color w:val="2E74B5" w:themeColor="accent5" w:themeShade="BF"/>
          <w:sz w:val="24"/>
          <w:szCs w:val="24"/>
          <w:lang w:val="en-US"/>
        </w:rPr>
        <w:t xml:space="preserve">Editor's note: </w:t>
      </w:r>
    </w:p>
    <w:p w14:paraId="2F9513D1" w14:textId="77777777" w:rsidR="008F3813" w:rsidRPr="000058B7" w:rsidRDefault="00D52A5E" w:rsidP="00A33335">
      <w:pPr>
        <w:spacing w:after="0"/>
        <w:rPr>
          <w:rFonts w:cstheme="minorHAnsi"/>
          <w:color w:val="2E74B5" w:themeColor="accent5" w:themeShade="BF"/>
          <w:sz w:val="10"/>
          <w:szCs w:val="10"/>
          <w:lang w:val="en-US"/>
        </w:rPr>
      </w:pPr>
      <w:r w:rsidRPr="00F1043D">
        <w:rPr>
          <w:rFonts w:cstheme="minorHAnsi"/>
          <w:color w:val="2E74B5" w:themeColor="accent5" w:themeShade="BF"/>
          <w:sz w:val="24"/>
          <w:szCs w:val="24"/>
          <w:lang w:val="en-US"/>
        </w:rPr>
        <w:t xml:space="preserve">The editorial team expresses </w:t>
      </w:r>
      <w:r w:rsidRPr="00F1043D">
        <w:rPr>
          <w:rFonts w:cstheme="minorHAnsi"/>
          <w:b/>
          <w:bCs/>
          <w:color w:val="2E74B5" w:themeColor="accent5" w:themeShade="BF"/>
          <w:sz w:val="24"/>
          <w:szCs w:val="24"/>
          <w:lang w:val="en-US"/>
        </w:rPr>
        <w:t>gratitude and respect to all Parliamentarians</w:t>
      </w:r>
      <w:r w:rsidRPr="00F1043D">
        <w:rPr>
          <w:rFonts w:cstheme="minorHAnsi"/>
          <w:color w:val="2E74B5" w:themeColor="accent5" w:themeShade="BF"/>
          <w:sz w:val="24"/>
          <w:szCs w:val="24"/>
          <w:lang w:val="en-US"/>
        </w:rPr>
        <w:t xml:space="preserve"> who, by </w:t>
      </w:r>
      <w:r w:rsidRPr="00F1043D">
        <w:rPr>
          <w:rFonts w:cstheme="minorHAnsi"/>
          <w:b/>
          <w:bCs/>
          <w:color w:val="2E74B5" w:themeColor="accent5" w:themeShade="BF"/>
          <w:sz w:val="24"/>
          <w:szCs w:val="24"/>
          <w:lang w:val="en-US"/>
        </w:rPr>
        <w:t>submitting parliamentary interpellation no. 37330 in 2022, explained that caring for and appreciating inventors is</w:t>
      </w:r>
      <w:r w:rsidRPr="00F1043D">
        <w:rPr>
          <w:rFonts w:cstheme="minorHAnsi"/>
          <w:color w:val="2E74B5" w:themeColor="accent5" w:themeShade="BF"/>
          <w:sz w:val="24"/>
          <w:szCs w:val="24"/>
          <w:lang w:val="en-US"/>
        </w:rPr>
        <w:t xml:space="preserve"> not only a </w:t>
      </w:r>
      <w:r w:rsidRPr="00F1043D">
        <w:rPr>
          <w:rFonts w:cstheme="minorHAnsi"/>
          <w:b/>
          <w:bCs/>
          <w:color w:val="2E74B5" w:themeColor="accent5" w:themeShade="BF"/>
          <w:sz w:val="24"/>
          <w:szCs w:val="24"/>
          <w:lang w:val="en-US"/>
        </w:rPr>
        <w:t>duty</w:t>
      </w:r>
      <w:r w:rsidRPr="00F1043D">
        <w:rPr>
          <w:rFonts w:cstheme="minorHAnsi"/>
          <w:color w:val="2E74B5" w:themeColor="accent5" w:themeShade="BF"/>
          <w:sz w:val="24"/>
          <w:szCs w:val="24"/>
          <w:lang w:val="en-US"/>
        </w:rPr>
        <w:t xml:space="preserve"> but also a </w:t>
      </w:r>
      <w:r w:rsidRPr="00F1043D">
        <w:rPr>
          <w:rFonts w:cstheme="minorHAnsi"/>
          <w:b/>
          <w:bCs/>
          <w:color w:val="2E74B5" w:themeColor="accent5" w:themeShade="BF"/>
          <w:sz w:val="24"/>
          <w:szCs w:val="24"/>
          <w:lang w:val="en-US"/>
        </w:rPr>
        <w:t>sign of wisdom</w:t>
      </w:r>
      <w:r w:rsidRPr="00F1043D">
        <w:rPr>
          <w:rFonts w:cstheme="minorHAnsi"/>
          <w:color w:val="2E74B5" w:themeColor="accent5" w:themeShade="BF"/>
          <w:sz w:val="24"/>
          <w:szCs w:val="24"/>
          <w:lang w:val="en-US"/>
        </w:rPr>
        <w:t xml:space="preserve"> (as it translates into improving our quality of life, lowering the costs of products and services, and most importantly, ensuring the safety of all of us). </w:t>
      </w:r>
      <w:r w:rsidRPr="008B5A97">
        <w:rPr>
          <w:rFonts w:cstheme="minorHAnsi"/>
          <w:color w:val="2E74B5" w:themeColor="accent5" w:themeShade="BF"/>
          <w:sz w:val="24"/>
          <w:szCs w:val="24"/>
          <w:lang w:val="en-US"/>
        </w:rPr>
        <w:t xml:space="preserve">They openly asked uncomfortable questions </w:t>
      </w:r>
      <w:proofErr w:type="gramStart"/>
      <w:r w:rsidRPr="008B5A97">
        <w:rPr>
          <w:rFonts w:cstheme="minorHAnsi"/>
          <w:color w:val="2E74B5" w:themeColor="accent5" w:themeShade="BF"/>
          <w:sz w:val="24"/>
          <w:szCs w:val="24"/>
          <w:lang w:val="en-US"/>
        </w:rPr>
        <w:t>and also</w:t>
      </w:r>
      <w:proofErr w:type="gramEnd"/>
      <w:r w:rsidRPr="008B5A97">
        <w:rPr>
          <w:rFonts w:cstheme="minorHAnsi"/>
          <w:color w:val="2E74B5" w:themeColor="accent5" w:themeShade="BF"/>
          <w:sz w:val="24"/>
          <w:szCs w:val="24"/>
          <w:lang w:val="en-US"/>
        </w:rPr>
        <w:t xml:space="preserve"> determined who in our country understands and shares this view.</w:t>
      </w:r>
      <w:r w:rsidR="00332F15" w:rsidRPr="008B5A97">
        <w:rPr>
          <w:rFonts w:cstheme="minorHAnsi"/>
          <w:color w:val="2E74B5" w:themeColor="accent5" w:themeShade="BF"/>
          <w:sz w:val="24"/>
          <w:szCs w:val="24"/>
          <w:lang w:val="en-US"/>
        </w:rPr>
        <w:br/>
      </w:r>
    </w:p>
    <w:p w14:paraId="1D3562B6" w14:textId="77777777" w:rsidR="008F3813" w:rsidRPr="008F3813" w:rsidRDefault="00BB4BF9" w:rsidP="00A33335">
      <w:pPr>
        <w:spacing w:after="0"/>
        <w:rPr>
          <w:b/>
          <w:bCs/>
          <w:kern w:val="0"/>
          <w:sz w:val="10"/>
          <w:szCs w:val="10"/>
        </w:rPr>
      </w:pPr>
      <w:r w:rsidRPr="00D52A5E">
        <w:rPr>
          <w:b/>
          <w:bCs/>
          <w:kern w:val="0"/>
          <w:sz w:val="24"/>
          <w:szCs w:val="24"/>
        </w:rPr>
        <w:t>P</w:t>
      </w:r>
      <w:r w:rsidR="00293074" w:rsidRPr="00D52A5E">
        <w:rPr>
          <w:b/>
          <w:bCs/>
          <w:kern w:val="0"/>
          <w:sz w:val="24"/>
          <w:szCs w:val="24"/>
        </w:rPr>
        <w:t>ojęcia kluczowe</w:t>
      </w:r>
      <w:r w:rsidR="00332F15" w:rsidRPr="00D52A5E">
        <w:rPr>
          <w:kern w:val="0"/>
          <w:sz w:val="24"/>
          <w:szCs w:val="24"/>
        </w:rPr>
        <w:t>:</w:t>
      </w:r>
      <w:r w:rsidR="000973CA" w:rsidRPr="00D52A5E">
        <w:rPr>
          <w:kern w:val="0"/>
          <w:sz w:val="24"/>
          <w:szCs w:val="24"/>
        </w:rPr>
        <w:t xml:space="preserve"> </w:t>
      </w:r>
      <w:r w:rsidR="00293074" w:rsidRPr="00D52A5E">
        <w:rPr>
          <w:kern w:val="0"/>
          <w:sz w:val="24"/>
          <w:szCs w:val="24"/>
        </w:rPr>
        <w:t>OBRONA POLSKICH WYNALAZKÓW, ZAWŁASZCZANIE PRZEZ GLOBALNE KONCERNY, JAROSŁAW DUDA, KODOWANIE ANS, KOMPETENCJE I OBOWIĄZKI URZĘDU PATENTOWEGO</w:t>
      </w:r>
      <w:r w:rsidR="008C6840" w:rsidRPr="00D52A5E">
        <w:rPr>
          <w:b/>
          <w:bCs/>
          <w:kern w:val="0"/>
          <w:sz w:val="24"/>
          <w:szCs w:val="24"/>
        </w:rPr>
        <w:t>.</w:t>
      </w:r>
      <w:r w:rsidR="000973CA" w:rsidRPr="00D52A5E">
        <w:rPr>
          <w:b/>
          <w:bCs/>
          <w:kern w:val="0"/>
          <w:sz w:val="24"/>
          <w:szCs w:val="24"/>
        </w:rPr>
        <w:t xml:space="preserve"> </w:t>
      </w:r>
      <w:r w:rsidR="00332F15" w:rsidRPr="00D52A5E">
        <w:rPr>
          <w:b/>
          <w:bCs/>
          <w:kern w:val="0"/>
          <w:sz w:val="24"/>
          <w:szCs w:val="24"/>
        </w:rPr>
        <w:br/>
      </w:r>
    </w:p>
    <w:p w14:paraId="08E40BD3" w14:textId="5BCEA0E7" w:rsidR="00332F15" w:rsidRPr="007446C3" w:rsidRDefault="00332F15" w:rsidP="00A33335">
      <w:pPr>
        <w:spacing w:after="0"/>
        <w:rPr>
          <w:rStyle w:val="Hipercze"/>
          <w:b/>
          <w:bCs/>
          <w:color w:val="2E74B5" w:themeColor="accent5" w:themeShade="BF"/>
          <w:kern w:val="0"/>
          <w:sz w:val="24"/>
          <w:szCs w:val="24"/>
          <w:u w:val="none"/>
        </w:rPr>
      </w:pPr>
      <w:r w:rsidRPr="00D52A5E">
        <w:rPr>
          <w:b/>
          <w:bCs/>
          <w:kern w:val="0"/>
          <w:sz w:val="24"/>
          <w:szCs w:val="24"/>
        </w:rPr>
        <w:t>Miejsce publikacji</w:t>
      </w:r>
      <w:r w:rsidRPr="00D52A5E">
        <w:rPr>
          <w:kern w:val="0"/>
          <w:sz w:val="24"/>
          <w:szCs w:val="24"/>
        </w:rPr>
        <w:t xml:space="preserve">: </w:t>
      </w:r>
      <w:r w:rsidRPr="007446C3">
        <w:rPr>
          <w:color w:val="2E74B5" w:themeColor="accent5" w:themeShade="BF"/>
          <w:kern w:val="0"/>
          <w:sz w:val="24"/>
          <w:szCs w:val="24"/>
        </w:rPr>
        <w:t>sejm.gov.pl</w:t>
      </w:r>
      <w:r w:rsidR="007446C3">
        <w:rPr>
          <w:kern w:val="0"/>
          <w:sz w:val="24"/>
          <w:szCs w:val="24"/>
        </w:rPr>
        <w:t xml:space="preserve">  </w:t>
      </w:r>
      <w:hyperlink r:id="rId24" w:history="1">
        <w:r w:rsidRPr="007446C3">
          <w:rPr>
            <w:rStyle w:val="Hipercze"/>
            <w:rFonts w:cstheme="minorHAnsi"/>
            <w:color w:val="2E74B5" w:themeColor="accent5" w:themeShade="BF"/>
            <w:sz w:val="24"/>
            <w:szCs w:val="24"/>
            <w:u w:val="none"/>
          </w:rPr>
          <w:t>Interpelacja nr 37330 - Sejm Rzeczypospolitej Polskiej</w:t>
        </w:r>
      </w:hyperlink>
      <w:r w:rsidRPr="007446C3">
        <w:rPr>
          <w:color w:val="2E74B5" w:themeColor="accent5" w:themeShade="BF"/>
          <w:sz w:val="24"/>
          <w:szCs w:val="24"/>
        </w:rPr>
        <w:t xml:space="preserve"> </w:t>
      </w:r>
      <w:r w:rsidRPr="00D52A5E">
        <w:rPr>
          <w:kern w:val="0"/>
          <w:sz w:val="24"/>
          <w:szCs w:val="24"/>
        </w:rPr>
        <w:br/>
      </w:r>
      <w:hyperlink r:id="rId25" w:history="1">
        <w:r w:rsidRPr="007446C3">
          <w:rPr>
            <w:rStyle w:val="Hipercze"/>
            <w:rFonts w:cstheme="minorHAnsi"/>
            <w:color w:val="2E74B5" w:themeColor="accent5" w:themeShade="BF"/>
            <w:sz w:val="24"/>
            <w:szCs w:val="24"/>
            <w:u w:val="none"/>
          </w:rPr>
          <w:t>Interpelacja nr 37330 – polskie wynalazki istotne dla rozwoju gospodarczego Polski – StoWI</w:t>
        </w:r>
      </w:hyperlink>
    </w:p>
    <w:p w14:paraId="6B89513C" w14:textId="3A2896EF" w:rsidR="00224932" w:rsidRPr="00D52A5E" w:rsidRDefault="00C9384B" w:rsidP="00A978B1">
      <w:pPr>
        <w:rPr>
          <w:rStyle w:val="Nagwek2Znak"/>
          <w:b w:val="0"/>
          <w:bCs w:val="0"/>
          <w:sz w:val="8"/>
          <w:szCs w:val="8"/>
        </w:rPr>
      </w:pPr>
      <w:r w:rsidRPr="00D52A5E">
        <w:rPr>
          <w:rFonts w:cstheme="minorHAnsi"/>
        </w:rPr>
        <w:br w:type="page"/>
      </w:r>
      <w:r w:rsidR="00831D80" w:rsidRPr="00BA061E">
        <w:rPr>
          <w:noProof/>
        </w:rPr>
        <w:lastRenderedPageBreak/>
        <mc:AlternateContent>
          <mc:Choice Requires="wps">
            <w:drawing>
              <wp:anchor distT="0" distB="0" distL="114300" distR="114300" simplePos="0" relativeHeight="251756544" behindDoc="0" locked="0" layoutInCell="1" allowOverlap="1" wp14:anchorId="27A1B709" wp14:editId="52E124D6">
                <wp:simplePos x="0" y="0"/>
                <wp:positionH relativeFrom="margin">
                  <wp:posOffset>-99720</wp:posOffset>
                </wp:positionH>
                <wp:positionV relativeFrom="paragraph">
                  <wp:posOffset>-383540</wp:posOffset>
                </wp:positionV>
                <wp:extent cx="527050" cy="400050"/>
                <wp:effectExtent l="0" t="0" r="6350" b="0"/>
                <wp:wrapNone/>
                <wp:docPr id="206591012" name="Pole tekstowe 1"/>
                <wp:cNvGraphicFramePr/>
                <a:graphic xmlns:a="http://schemas.openxmlformats.org/drawingml/2006/main">
                  <a:graphicData uri="http://schemas.microsoft.com/office/word/2010/wordprocessingShape">
                    <wps:wsp>
                      <wps:cNvSpPr txBox="1"/>
                      <wps:spPr>
                        <a:xfrm>
                          <a:off x="0" y="0"/>
                          <a:ext cx="527050" cy="400050"/>
                        </a:xfrm>
                        <a:prstGeom prst="rect">
                          <a:avLst/>
                        </a:prstGeom>
                        <a:solidFill>
                          <a:schemeClr val="lt1"/>
                        </a:solidFill>
                        <a:ln w="6350">
                          <a:noFill/>
                        </a:ln>
                      </wps:spPr>
                      <wps:txbx>
                        <w:txbxContent>
                          <w:p w14:paraId="089B117A" w14:textId="2286E54C" w:rsidR="00541DD6" w:rsidRPr="00FA4053" w:rsidRDefault="00541DD6" w:rsidP="00F2139B">
                            <w:pPr>
                              <w:pStyle w:val="NumeracjaRozdzial"/>
                            </w:pPr>
                            <w:r>
                              <w:t>2</w:t>
                            </w:r>
                            <w:r w:rsidRPr="00FA4053">
                              <w:t>.</w:t>
                            </w:r>
                          </w:p>
                          <w:p w14:paraId="3FFA22A7" w14:textId="77777777" w:rsidR="00541DD6" w:rsidRDefault="00541DD6" w:rsidP="00831D80">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A1B709" id="_x0000_s1027" type="#_x0000_t202" style="position:absolute;margin-left:-7.85pt;margin-top:-30.2pt;width:41.5pt;height:31.5pt;z-index:251756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" fillcolor="white [3201]" stroked="f" strokeweight=".5pt">
                <v:textbox>
                  <w:txbxContent>
                    <w:p w14:paraId="089B117A" w14:textId="2286E54C" w:rsidR="00541DD6" w:rsidRPr="00FA4053" w:rsidRDefault="00541DD6" w:rsidP="00F2139B">
                      <w:pPr>
                        <w:pStyle w:val="NumeracjaRozdzial"/>
                      </w:pPr>
                      <w:r>
                        <w:t>2</w:t>
                      </w:r>
                      <w:r w:rsidRPr="00FA4053">
                        <w:t>.</w:t>
                      </w:r>
                    </w:p>
                    <w:p w14:paraId="3FFA22A7" w14:textId="77777777" w:rsidR="00541DD6" w:rsidRDefault="00541DD6" w:rsidP="00831D80">
                      <w:pPr>
                        <w:spacing w:after="144"/>
                      </w:pPr>
                    </w:p>
                  </w:txbxContent>
                </v:textbox>
                <w10:wrap anchorx="margin"/>
              </v:shape>
            </w:pict>
          </mc:Fallback>
        </mc:AlternateContent>
      </w:r>
      <w:r w:rsidRPr="00BA061E">
        <w:rPr>
          <w:noProof/>
        </w:rPr>
        <w:drawing>
          <wp:anchor distT="0" distB="0" distL="114300" distR="114300" simplePos="0" relativeHeight="251757568" behindDoc="0" locked="0" layoutInCell="1" allowOverlap="1" wp14:anchorId="7B5989F6" wp14:editId="72DCFA16">
            <wp:simplePos x="0" y="0"/>
            <wp:positionH relativeFrom="column">
              <wp:posOffset>3810</wp:posOffset>
            </wp:positionH>
            <wp:positionV relativeFrom="paragraph">
              <wp:posOffset>0</wp:posOffset>
            </wp:positionV>
            <wp:extent cx="1980000" cy="1080000"/>
            <wp:effectExtent l="0" t="0" r="1270" b="6350"/>
            <wp:wrapThrough wrapText="bothSides">
              <wp:wrapPolygon edited="0">
                <wp:start x="0" y="0"/>
                <wp:lineTo x="0" y="21346"/>
                <wp:lineTo x="21406" y="21346"/>
                <wp:lineTo x="21406" y="0"/>
                <wp:lineTo x="0" y="0"/>
              </wp:wrapPolygon>
            </wp:wrapThrough>
            <wp:docPr id="737513241" name="Obraz 1" descr="Obraz zawierający w pomieszczeniu, rząd, osoba, parlamen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513241" name="Obraz 1" descr="Obraz zawierający w pomieszczeniu, rząd, osoba, parlament&#10;&#10;Opis wygenerowany automatyczni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6FC4" w:rsidRPr="00D52A5E">
        <w:rPr>
          <w:sz w:val="10"/>
          <w:szCs w:val="10"/>
        </w:rPr>
        <w:br/>
      </w:r>
    </w:p>
    <w:p w14:paraId="3DBFC4E2" w14:textId="69389D1B" w:rsidR="00C9384B" w:rsidRPr="00A978B1" w:rsidRDefault="00C9384B" w:rsidP="003F6CA0">
      <w:pPr>
        <w:pStyle w:val="Nagwek2"/>
        <w:rPr>
          <w:rStyle w:val="Nagwek2Znak"/>
          <w:rFonts w:ascii="Calibri" w:hAnsi="Calibri" w:cstheme="majorBidi"/>
          <w:b/>
          <w:sz w:val="26"/>
          <w:szCs w:val="26"/>
        </w:rPr>
      </w:pPr>
      <w:bookmarkStart w:id="19" w:name="_Toc170117968"/>
      <w:r w:rsidRPr="0051049D">
        <w:rPr>
          <w:rStyle w:val="Nagwek2Znak"/>
          <w:b/>
          <w:bCs/>
        </w:rPr>
        <w:t>Interpelacja nr 37331</w:t>
      </w:r>
      <w:r w:rsidR="00A44175" w:rsidRPr="0051049D">
        <w:rPr>
          <w:rStyle w:val="Nagwek2Znak"/>
          <w:b/>
          <w:bCs/>
        </w:rPr>
        <w:t xml:space="preserve"> </w:t>
      </w:r>
      <w:r w:rsidR="00224932" w:rsidRPr="0051049D">
        <w:rPr>
          <w:rStyle w:val="Nagwek2Znak"/>
          <w:b/>
          <w:bCs/>
        </w:rPr>
        <w:t xml:space="preserve">- nieprawidłowości działania Urzędu Patentowego RP </w:t>
      </w:r>
      <w:r w:rsidR="00A978B1" w:rsidRPr="0051049D">
        <w:rPr>
          <w:rStyle w:val="Nagwek2Znak"/>
          <w:b/>
          <w:bCs/>
        </w:rPr>
        <w:br/>
      </w:r>
      <w:r w:rsidR="004166EB" w:rsidRPr="0051049D">
        <w:rPr>
          <w:rStyle w:val="Nagwek2Znak"/>
          <w:b/>
          <w:bCs/>
        </w:rPr>
        <w:t xml:space="preserve">- </w:t>
      </w:r>
      <w:r w:rsidR="0051049D" w:rsidRPr="0051049D">
        <w:t>wytłuszczenia fragmentów tekstu pochodzą od Redakcji</w:t>
      </w:r>
      <w:r w:rsidR="002D02C0" w:rsidRPr="00A978B1">
        <w:rPr>
          <w:rStyle w:val="Nagwek2Znak"/>
          <w:b/>
          <w:bCs/>
        </w:rPr>
        <w:t>:</w:t>
      </w:r>
      <w:bookmarkEnd w:id="19"/>
      <w:r w:rsidR="004166EB" w:rsidRPr="00C6401B">
        <w:rPr>
          <w:rStyle w:val="Nagwek2Znak"/>
          <w:rFonts w:ascii="Calibri" w:hAnsi="Calibri" w:cs="Calibri"/>
          <w:b/>
          <w:bCs/>
        </w:rPr>
        <w:t xml:space="preserve"> </w:t>
      </w:r>
    </w:p>
    <w:p w14:paraId="7472AFB6" w14:textId="77777777" w:rsidR="00224932" w:rsidRDefault="00224932" w:rsidP="00924443">
      <w:pPr>
        <w:spacing w:after="0"/>
        <w:jc w:val="both"/>
        <w:rPr>
          <w:i/>
          <w:iCs/>
          <w:kern w:val="0"/>
          <w:sz w:val="24"/>
          <w:szCs w:val="24"/>
        </w:rPr>
      </w:pPr>
    </w:p>
    <w:p w14:paraId="3EBA5E4B" w14:textId="77777777" w:rsidR="00A978B1" w:rsidRDefault="00A978B1" w:rsidP="00924443">
      <w:pPr>
        <w:spacing w:after="0"/>
        <w:jc w:val="both"/>
        <w:rPr>
          <w:i/>
          <w:iCs/>
          <w:kern w:val="0"/>
          <w:sz w:val="24"/>
          <w:szCs w:val="24"/>
        </w:rPr>
      </w:pPr>
    </w:p>
    <w:p w14:paraId="4F82ADD8" w14:textId="77777777" w:rsidR="00FA39D7" w:rsidRDefault="00FA39D7" w:rsidP="00FA39D7">
      <w:pPr>
        <w:spacing w:after="0" w:line="240" w:lineRule="auto"/>
        <w:jc w:val="center"/>
        <w:rPr>
          <w:b/>
          <w:bCs/>
          <w:kern w:val="0"/>
          <w:sz w:val="24"/>
          <w:szCs w:val="24"/>
        </w:rPr>
      </w:pPr>
      <w:r>
        <w:rPr>
          <w:b/>
          <w:bCs/>
          <w:kern w:val="0"/>
          <w:sz w:val="24"/>
          <w:szCs w:val="24"/>
        </w:rPr>
        <w:t>* * *</w:t>
      </w:r>
    </w:p>
    <w:p w14:paraId="527E39F8" w14:textId="77777777" w:rsidR="00FA39D7" w:rsidRDefault="00FA39D7" w:rsidP="00924443">
      <w:pPr>
        <w:spacing w:after="0"/>
        <w:jc w:val="both"/>
        <w:rPr>
          <w:b/>
          <w:bCs/>
          <w:kern w:val="0"/>
          <w:sz w:val="24"/>
          <w:szCs w:val="24"/>
        </w:rPr>
      </w:pPr>
    </w:p>
    <w:p w14:paraId="60C5FCA8" w14:textId="7DC6E64E" w:rsidR="002346FE" w:rsidRPr="0051049D" w:rsidRDefault="002346FE" w:rsidP="00924443">
      <w:pPr>
        <w:spacing w:after="0"/>
        <w:jc w:val="both"/>
        <w:rPr>
          <w:kern w:val="0"/>
          <w:sz w:val="24"/>
          <w:szCs w:val="24"/>
        </w:rPr>
      </w:pPr>
      <w:r w:rsidRPr="0051049D">
        <w:rPr>
          <w:b/>
          <w:bCs/>
          <w:kern w:val="0"/>
          <w:sz w:val="24"/>
          <w:szCs w:val="24"/>
        </w:rPr>
        <w:t>Zgłaszający:</w:t>
      </w:r>
      <w:r w:rsidR="00D97A25" w:rsidRPr="0051049D">
        <w:rPr>
          <w:kern w:val="0"/>
          <w:sz w:val="24"/>
          <w:szCs w:val="24"/>
        </w:rPr>
        <w:t xml:space="preserve"> </w:t>
      </w:r>
      <w:r w:rsidRPr="0051049D">
        <w:rPr>
          <w:kern w:val="0"/>
          <w:sz w:val="24"/>
          <w:szCs w:val="24"/>
        </w:rPr>
        <w:t xml:space="preserve">Andrzej Szewiński, Piotr Adamowicz, Romuald Ajchler, Tomasz </w:t>
      </w:r>
      <w:proofErr w:type="spellStart"/>
      <w:r w:rsidRPr="0051049D">
        <w:rPr>
          <w:kern w:val="0"/>
          <w:sz w:val="24"/>
          <w:szCs w:val="24"/>
        </w:rPr>
        <w:t>Aniśko</w:t>
      </w:r>
      <w:proofErr w:type="spellEnd"/>
      <w:r w:rsidRPr="0051049D">
        <w:rPr>
          <w:kern w:val="0"/>
          <w:sz w:val="24"/>
          <w:szCs w:val="24"/>
        </w:rPr>
        <w:t xml:space="preserve">, Urszula Augustyn, Władysław Teofil Bartoszewski, Jerzy Borowczak, Piotr Borys, Borys Budka, Małgorzata Chmiel, Janusz Cichoń, Adam </w:t>
      </w:r>
      <w:proofErr w:type="spellStart"/>
      <w:r w:rsidRPr="0051049D">
        <w:rPr>
          <w:kern w:val="0"/>
          <w:sz w:val="24"/>
          <w:szCs w:val="24"/>
        </w:rPr>
        <w:t>Cyrański</w:t>
      </w:r>
      <w:proofErr w:type="spellEnd"/>
      <w:r w:rsidRPr="0051049D">
        <w:rPr>
          <w:kern w:val="0"/>
          <w:sz w:val="24"/>
          <w:szCs w:val="24"/>
        </w:rPr>
        <w:t xml:space="preserve">, Jacek Czerniak, Zofia Czernow, Barbara Dolniak, </w:t>
      </w:r>
      <w:proofErr w:type="spellStart"/>
      <w:r w:rsidRPr="0051049D">
        <w:rPr>
          <w:kern w:val="0"/>
          <w:sz w:val="24"/>
          <w:szCs w:val="24"/>
        </w:rPr>
        <w:t>Waldy</w:t>
      </w:r>
      <w:proofErr w:type="spellEnd"/>
      <w:r w:rsidRPr="0051049D">
        <w:rPr>
          <w:kern w:val="0"/>
          <w:sz w:val="24"/>
          <w:szCs w:val="24"/>
        </w:rPr>
        <w:t xml:space="preserve"> Dzikowski, Monika </w:t>
      </w:r>
      <w:proofErr w:type="spellStart"/>
      <w:r w:rsidRPr="0051049D">
        <w:rPr>
          <w:kern w:val="0"/>
          <w:sz w:val="24"/>
          <w:szCs w:val="24"/>
        </w:rPr>
        <w:t>Falej</w:t>
      </w:r>
      <w:proofErr w:type="spellEnd"/>
      <w:r w:rsidRPr="0051049D">
        <w:rPr>
          <w:kern w:val="0"/>
          <w:sz w:val="24"/>
          <w:szCs w:val="24"/>
        </w:rPr>
        <w:t xml:space="preserve">, Magdalena </w:t>
      </w:r>
      <w:proofErr w:type="spellStart"/>
      <w:r w:rsidRPr="0051049D">
        <w:rPr>
          <w:kern w:val="0"/>
          <w:sz w:val="24"/>
          <w:szCs w:val="24"/>
        </w:rPr>
        <w:t>Filiks</w:t>
      </w:r>
      <w:proofErr w:type="spellEnd"/>
      <w:r w:rsidRPr="0051049D">
        <w:rPr>
          <w:kern w:val="0"/>
          <w:sz w:val="24"/>
          <w:szCs w:val="24"/>
        </w:rPr>
        <w:t xml:space="preserve">, Joanna Frydrych, Krzysztof Gadowski, Aleksandra Gajewska, Kinga Gajewska, Elżbieta Gelert, Hanna </w:t>
      </w:r>
      <w:proofErr w:type="spellStart"/>
      <w:r w:rsidRPr="0051049D">
        <w:rPr>
          <w:kern w:val="0"/>
          <w:sz w:val="24"/>
          <w:szCs w:val="24"/>
        </w:rPr>
        <w:t>Gill</w:t>
      </w:r>
      <w:proofErr w:type="spellEnd"/>
      <w:r w:rsidRPr="0051049D">
        <w:rPr>
          <w:kern w:val="0"/>
          <w:sz w:val="24"/>
          <w:szCs w:val="24"/>
        </w:rPr>
        <w:t xml:space="preserve">-Piątek, Tomasz Głogowski, Marta </w:t>
      </w:r>
      <w:proofErr w:type="spellStart"/>
      <w:r w:rsidRPr="0051049D">
        <w:rPr>
          <w:kern w:val="0"/>
          <w:sz w:val="24"/>
          <w:szCs w:val="24"/>
        </w:rPr>
        <w:t>Golbik</w:t>
      </w:r>
      <w:proofErr w:type="spellEnd"/>
      <w:r w:rsidRPr="0051049D">
        <w:rPr>
          <w:kern w:val="0"/>
          <w:sz w:val="24"/>
          <w:szCs w:val="24"/>
        </w:rPr>
        <w:t xml:space="preserve">, Cezary Grabarczyk, Krzysztof Grabczuk, Michał Gramatyka, Rafał Grupiński, </w:t>
      </w:r>
      <w:proofErr w:type="spellStart"/>
      <w:r w:rsidRPr="0051049D">
        <w:rPr>
          <w:kern w:val="0"/>
          <w:sz w:val="24"/>
          <w:szCs w:val="24"/>
        </w:rPr>
        <w:t>Riad</w:t>
      </w:r>
      <w:proofErr w:type="spellEnd"/>
      <w:r w:rsidRPr="0051049D">
        <w:rPr>
          <w:kern w:val="0"/>
          <w:sz w:val="24"/>
          <w:szCs w:val="24"/>
        </w:rPr>
        <w:t xml:space="preserve"> </w:t>
      </w:r>
      <w:proofErr w:type="spellStart"/>
      <w:r w:rsidRPr="0051049D">
        <w:rPr>
          <w:kern w:val="0"/>
          <w:sz w:val="24"/>
          <w:szCs w:val="24"/>
        </w:rPr>
        <w:t>Haidar</w:t>
      </w:r>
      <w:proofErr w:type="spellEnd"/>
      <w:r w:rsidRPr="0051049D">
        <w:rPr>
          <w:kern w:val="0"/>
          <w:sz w:val="24"/>
          <w:szCs w:val="24"/>
        </w:rPr>
        <w:t xml:space="preserve">, Agnieszka </w:t>
      </w:r>
      <w:proofErr w:type="spellStart"/>
      <w:r w:rsidRPr="0051049D">
        <w:rPr>
          <w:kern w:val="0"/>
          <w:sz w:val="24"/>
          <w:szCs w:val="24"/>
        </w:rPr>
        <w:t>Hanajczyk</w:t>
      </w:r>
      <w:proofErr w:type="spellEnd"/>
      <w:r w:rsidRPr="0051049D">
        <w:rPr>
          <w:kern w:val="0"/>
          <w:sz w:val="24"/>
          <w:szCs w:val="24"/>
        </w:rPr>
        <w:t xml:space="preserve">, Jerzy </w:t>
      </w:r>
      <w:proofErr w:type="spellStart"/>
      <w:r w:rsidRPr="0051049D">
        <w:rPr>
          <w:kern w:val="0"/>
          <w:sz w:val="24"/>
          <w:szCs w:val="24"/>
        </w:rPr>
        <w:t>Hardie</w:t>
      </w:r>
      <w:proofErr w:type="spellEnd"/>
      <w:r w:rsidRPr="0051049D">
        <w:rPr>
          <w:kern w:val="0"/>
          <w:sz w:val="24"/>
          <w:szCs w:val="24"/>
        </w:rPr>
        <w:t xml:space="preserve">-Douglas, Marek </w:t>
      </w:r>
      <w:proofErr w:type="spellStart"/>
      <w:r w:rsidRPr="0051049D">
        <w:rPr>
          <w:kern w:val="0"/>
          <w:sz w:val="24"/>
          <w:szCs w:val="24"/>
        </w:rPr>
        <w:t>Hok</w:t>
      </w:r>
      <w:proofErr w:type="spellEnd"/>
      <w:r w:rsidRPr="0051049D">
        <w:rPr>
          <w:kern w:val="0"/>
          <w:sz w:val="24"/>
          <w:szCs w:val="24"/>
        </w:rPr>
        <w:t xml:space="preserve">, Klaudia </w:t>
      </w:r>
      <w:proofErr w:type="spellStart"/>
      <w:r w:rsidRPr="0051049D">
        <w:rPr>
          <w:kern w:val="0"/>
          <w:sz w:val="24"/>
          <w:szCs w:val="24"/>
        </w:rPr>
        <w:t>Jachira</w:t>
      </w:r>
      <w:proofErr w:type="spellEnd"/>
      <w:r w:rsidRPr="0051049D">
        <w:rPr>
          <w:kern w:val="0"/>
          <w:sz w:val="24"/>
          <w:szCs w:val="24"/>
        </w:rPr>
        <w:t xml:space="preserve">, Maria Małgorzata </w:t>
      </w:r>
      <w:proofErr w:type="spellStart"/>
      <w:r w:rsidRPr="0051049D">
        <w:rPr>
          <w:kern w:val="0"/>
          <w:sz w:val="24"/>
          <w:szCs w:val="24"/>
        </w:rPr>
        <w:t>Janyska</w:t>
      </w:r>
      <w:proofErr w:type="spellEnd"/>
      <w:r w:rsidRPr="0051049D">
        <w:rPr>
          <w:kern w:val="0"/>
          <w:sz w:val="24"/>
          <w:szCs w:val="24"/>
        </w:rPr>
        <w:t xml:space="preserve">, Michał Jaros, Joanna Jaśkowiak, Dariusz Joński, Mieczysław Kasprzak, Marcin </w:t>
      </w:r>
      <w:proofErr w:type="spellStart"/>
      <w:r w:rsidRPr="0051049D">
        <w:rPr>
          <w:kern w:val="0"/>
          <w:sz w:val="24"/>
          <w:szCs w:val="24"/>
        </w:rPr>
        <w:t>Kierwiński</w:t>
      </w:r>
      <w:proofErr w:type="spellEnd"/>
      <w:r w:rsidRPr="0051049D">
        <w:rPr>
          <w:kern w:val="0"/>
          <w:sz w:val="24"/>
          <w:szCs w:val="24"/>
        </w:rPr>
        <w:t xml:space="preserve">, Joanna </w:t>
      </w:r>
      <w:proofErr w:type="spellStart"/>
      <w:r w:rsidRPr="0051049D">
        <w:rPr>
          <w:kern w:val="0"/>
          <w:sz w:val="24"/>
          <w:szCs w:val="24"/>
        </w:rPr>
        <w:t>Kluzik</w:t>
      </w:r>
      <w:proofErr w:type="spellEnd"/>
      <w:r w:rsidRPr="0051049D">
        <w:rPr>
          <w:kern w:val="0"/>
          <w:sz w:val="24"/>
          <w:szCs w:val="24"/>
        </w:rPr>
        <w:t>-Rostkowska, Ewa Kołodziej, Przemysław Koperski, Maciej Kopiec, Tomasz Kostuś, Katarzyna Kotula, Iwona Maria Kozłowska, Michał Krawczyk, Katarzyna Kretkowska, Robert Kropiwnicki, Wojciech Król, Paweł Krutul, Marek Krząkała, Henryka Krzywonos</w:t>
      </w:r>
      <w:r w:rsidR="00E410EF" w:rsidRPr="0051049D">
        <w:rPr>
          <w:kern w:val="0"/>
          <w:sz w:val="24"/>
          <w:szCs w:val="24"/>
        </w:rPr>
        <w:t xml:space="preserve"> </w:t>
      </w:r>
      <w:r w:rsidRPr="0051049D">
        <w:rPr>
          <w:kern w:val="0"/>
          <w:sz w:val="24"/>
          <w:szCs w:val="24"/>
        </w:rPr>
        <w:t xml:space="preserve">Strycharska, Anita Kucharska-Dziedzic, Marcin Kulasek, Dariusz Kurzawa, Robert Kwiatkowski, Gabriela Lenartowicz, Katarzyna </w:t>
      </w:r>
      <w:proofErr w:type="spellStart"/>
      <w:r w:rsidRPr="0051049D">
        <w:rPr>
          <w:kern w:val="0"/>
          <w:sz w:val="24"/>
          <w:szCs w:val="24"/>
        </w:rPr>
        <w:t>Lubnauer</w:t>
      </w:r>
      <w:proofErr w:type="spellEnd"/>
      <w:r w:rsidRPr="0051049D">
        <w:rPr>
          <w:kern w:val="0"/>
          <w:sz w:val="24"/>
          <w:szCs w:val="24"/>
        </w:rPr>
        <w:t xml:space="preserve">, Artur Łącki, Magdalena </w:t>
      </w:r>
      <w:proofErr w:type="spellStart"/>
      <w:r w:rsidRPr="0051049D">
        <w:rPr>
          <w:kern w:val="0"/>
          <w:sz w:val="24"/>
          <w:szCs w:val="24"/>
        </w:rPr>
        <w:t>Łośko</w:t>
      </w:r>
      <w:proofErr w:type="spellEnd"/>
      <w:r w:rsidRPr="0051049D">
        <w:rPr>
          <w:kern w:val="0"/>
          <w:sz w:val="24"/>
          <w:szCs w:val="24"/>
        </w:rPr>
        <w:t xml:space="preserve">, Jagna </w:t>
      </w:r>
      <w:proofErr w:type="spellStart"/>
      <w:r w:rsidRPr="0051049D">
        <w:rPr>
          <w:kern w:val="0"/>
          <w:sz w:val="24"/>
          <w:szCs w:val="24"/>
        </w:rPr>
        <w:t>Marczułajtis</w:t>
      </w:r>
      <w:proofErr w:type="spellEnd"/>
      <w:r w:rsidRPr="0051049D">
        <w:rPr>
          <w:kern w:val="0"/>
          <w:sz w:val="24"/>
          <w:szCs w:val="24"/>
        </w:rPr>
        <w:t xml:space="preserve">-Walczak, Rajmund Miller, Aleksander Miszalski, Izabela Katarzyna </w:t>
      </w:r>
      <w:proofErr w:type="spellStart"/>
      <w:r w:rsidRPr="0051049D">
        <w:rPr>
          <w:kern w:val="0"/>
          <w:sz w:val="24"/>
          <w:szCs w:val="24"/>
        </w:rPr>
        <w:t>Mrzygłocka</w:t>
      </w:r>
      <w:proofErr w:type="spellEnd"/>
      <w:r w:rsidRPr="0051049D">
        <w:rPr>
          <w:kern w:val="0"/>
          <w:sz w:val="24"/>
          <w:szCs w:val="24"/>
        </w:rPr>
        <w:t xml:space="preserve">, Grzegorz Napieralski, Sławomir Neumann, Dorota Niedziela, Małgorzata Niemczyk, Sławomir </w:t>
      </w:r>
      <w:proofErr w:type="spellStart"/>
      <w:r w:rsidRPr="0051049D">
        <w:rPr>
          <w:kern w:val="0"/>
          <w:sz w:val="24"/>
          <w:szCs w:val="24"/>
        </w:rPr>
        <w:t>Nitras</w:t>
      </w:r>
      <w:proofErr w:type="spellEnd"/>
      <w:r w:rsidRPr="0051049D">
        <w:rPr>
          <w:kern w:val="0"/>
          <w:sz w:val="24"/>
          <w:szCs w:val="24"/>
        </w:rPr>
        <w:t xml:space="preserve">, Barbara Nowacka, Tomasz Piotr Nowak, Wanda Nowicka, Mirosława </w:t>
      </w:r>
      <w:proofErr w:type="spellStart"/>
      <w:r w:rsidRPr="0051049D">
        <w:rPr>
          <w:kern w:val="0"/>
          <w:sz w:val="24"/>
          <w:szCs w:val="24"/>
        </w:rPr>
        <w:t>Nykiel</w:t>
      </w:r>
      <w:proofErr w:type="spellEnd"/>
      <w:r w:rsidRPr="0051049D">
        <w:rPr>
          <w:kern w:val="0"/>
          <w:sz w:val="24"/>
          <w:szCs w:val="24"/>
        </w:rPr>
        <w:t xml:space="preserve">, Robert </w:t>
      </w:r>
      <w:proofErr w:type="spellStart"/>
      <w:r w:rsidRPr="0051049D">
        <w:rPr>
          <w:kern w:val="0"/>
          <w:sz w:val="24"/>
          <w:szCs w:val="24"/>
        </w:rPr>
        <w:t>Obaz</w:t>
      </w:r>
      <w:proofErr w:type="spellEnd"/>
      <w:r w:rsidRPr="0051049D">
        <w:rPr>
          <w:kern w:val="0"/>
          <w:sz w:val="24"/>
          <w:szCs w:val="24"/>
        </w:rPr>
        <w:t>, Marzena Okła-</w:t>
      </w:r>
      <w:proofErr w:type="spellStart"/>
      <w:r w:rsidRPr="0051049D">
        <w:rPr>
          <w:kern w:val="0"/>
          <w:sz w:val="24"/>
          <w:szCs w:val="24"/>
        </w:rPr>
        <w:t>Drewnowicz</w:t>
      </w:r>
      <w:proofErr w:type="spellEnd"/>
      <w:r w:rsidRPr="0051049D">
        <w:rPr>
          <w:kern w:val="0"/>
          <w:sz w:val="24"/>
          <w:szCs w:val="24"/>
        </w:rPr>
        <w:t xml:space="preserve">, Tomasz </w:t>
      </w:r>
      <w:proofErr w:type="spellStart"/>
      <w:r w:rsidRPr="0051049D">
        <w:rPr>
          <w:kern w:val="0"/>
          <w:sz w:val="24"/>
          <w:szCs w:val="24"/>
        </w:rPr>
        <w:t>Olichwer</w:t>
      </w:r>
      <w:proofErr w:type="spellEnd"/>
      <w:r w:rsidRPr="0051049D">
        <w:rPr>
          <w:kern w:val="0"/>
          <w:sz w:val="24"/>
          <w:szCs w:val="24"/>
        </w:rPr>
        <w:t xml:space="preserve">, Paweł Olszewski, Katarzyna </w:t>
      </w:r>
      <w:proofErr w:type="spellStart"/>
      <w:r w:rsidRPr="0051049D">
        <w:rPr>
          <w:kern w:val="0"/>
          <w:sz w:val="24"/>
          <w:szCs w:val="24"/>
        </w:rPr>
        <w:t>Osos</w:t>
      </w:r>
      <w:proofErr w:type="spellEnd"/>
      <w:r w:rsidRPr="0051049D">
        <w:rPr>
          <w:kern w:val="0"/>
          <w:sz w:val="24"/>
          <w:szCs w:val="24"/>
        </w:rPr>
        <w:t xml:space="preserve">, Paweł </w:t>
      </w:r>
      <w:proofErr w:type="spellStart"/>
      <w:r w:rsidRPr="0051049D">
        <w:rPr>
          <w:kern w:val="0"/>
          <w:sz w:val="24"/>
          <w:szCs w:val="24"/>
        </w:rPr>
        <w:t>Papke</w:t>
      </w:r>
      <w:proofErr w:type="spellEnd"/>
      <w:r w:rsidRPr="0051049D">
        <w:rPr>
          <w:kern w:val="0"/>
          <w:sz w:val="24"/>
          <w:szCs w:val="24"/>
        </w:rPr>
        <w:t xml:space="preserve">, Karolina </w:t>
      </w:r>
      <w:proofErr w:type="spellStart"/>
      <w:r w:rsidRPr="0051049D">
        <w:rPr>
          <w:kern w:val="0"/>
          <w:sz w:val="24"/>
          <w:szCs w:val="24"/>
        </w:rPr>
        <w:t>Pawliczak</w:t>
      </w:r>
      <w:proofErr w:type="spellEnd"/>
      <w:r w:rsidRPr="0051049D">
        <w:rPr>
          <w:kern w:val="0"/>
          <w:sz w:val="24"/>
          <w:szCs w:val="24"/>
        </w:rPr>
        <w:t xml:space="preserve">, Małgorzata Pępek, Krzysztof Piątkowski, Sławomir Jan Piechota, Kazimierz </w:t>
      </w:r>
      <w:proofErr w:type="spellStart"/>
      <w:r w:rsidRPr="0051049D">
        <w:rPr>
          <w:kern w:val="0"/>
          <w:sz w:val="24"/>
          <w:szCs w:val="24"/>
        </w:rPr>
        <w:t>Plocke</w:t>
      </w:r>
      <w:proofErr w:type="spellEnd"/>
      <w:r w:rsidRPr="0051049D">
        <w:rPr>
          <w:kern w:val="0"/>
          <w:sz w:val="24"/>
          <w:szCs w:val="24"/>
        </w:rPr>
        <w:t xml:space="preserve">, Agnieszka </w:t>
      </w:r>
      <w:proofErr w:type="spellStart"/>
      <w:r w:rsidRPr="0051049D">
        <w:rPr>
          <w:kern w:val="0"/>
          <w:sz w:val="24"/>
          <w:szCs w:val="24"/>
        </w:rPr>
        <w:t>Pomaska</w:t>
      </w:r>
      <w:proofErr w:type="spellEnd"/>
      <w:r w:rsidRPr="0051049D">
        <w:rPr>
          <w:kern w:val="0"/>
          <w:sz w:val="24"/>
          <w:szCs w:val="24"/>
        </w:rPr>
        <w:t xml:space="preserve">, Paweł Poncyljusz, Małgorzata Prokop-Paczkowska, Jacek Protas, Jacek Protasiewicz, Ireneusz Raś, Monika Rosa, Grzegorz Rusiecki, Jakub </w:t>
      </w:r>
      <w:proofErr w:type="spellStart"/>
      <w:r w:rsidRPr="0051049D">
        <w:rPr>
          <w:kern w:val="0"/>
          <w:sz w:val="24"/>
          <w:szCs w:val="24"/>
        </w:rPr>
        <w:t>Rutnicki</w:t>
      </w:r>
      <w:proofErr w:type="spellEnd"/>
      <w:r w:rsidRPr="0051049D">
        <w:rPr>
          <w:kern w:val="0"/>
          <w:sz w:val="24"/>
          <w:szCs w:val="24"/>
        </w:rPr>
        <w:t xml:space="preserve">, Marek </w:t>
      </w:r>
      <w:proofErr w:type="spellStart"/>
      <w:r w:rsidRPr="0051049D">
        <w:rPr>
          <w:kern w:val="0"/>
          <w:sz w:val="24"/>
          <w:szCs w:val="24"/>
        </w:rPr>
        <w:t>Rząsa</w:t>
      </w:r>
      <w:proofErr w:type="spellEnd"/>
      <w:r w:rsidRPr="0051049D">
        <w:rPr>
          <w:kern w:val="0"/>
          <w:sz w:val="24"/>
          <w:szCs w:val="24"/>
        </w:rPr>
        <w:t xml:space="preserve">, Wojciech </w:t>
      </w:r>
      <w:proofErr w:type="spellStart"/>
      <w:r w:rsidRPr="0051049D">
        <w:rPr>
          <w:kern w:val="0"/>
          <w:sz w:val="24"/>
          <w:szCs w:val="24"/>
        </w:rPr>
        <w:t>Saługa</w:t>
      </w:r>
      <w:proofErr w:type="spellEnd"/>
      <w:r w:rsidRPr="0051049D">
        <w:rPr>
          <w:kern w:val="0"/>
          <w:sz w:val="24"/>
          <w:szCs w:val="24"/>
        </w:rPr>
        <w:t xml:space="preserve">, Małgorzata Sekuła-Szmajdzińska, Joanna Senyszyn, Krystyna </w:t>
      </w:r>
      <w:proofErr w:type="spellStart"/>
      <w:r w:rsidRPr="0051049D">
        <w:rPr>
          <w:kern w:val="0"/>
          <w:sz w:val="24"/>
          <w:szCs w:val="24"/>
        </w:rPr>
        <w:t>Sibińska</w:t>
      </w:r>
      <w:proofErr w:type="spellEnd"/>
      <w:r w:rsidRPr="0051049D">
        <w:rPr>
          <w:kern w:val="0"/>
          <w:sz w:val="24"/>
          <w:szCs w:val="24"/>
        </w:rPr>
        <w:t xml:space="preserve">, Tomasz Siemoniak, Bartłomiej Sienkiewicz, Krystyna Skowrońska, Waldemar </w:t>
      </w:r>
      <w:proofErr w:type="spellStart"/>
      <w:r w:rsidRPr="0051049D">
        <w:rPr>
          <w:kern w:val="0"/>
          <w:sz w:val="24"/>
          <w:szCs w:val="24"/>
        </w:rPr>
        <w:t>Sługocki</w:t>
      </w:r>
      <w:proofErr w:type="spellEnd"/>
      <w:r w:rsidRPr="0051049D">
        <w:rPr>
          <w:kern w:val="0"/>
          <w:sz w:val="24"/>
          <w:szCs w:val="24"/>
        </w:rPr>
        <w:t xml:space="preserve">, Bogusław Sonik, Marek Sowa, Anita Sowińska, Franciszek </w:t>
      </w:r>
      <w:proofErr w:type="spellStart"/>
      <w:r w:rsidRPr="0051049D">
        <w:rPr>
          <w:kern w:val="0"/>
          <w:sz w:val="24"/>
          <w:szCs w:val="24"/>
        </w:rPr>
        <w:t>Sterczewski</w:t>
      </w:r>
      <w:proofErr w:type="spellEnd"/>
      <w:r w:rsidRPr="0051049D">
        <w:rPr>
          <w:kern w:val="0"/>
          <w:sz w:val="24"/>
          <w:szCs w:val="24"/>
        </w:rPr>
        <w:t xml:space="preserve">, Mirosław Suchoń, Michał Szczerba, Adam Szłapka, Jan Szopiński, Krystyna </w:t>
      </w:r>
      <w:proofErr w:type="spellStart"/>
      <w:r w:rsidRPr="0051049D">
        <w:rPr>
          <w:kern w:val="0"/>
          <w:sz w:val="24"/>
          <w:szCs w:val="24"/>
        </w:rPr>
        <w:t>Szumilas</w:t>
      </w:r>
      <w:proofErr w:type="spellEnd"/>
      <w:r w:rsidRPr="0051049D">
        <w:rPr>
          <w:kern w:val="0"/>
          <w:sz w:val="24"/>
          <w:szCs w:val="24"/>
        </w:rPr>
        <w:t xml:space="preserve">, Iwona Śledzińska-Katarasińska, Tadeusz Tomaszewski, Małgorzata Tracz, Robert Tyszkiewicz, Katarzyna </w:t>
      </w:r>
      <w:proofErr w:type="spellStart"/>
      <w:r w:rsidRPr="0051049D">
        <w:rPr>
          <w:kern w:val="0"/>
          <w:sz w:val="24"/>
          <w:szCs w:val="24"/>
        </w:rPr>
        <w:t>Ueberhan</w:t>
      </w:r>
      <w:proofErr w:type="spellEnd"/>
      <w:r w:rsidRPr="0051049D">
        <w:rPr>
          <w:kern w:val="0"/>
          <w:sz w:val="24"/>
          <w:szCs w:val="24"/>
        </w:rPr>
        <w:t xml:space="preserve">, Jarosław Urbaniak, Jarosław Wałęsa, Marta Wcisło, Monika Wielichowska, Mariusz Witczak, Anna Wojciechowska, Witold Zembaczyński, Piotr Benedykt Zientarski, Tomasz Zimoch, Tadeusz </w:t>
      </w:r>
      <w:proofErr w:type="spellStart"/>
      <w:r w:rsidRPr="0051049D">
        <w:rPr>
          <w:kern w:val="0"/>
          <w:sz w:val="24"/>
          <w:szCs w:val="24"/>
        </w:rPr>
        <w:t>Zwiefka</w:t>
      </w:r>
      <w:proofErr w:type="spellEnd"/>
      <w:r w:rsidRPr="0051049D">
        <w:rPr>
          <w:kern w:val="0"/>
          <w:sz w:val="24"/>
          <w:szCs w:val="24"/>
        </w:rPr>
        <w:t>, Paweł Zalewski</w:t>
      </w:r>
    </w:p>
    <w:p w14:paraId="4A8887EF" w14:textId="0ED87617" w:rsidR="002346FE" w:rsidRPr="00E03B79" w:rsidRDefault="002346FE" w:rsidP="00924443">
      <w:pPr>
        <w:spacing w:after="0"/>
        <w:jc w:val="both"/>
        <w:rPr>
          <w:b/>
          <w:bCs/>
          <w:color w:val="C00000"/>
          <w:sz w:val="24"/>
          <w:szCs w:val="24"/>
        </w:rPr>
      </w:pPr>
      <w:r w:rsidRPr="00E03B79">
        <w:rPr>
          <w:b/>
          <w:bCs/>
          <w:kern w:val="0"/>
          <w:sz w:val="24"/>
          <w:szCs w:val="24"/>
        </w:rPr>
        <w:t xml:space="preserve">Data wpływu: </w:t>
      </w:r>
      <w:r w:rsidRPr="00E03B79">
        <w:rPr>
          <w:kern w:val="0"/>
          <w:sz w:val="24"/>
          <w:szCs w:val="24"/>
        </w:rPr>
        <w:t>11-11-2022</w:t>
      </w:r>
    </w:p>
    <w:p w14:paraId="00F0E7C0" w14:textId="77777777" w:rsidR="00C9384B" w:rsidRPr="00E03B79" w:rsidRDefault="00C9384B" w:rsidP="00C9384B">
      <w:pPr>
        <w:pStyle w:val="int-title"/>
        <w:shd w:val="clear" w:color="auto" w:fill="FFFFFF"/>
        <w:spacing w:before="0" w:beforeAutospacing="0" w:after="0" w:afterAutospacing="0"/>
        <w:rPr>
          <w:rFonts w:asciiTheme="minorHAnsi" w:hAnsiTheme="minorHAnsi" w:cstheme="minorHAnsi"/>
          <w:b/>
          <w:bCs/>
        </w:rPr>
      </w:pPr>
    </w:p>
    <w:p w14:paraId="711D04EF" w14:textId="77777777" w:rsidR="00C9384B" w:rsidRPr="00E03B79" w:rsidRDefault="00C9384B" w:rsidP="00060D64">
      <w:pPr>
        <w:pStyle w:val="NormalnyWeb"/>
        <w:shd w:val="clear" w:color="auto" w:fill="FFFFFF"/>
        <w:spacing w:before="0" w:beforeAutospacing="0" w:after="0" w:afterAutospacing="0"/>
        <w:ind w:firstLine="567"/>
        <w:rPr>
          <w:rFonts w:asciiTheme="minorHAnsi" w:hAnsiTheme="minorHAnsi" w:cstheme="minorHAnsi"/>
          <w:i/>
          <w:iCs/>
        </w:rPr>
      </w:pPr>
      <w:r w:rsidRPr="00E03B79">
        <w:rPr>
          <w:rFonts w:asciiTheme="minorHAnsi" w:hAnsiTheme="minorHAnsi" w:cstheme="minorHAnsi"/>
          <w:i/>
          <w:iCs/>
        </w:rPr>
        <w:t>Szanowny Panie Ministrze!</w:t>
      </w:r>
    </w:p>
    <w:p w14:paraId="01533A94" w14:textId="77777777" w:rsidR="00C9384B" w:rsidRPr="00E03B79" w:rsidRDefault="00C9384B" w:rsidP="00060D64">
      <w:pPr>
        <w:pStyle w:val="NormalnyWeb"/>
        <w:shd w:val="clear" w:color="auto" w:fill="FFFFFF"/>
        <w:spacing w:before="0" w:beforeAutospacing="0" w:after="0" w:afterAutospacing="0"/>
        <w:ind w:firstLine="567"/>
        <w:rPr>
          <w:rFonts w:asciiTheme="minorHAnsi" w:hAnsiTheme="minorHAnsi" w:cstheme="minorHAnsi"/>
          <w:sz w:val="14"/>
          <w:szCs w:val="14"/>
        </w:rPr>
      </w:pPr>
    </w:p>
    <w:p w14:paraId="70FAF14A" w14:textId="77777777" w:rsidR="00C9384B" w:rsidRPr="00E03B79" w:rsidRDefault="00C9384B" w:rsidP="00060D64">
      <w:pPr>
        <w:pStyle w:val="NormalnyWeb"/>
        <w:shd w:val="clear" w:color="auto" w:fill="FFFFFF"/>
        <w:spacing w:before="0" w:beforeAutospacing="0" w:after="0" w:afterAutospacing="0"/>
        <w:ind w:firstLine="567"/>
        <w:jc w:val="both"/>
        <w:rPr>
          <w:rFonts w:asciiTheme="minorHAnsi" w:hAnsiTheme="minorHAnsi" w:cstheme="minorHAnsi"/>
        </w:rPr>
      </w:pPr>
      <w:r w:rsidRPr="00E03B79">
        <w:rPr>
          <w:rFonts w:asciiTheme="minorHAnsi" w:hAnsiTheme="minorHAnsi" w:cstheme="minorHAnsi"/>
        </w:rPr>
        <w:t>W Ministerstwie Rozwoju i Technologii prowadzone są obecnie prace nad nową ustawą Prawo własności przemysłowej, druk UD263. Osoby, które wyraźnie uczestniczyły w opracowaniu tego projektu i które pozytywnie wypowiadają się na jego temat w mediach, nie dostrzegają równocześnie nieprawidłowości działania Urzędu Patentowego RP i nie potrafią zadbać o jego prawidłowe funkcjonowanie. Wskazują na to liczne przykłady, z których przedstawiono tu tylko trzy:</w:t>
      </w:r>
    </w:p>
    <w:p w14:paraId="6607A68F" w14:textId="77777777" w:rsidR="00C9384B" w:rsidRPr="00E03B79"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4E8D98EF" w14:textId="53EB1A14" w:rsidR="00C9384B" w:rsidRPr="00E03B79" w:rsidRDefault="00C9384B" w:rsidP="001F6BE3">
      <w:pPr>
        <w:pStyle w:val="NormalnyWeb"/>
        <w:numPr>
          <w:ilvl w:val="0"/>
          <w:numId w:val="41"/>
        </w:numPr>
        <w:shd w:val="clear" w:color="auto" w:fill="FFFFFF"/>
        <w:spacing w:before="0" w:beforeAutospacing="0" w:after="0" w:afterAutospacing="0"/>
        <w:ind w:left="567" w:hanging="425"/>
        <w:jc w:val="both"/>
        <w:rPr>
          <w:rFonts w:asciiTheme="minorHAnsi" w:hAnsiTheme="minorHAnsi" w:cstheme="minorHAnsi"/>
        </w:rPr>
      </w:pPr>
      <w:r w:rsidRPr="00BA061E">
        <w:rPr>
          <w:rFonts w:asciiTheme="minorHAnsi" w:hAnsiTheme="minorHAnsi" w:cstheme="minorHAnsi"/>
          <w:b/>
          <w:bCs/>
        </w:rPr>
        <w:lastRenderedPageBreak/>
        <w:t>Niestosowanie</w:t>
      </w:r>
      <w:r w:rsidRPr="00E03B79">
        <w:rPr>
          <w:rFonts w:asciiTheme="minorHAnsi" w:hAnsiTheme="minorHAnsi" w:cstheme="minorHAnsi"/>
        </w:rPr>
        <w:t xml:space="preserve"> przez </w:t>
      </w:r>
      <w:r w:rsidRPr="00BA061E">
        <w:rPr>
          <w:rFonts w:asciiTheme="minorHAnsi" w:hAnsiTheme="minorHAnsi" w:cstheme="minorHAnsi"/>
          <w:b/>
          <w:bCs/>
        </w:rPr>
        <w:t>Urząd Patentowy RP</w:t>
      </w:r>
      <w:r w:rsidRPr="00E03B79">
        <w:rPr>
          <w:rFonts w:asciiTheme="minorHAnsi" w:hAnsiTheme="minorHAnsi" w:cstheme="minorHAnsi"/>
        </w:rPr>
        <w:t xml:space="preserve"> podstawowych zasad i przepisów wynikających z treści </w:t>
      </w:r>
      <w:r w:rsidRPr="00BA061E">
        <w:rPr>
          <w:rFonts w:asciiTheme="minorHAnsi" w:hAnsiTheme="minorHAnsi" w:cstheme="minorHAnsi"/>
          <w:b/>
          <w:bCs/>
        </w:rPr>
        <w:t>Kodeksu postępowania administracyjnego</w:t>
      </w:r>
      <w:r w:rsidRPr="00E03B79">
        <w:rPr>
          <w:rFonts w:asciiTheme="minorHAnsi" w:hAnsiTheme="minorHAnsi" w:cstheme="minorHAnsi"/>
        </w:rPr>
        <w:t>:</w:t>
      </w:r>
    </w:p>
    <w:p w14:paraId="2930F2A0" w14:textId="77777777" w:rsidR="00C9384B" w:rsidRPr="00CE1227" w:rsidRDefault="00C9384B" w:rsidP="00C9384B">
      <w:pPr>
        <w:pStyle w:val="NormalnyWeb"/>
        <w:shd w:val="clear" w:color="auto" w:fill="FFFFFF"/>
        <w:spacing w:before="0" w:beforeAutospacing="0" w:after="0" w:afterAutospacing="0"/>
        <w:ind w:left="720"/>
        <w:jc w:val="both"/>
        <w:rPr>
          <w:rFonts w:asciiTheme="minorHAnsi" w:hAnsiTheme="minorHAnsi" w:cstheme="minorHAnsi"/>
          <w:sz w:val="10"/>
          <w:szCs w:val="10"/>
        </w:rPr>
      </w:pPr>
    </w:p>
    <w:p w14:paraId="55D8A9E2" w14:textId="4616A229" w:rsidR="00C9384B" w:rsidRPr="00E03B79" w:rsidRDefault="00C9384B" w:rsidP="001F6BE3">
      <w:pPr>
        <w:pStyle w:val="NormalnyWeb"/>
        <w:numPr>
          <w:ilvl w:val="0"/>
          <w:numId w:val="40"/>
        </w:numPr>
        <w:shd w:val="clear" w:color="auto" w:fill="FFFFFF"/>
        <w:spacing w:before="0" w:beforeAutospacing="0" w:after="0" w:afterAutospacing="0"/>
        <w:ind w:left="567" w:hanging="141"/>
        <w:jc w:val="both"/>
        <w:rPr>
          <w:rFonts w:asciiTheme="minorHAnsi" w:hAnsiTheme="minorHAnsi" w:cstheme="minorHAnsi"/>
        </w:rPr>
      </w:pPr>
      <w:r w:rsidRPr="00E03B79">
        <w:rPr>
          <w:rFonts w:asciiTheme="minorHAnsi" w:hAnsiTheme="minorHAnsi" w:cstheme="minorHAnsi"/>
        </w:rPr>
        <w:t xml:space="preserve">z Urzędu Patentowego RP kierowane są do zgłaszających wezwania do dostarczenia przez zgłaszających zaświadczeń (wezwania wysyłane są przez </w:t>
      </w:r>
      <w:r w:rsidR="00CE1227">
        <w:rPr>
          <w:rFonts w:asciiTheme="minorHAnsi" w:hAnsiTheme="minorHAnsi" w:cstheme="minorHAnsi"/>
        </w:rPr>
        <w:t>U</w:t>
      </w:r>
      <w:r w:rsidRPr="00E03B79">
        <w:rPr>
          <w:rFonts w:asciiTheme="minorHAnsi" w:hAnsiTheme="minorHAnsi" w:cstheme="minorHAnsi"/>
        </w:rPr>
        <w:t xml:space="preserve">rząd także niezależnie od zagrożeń i utrudnień wynikających ze stanu pandemii COVID-19), choć </w:t>
      </w:r>
      <w:r w:rsidR="00CE1227">
        <w:rPr>
          <w:rFonts w:asciiTheme="minorHAnsi" w:hAnsiTheme="minorHAnsi" w:cstheme="minorHAnsi"/>
        </w:rPr>
        <w:t>U</w:t>
      </w:r>
      <w:r w:rsidRPr="00E03B79">
        <w:rPr>
          <w:rFonts w:asciiTheme="minorHAnsi" w:hAnsiTheme="minorHAnsi" w:cstheme="minorHAnsi"/>
        </w:rPr>
        <w:t>rząd nie jest uprawniony do żądania przedkładania dokumentów, do których ma samodzielnie zagwarantowany ustawowo dostęp, np. skierowane zostało „</w:t>
      </w:r>
      <w:r w:rsidRPr="00E03B79">
        <w:rPr>
          <w:rFonts w:asciiTheme="minorHAnsi" w:hAnsiTheme="minorHAnsi" w:cstheme="minorHAnsi"/>
          <w:i/>
        </w:rPr>
        <w:t>Wezwanie do usunięcia braków formalnych</w:t>
      </w:r>
      <w:r w:rsidRPr="00E03B79">
        <w:rPr>
          <w:rFonts w:asciiTheme="minorHAnsi" w:hAnsiTheme="minorHAnsi" w:cstheme="minorHAnsi"/>
        </w:rPr>
        <w:t>” poprzez „</w:t>
      </w:r>
      <w:r w:rsidRPr="00E03B79">
        <w:rPr>
          <w:rFonts w:asciiTheme="minorHAnsi" w:hAnsiTheme="minorHAnsi" w:cstheme="minorHAnsi"/>
          <w:i/>
        </w:rPr>
        <w:t>nadesłanie pełnego odpisu z właściwego rejestru przedsiębiorców wnioskodawcy albo jego uwierzytelnionej kopii</w:t>
      </w:r>
      <w:r w:rsidRPr="00E03B79">
        <w:rPr>
          <w:rFonts w:asciiTheme="minorHAnsi" w:hAnsiTheme="minorHAnsi" w:cstheme="minorHAnsi"/>
        </w:rPr>
        <w:t>”,</w:t>
      </w:r>
    </w:p>
    <w:p w14:paraId="73FA210F" w14:textId="77777777" w:rsidR="00C9384B" w:rsidRPr="00E03B79" w:rsidRDefault="00C9384B" w:rsidP="00C17704">
      <w:pPr>
        <w:pStyle w:val="NormalnyWeb"/>
        <w:shd w:val="clear" w:color="auto" w:fill="FFFFFF"/>
        <w:spacing w:before="0" w:beforeAutospacing="0" w:after="0" w:afterAutospacing="0"/>
        <w:ind w:left="851" w:hanging="284"/>
        <w:jc w:val="both"/>
        <w:rPr>
          <w:rFonts w:asciiTheme="minorHAnsi" w:hAnsiTheme="minorHAnsi" w:cstheme="minorHAnsi"/>
          <w:sz w:val="6"/>
          <w:szCs w:val="6"/>
        </w:rPr>
      </w:pPr>
    </w:p>
    <w:p w14:paraId="5DD3341C" w14:textId="370B834E" w:rsidR="00C9384B" w:rsidRPr="00E03B79" w:rsidRDefault="00C9384B" w:rsidP="001F6BE3">
      <w:pPr>
        <w:pStyle w:val="NormalnyWeb"/>
        <w:numPr>
          <w:ilvl w:val="0"/>
          <w:numId w:val="40"/>
        </w:numPr>
        <w:shd w:val="clear" w:color="auto" w:fill="FFFFFF"/>
        <w:spacing w:before="0" w:beforeAutospacing="0" w:after="0" w:afterAutospacing="0"/>
        <w:ind w:left="567" w:hanging="141"/>
        <w:jc w:val="both"/>
        <w:rPr>
          <w:rFonts w:asciiTheme="minorHAnsi" w:hAnsiTheme="minorHAnsi" w:cstheme="minorHAnsi"/>
        </w:rPr>
      </w:pPr>
      <w:r w:rsidRPr="00E03B79">
        <w:rPr>
          <w:rFonts w:asciiTheme="minorHAnsi" w:hAnsiTheme="minorHAnsi" w:cstheme="minorHAnsi"/>
        </w:rPr>
        <w:t xml:space="preserve">uważamy, że </w:t>
      </w:r>
      <w:r w:rsidR="00C17704" w:rsidRPr="00E03B79">
        <w:rPr>
          <w:rFonts w:asciiTheme="minorHAnsi" w:hAnsiTheme="minorHAnsi" w:cstheme="minorHAnsi"/>
        </w:rPr>
        <w:t>U</w:t>
      </w:r>
      <w:r w:rsidRPr="00E03B79">
        <w:rPr>
          <w:rFonts w:asciiTheme="minorHAnsi" w:hAnsiTheme="minorHAnsi" w:cstheme="minorHAnsi"/>
        </w:rPr>
        <w:t xml:space="preserve">rząd w sposób niepotrzebny komplikuje prowadzone przez siebie postępowania, ponieważ w przypadku ww. wezwań ma zastosowanie zasada określona w </w:t>
      </w:r>
      <w:r w:rsidRPr="00CE1227">
        <w:rPr>
          <w:rFonts w:asciiTheme="minorHAnsi" w:hAnsiTheme="minorHAnsi" w:cstheme="minorHAnsi"/>
          <w:b/>
          <w:bCs/>
        </w:rPr>
        <w:t>art. 4 ust. 4a</w:t>
      </w:r>
      <w:r w:rsidRPr="00E03B79">
        <w:rPr>
          <w:rFonts w:asciiTheme="minorHAnsi" w:hAnsiTheme="minorHAnsi" w:cstheme="minorHAnsi"/>
        </w:rPr>
        <w:t xml:space="preserve"> i </w:t>
      </w:r>
      <w:r w:rsidRPr="00CE1227">
        <w:rPr>
          <w:rFonts w:asciiTheme="minorHAnsi" w:hAnsiTheme="minorHAnsi" w:cstheme="minorHAnsi"/>
          <w:b/>
          <w:bCs/>
        </w:rPr>
        <w:t>ust. 4aa</w:t>
      </w:r>
      <w:r w:rsidRPr="00E03B79">
        <w:rPr>
          <w:rFonts w:asciiTheme="minorHAnsi" w:hAnsiTheme="minorHAnsi" w:cstheme="minorHAnsi"/>
        </w:rPr>
        <w:t xml:space="preserve"> ustawy z dnia 20 sierpnia 1997 r. </w:t>
      </w:r>
      <w:r w:rsidRPr="00CE1227">
        <w:rPr>
          <w:rFonts w:asciiTheme="minorHAnsi" w:hAnsiTheme="minorHAnsi" w:cstheme="minorHAnsi"/>
          <w:b/>
          <w:bCs/>
        </w:rPr>
        <w:t>o Krajowym Rejestrze Sądowym</w:t>
      </w:r>
      <w:r w:rsidRPr="00E03B79">
        <w:rPr>
          <w:rFonts w:asciiTheme="minorHAnsi" w:hAnsiTheme="minorHAnsi" w:cstheme="minorHAnsi"/>
        </w:rPr>
        <w:t xml:space="preserve"> (Dz. U. z 2022 r. poz. 1683) oraz zakaz wynikający z (pomijanego przez urząd) </w:t>
      </w:r>
      <w:r w:rsidRPr="00CE1227">
        <w:rPr>
          <w:rFonts w:asciiTheme="minorHAnsi" w:hAnsiTheme="minorHAnsi" w:cstheme="minorHAnsi"/>
          <w:b/>
          <w:bCs/>
        </w:rPr>
        <w:t>art. 220 § 1 pkt 2b</w:t>
      </w:r>
      <w:r w:rsidRPr="00E03B79">
        <w:rPr>
          <w:rFonts w:asciiTheme="minorHAnsi" w:hAnsiTheme="minorHAnsi" w:cstheme="minorHAnsi"/>
        </w:rPr>
        <w:t xml:space="preserve"> ustawy z dnia 14 czerwca 1960 r. </w:t>
      </w:r>
      <w:r w:rsidRPr="00CE1227">
        <w:rPr>
          <w:rFonts w:asciiTheme="minorHAnsi" w:hAnsiTheme="minorHAnsi" w:cstheme="minorHAnsi"/>
          <w:b/>
          <w:bCs/>
        </w:rPr>
        <w:t>Kodeks postępowania administracyjnego</w:t>
      </w:r>
      <w:r w:rsidRPr="00E03B79">
        <w:rPr>
          <w:rFonts w:asciiTheme="minorHAnsi" w:hAnsiTheme="minorHAnsi" w:cstheme="minorHAnsi"/>
        </w:rPr>
        <w:t xml:space="preserve"> (Dz. U. z 2022 r. poz. 2000), obowiązek przestrzegania których przez urząd wynika z a</w:t>
      </w:r>
      <w:r w:rsidRPr="00CE1227">
        <w:rPr>
          <w:rFonts w:asciiTheme="minorHAnsi" w:hAnsiTheme="minorHAnsi" w:cstheme="minorHAnsi"/>
          <w:b/>
          <w:bCs/>
        </w:rPr>
        <w:t>rt. 256 ust. 1</w:t>
      </w:r>
      <w:r w:rsidRPr="00E03B79">
        <w:rPr>
          <w:rFonts w:asciiTheme="minorHAnsi" w:hAnsiTheme="minorHAnsi" w:cstheme="minorHAnsi"/>
        </w:rPr>
        <w:t xml:space="preserve"> ustawy z dnia 30 czerwca 2000 r. </w:t>
      </w:r>
      <w:r w:rsidRPr="00CE1227">
        <w:rPr>
          <w:rFonts w:asciiTheme="minorHAnsi" w:hAnsiTheme="minorHAnsi" w:cstheme="minorHAnsi"/>
          <w:b/>
          <w:bCs/>
        </w:rPr>
        <w:t>Prawo własności przemysłowej</w:t>
      </w:r>
      <w:r w:rsidRPr="00E03B79">
        <w:rPr>
          <w:rFonts w:asciiTheme="minorHAnsi" w:hAnsiTheme="minorHAnsi" w:cstheme="minorHAnsi"/>
        </w:rPr>
        <w:t xml:space="preserve"> (Dz. U. z 2021 r. poz. 324):</w:t>
      </w:r>
    </w:p>
    <w:p w14:paraId="0A82F329" w14:textId="77777777" w:rsidR="00C9384B" w:rsidRPr="00E03B79" w:rsidRDefault="00C9384B" w:rsidP="00C9384B">
      <w:pPr>
        <w:pStyle w:val="Akapitzlist"/>
        <w:jc w:val="both"/>
        <w:rPr>
          <w:rFonts w:cstheme="minorHAnsi"/>
          <w:sz w:val="10"/>
          <w:szCs w:val="10"/>
        </w:rPr>
      </w:pPr>
    </w:p>
    <w:p w14:paraId="5CB72F54" w14:textId="54F83B65" w:rsidR="00C9384B" w:rsidRPr="00E03B79" w:rsidRDefault="006334C2"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6334C2">
        <w:rPr>
          <w:rFonts w:asciiTheme="minorHAnsi" w:hAnsiTheme="minorHAnsi" w:cstheme="minorHAnsi"/>
          <w:b/>
          <w:bCs/>
        </w:rPr>
        <w:t>u</w:t>
      </w:r>
      <w:r w:rsidR="00C9384B" w:rsidRPr="006334C2">
        <w:rPr>
          <w:rFonts w:asciiTheme="minorHAnsi" w:hAnsiTheme="minorHAnsi" w:cstheme="minorHAnsi"/>
          <w:b/>
          <w:bCs/>
        </w:rPr>
        <w:t>stawa</w:t>
      </w:r>
      <w:r w:rsidR="00C9384B" w:rsidRPr="00E03B79">
        <w:rPr>
          <w:rFonts w:asciiTheme="minorHAnsi" w:hAnsiTheme="minorHAnsi" w:cstheme="minorHAnsi"/>
        </w:rPr>
        <w:t xml:space="preserve"> z dnia 20 sierpnia 1997 r. </w:t>
      </w:r>
      <w:r w:rsidR="00C17BA4" w:rsidRPr="00E03B79">
        <w:rPr>
          <w:rFonts w:asciiTheme="minorHAnsi" w:hAnsiTheme="minorHAnsi" w:cstheme="minorHAnsi"/>
        </w:rPr>
        <w:t xml:space="preserve">o </w:t>
      </w:r>
      <w:r w:rsidR="00C17BA4" w:rsidRPr="00E03B79">
        <w:rPr>
          <w:rFonts w:asciiTheme="minorHAnsi" w:hAnsiTheme="minorHAnsi" w:cstheme="minorHAnsi"/>
          <w:b/>
          <w:bCs/>
        </w:rPr>
        <w:t>Krajowym Rejestrze Sądowym</w:t>
      </w:r>
      <w:r w:rsidR="00C17BA4" w:rsidRPr="00E03B79">
        <w:rPr>
          <w:rFonts w:asciiTheme="minorHAnsi" w:hAnsiTheme="minorHAnsi" w:cstheme="minorHAnsi"/>
        </w:rPr>
        <w:t xml:space="preserve"> </w:t>
      </w:r>
      <w:r w:rsidR="00C9384B" w:rsidRPr="00E03B79">
        <w:rPr>
          <w:rFonts w:asciiTheme="minorHAnsi" w:hAnsiTheme="minorHAnsi" w:cstheme="minorHAnsi"/>
        </w:rPr>
        <w:t>(Dz. U. z 2022 r. poz. 1683)</w:t>
      </w:r>
    </w:p>
    <w:p w14:paraId="7A9F95A2" w14:textId="4D6E9CA5" w:rsidR="00C9384B" w:rsidRPr="00E03B79" w:rsidRDefault="00DC7815"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4 [Centralna Informacja]</w:t>
      </w:r>
    </w:p>
    <w:p w14:paraId="440ECBCB" w14:textId="4CDD79AC"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CE1227">
        <w:rPr>
          <w:rFonts w:asciiTheme="minorHAnsi" w:hAnsiTheme="minorHAnsi" w:cstheme="minorHAnsi"/>
        </w:rPr>
        <w:t>3.</w:t>
      </w:r>
      <w:r w:rsidRPr="00CE1227">
        <w:rPr>
          <w:rFonts w:asciiTheme="minorHAnsi" w:hAnsiTheme="minorHAnsi" w:cstheme="minorHAnsi"/>
          <w:b/>
          <w:bCs/>
        </w:rPr>
        <w:t xml:space="preserve"> </w:t>
      </w:r>
      <w:r w:rsidR="00C17704" w:rsidRPr="00CE1227">
        <w:rPr>
          <w:rFonts w:asciiTheme="minorHAnsi" w:hAnsiTheme="minorHAnsi" w:cstheme="minorHAnsi"/>
          <w:b/>
          <w:bCs/>
        </w:rPr>
        <w:tab/>
      </w:r>
      <w:r w:rsidRPr="00CE1227">
        <w:rPr>
          <w:rFonts w:asciiTheme="minorHAnsi" w:hAnsiTheme="minorHAnsi" w:cstheme="minorHAnsi"/>
          <w:b/>
          <w:bCs/>
        </w:rPr>
        <w:t>Centralna Informacja wydaje odpisy, wyciągi i zaświadczenia</w:t>
      </w:r>
      <w:r w:rsidRPr="00E03B79">
        <w:rPr>
          <w:rFonts w:asciiTheme="minorHAnsi" w:hAnsiTheme="minorHAnsi" w:cstheme="minorHAnsi"/>
        </w:rPr>
        <w:t xml:space="preserve"> oraz </w:t>
      </w:r>
      <w:r w:rsidRPr="00CE1227">
        <w:rPr>
          <w:rFonts w:asciiTheme="minorHAnsi" w:hAnsiTheme="minorHAnsi" w:cstheme="minorHAnsi"/>
        </w:rPr>
        <w:t>udziela informacji z Rejestru, które</w:t>
      </w:r>
      <w:r w:rsidRPr="00CE1227">
        <w:rPr>
          <w:rFonts w:asciiTheme="minorHAnsi" w:hAnsiTheme="minorHAnsi" w:cstheme="minorHAnsi"/>
          <w:b/>
          <w:bCs/>
        </w:rPr>
        <w:t xml:space="preserve"> mają moc dokumentów urzędowych</w:t>
      </w:r>
      <w:r w:rsidRPr="00E03B79">
        <w:rPr>
          <w:rFonts w:asciiTheme="minorHAnsi" w:hAnsiTheme="minorHAnsi" w:cstheme="minorHAnsi"/>
        </w:rPr>
        <w:t>, jeżeli zostały wydane w postaci papierowej lub elektronicznej.</w:t>
      </w:r>
      <w:r w:rsidR="006334C2">
        <w:rPr>
          <w:rFonts w:asciiTheme="minorHAnsi" w:hAnsiTheme="minorHAnsi" w:cstheme="minorHAnsi"/>
        </w:rPr>
        <w:t xml:space="preserve"> (…)</w:t>
      </w:r>
    </w:p>
    <w:p w14:paraId="392242CF" w14:textId="77777777" w:rsidR="00C9384B" w:rsidRPr="00E03B79"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CE1227">
        <w:rPr>
          <w:rFonts w:asciiTheme="minorHAnsi" w:hAnsiTheme="minorHAnsi" w:cstheme="minorHAnsi"/>
          <w:b/>
          <w:bCs/>
        </w:rPr>
        <w:t>4a.</w:t>
      </w:r>
      <w:r w:rsidRPr="00E03B79">
        <w:rPr>
          <w:rFonts w:asciiTheme="minorHAnsi" w:hAnsiTheme="minorHAnsi" w:cstheme="minorHAnsi"/>
        </w:rPr>
        <w:t xml:space="preserve"> Centralna Informacja </w:t>
      </w:r>
      <w:r w:rsidRPr="00CE1227">
        <w:rPr>
          <w:rFonts w:asciiTheme="minorHAnsi" w:hAnsiTheme="minorHAnsi" w:cstheme="minorHAnsi"/>
          <w:b/>
          <w:bCs/>
        </w:rPr>
        <w:t>udostępnia bezpłatnie</w:t>
      </w:r>
      <w:r w:rsidRPr="00E03B79">
        <w:rPr>
          <w:rFonts w:asciiTheme="minorHAnsi" w:hAnsiTheme="minorHAnsi" w:cstheme="minorHAnsi"/>
        </w:rPr>
        <w:t xml:space="preserve">, w ogólnodostępnych sieciach teleinformatycznych, </w:t>
      </w:r>
      <w:r w:rsidRPr="00CE1227">
        <w:rPr>
          <w:rFonts w:asciiTheme="minorHAnsi" w:hAnsiTheme="minorHAnsi" w:cstheme="minorHAnsi"/>
          <w:b/>
          <w:bCs/>
        </w:rPr>
        <w:t>aktualne i pełne informacje</w:t>
      </w:r>
      <w:r w:rsidRPr="00E03B79">
        <w:rPr>
          <w:rFonts w:asciiTheme="minorHAnsi" w:hAnsiTheme="minorHAnsi" w:cstheme="minorHAnsi"/>
        </w:rPr>
        <w:t xml:space="preserve"> o podmiotach wpisanych do Rejestru oraz listę dokumentów zawartych w katalogu.</w:t>
      </w:r>
    </w:p>
    <w:p w14:paraId="5F70A08E" w14:textId="77777777" w:rsidR="00C9384B" w:rsidRPr="00E03B79"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CE1227">
        <w:rPr>
          <w:rFonts w:asciiTheme="minorHAnsi" w:hAnsiTheme="minorHAnsi" w:cstheme="minorHAnsi"/>
          <w:b/>
          <w:bCs/>
        </w:rPr>
        <w:t>4aa.</w:t>
      </w:r>
      <w:r w:rsidRPr="00E03B79">
        <w:rPr>
          <w:rFonts w:asciiTheme="minorHAnsi" w:hAnsiTheme="minorHAnsi" w:cstheme="minorHAnsi"/>
        </w:rPr>
        <w:t xml:space="preserve"> </w:t>
      </w:r>
      <w:r w:rsidRPr="00CE1227">
        <w:rPr>
          <w:rFonts w:asciiTheme="minorHAnsi" w:hAnsiTheme="minorHAnsi" w:cstheme="minorHAnsi"/>
          <w:b/>
          <w:bCs/>
        </w:rPr>
        <w:t>Pobrane</w:t>
      </w:r>
      <w:r w:rsidRPr="00E03B79">
        <w:rPr>
          <w:rFonts w:asciiTheme="minorHAnsi" w:hAnsiTheme="minorHAnsi" w:cstheme="minorHAnsi"/>
        </w:rPr>
        <w:t xml:space="preserve"> samodzielnie </w:t>
      </w:r>
      <w:r w:rsidRPr="00CE1227">
        <w:rPr>
          <w:rFonts w:asciiTheme="minorHAnsi" w:hAnsiTheme="minorHAnsi" w:cstheme="minorHAnsi"/>
          <w:b/>
          <w:bCs/>
        </w:rPr>
        <w:t>wydruki</w:t>
      </w:r>
      <w:r w:rsidRPr="00E03B79">
        <w:rPr>
          <w:rFonts w:asciiTheme="minorHAnsi" w:hAnsiTheme="minorHAnsi" w:cstheme="minorHAnsi"/>
        </w:rPr>
        <w:t xml:space="preserve"> komputerowe aktualnych i pełnych informacji o podmiotach wpisanych do Rejestru </w:t>
      </w:r>
      <w:r w:rsidRPr="00CE1227">
        <w:rPr>
          <w:rFonts w:asciiTheme="minorHAnsi" w:hAnsiTheme="minorHAnsi" w:cstheme="minorHAnsi"/>
          <w:b/>
          <w:bCs/>
        </w:rPr>
        <w:t>mają moc zrównaną z mocą dokumentów wydawanych przez Centralną Informację</w:t>
      </w:r>
      <w:r w:rsidRPr="00E03B79">
        <w:rPr>
          <w:rFonts w:asciiTheme="minorHAnsi" w:hAnsiTheme="minorHAnsi" w:cstheme="minorHAnsi"/>
        </w:rPr>
        <w:t>, o których mowa w ust. 3.</w:t>
      </w:r>
    </w:p>
    <w:p w14:paraId="7ECC5FFE" w14:textId="77777777" w:rsidR="00C9384B" w:rsidRPr="00E03B79"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10"/>
          <w:szCs w:val="10"/>
        </w:rPr>
      </w:pPr>
    </w:p>
    <w:p w14:paraId="018B8F82" w14:textId="1D7377B3" w:rsidR="00C9384B" w:rsidRPr="00E03B79" w:rsidRDefault="006334C2"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6334C2">
        <w:rPr>
          <w:rFonts w:asciiTheme="minorHAnsi" w:hAnsiTheme="minorHAnsi" w:cstheme="minorHAnsi"/>
          <w:b/>
          <w:bCs/>
        </w:rPr>
        <w:t>u</w:t>
      </w:r>
      <w:r w:rsidR="00C17BA4" w:rsidRPr="006334C2">
        <w:rPr>
          <w:rFonts w:asciiTheme="minorHAnsi" w:hAnsiTheme="minorHAnsi" w:cstheme="minorHAnsi"/>
          <w:b/>
          <w:bCs/>
        </w:rPr>
        <w:t>stawa</w:t>
      </w:r>
      <w:r w:rsidR="00C9384B" w:rsidRPr="00E03B79">
        <w:rPr>
          <w:rFonts w:asciiTheme="minorHAnsi" w:hAnsiTheme="minorHAnsi" w:cstheme="minorHAnsi"/>
        </w:rPr>
        <w:t xml:space="preserve"> z dnia 14 czerwca 1960 r. </w:t>
      </w:r>
      <w:r w:rsidR="00F26D07" w:rsidRPr="00E03B79">
        <w:rPr>
          <w:rFonts w:asciiTheme="minorHAnsi" w:hAnsiTheme="minorHAnsi" w:cstheme="minorHAnsi"/>
          <w:b/>
          <w:bCs/>
        </w:rPr>
        <w:t>Kodeks postępowania administracyjnego</w:t>
      </w:r>
      <w:r w:rsidR="00F26D07" w:rsidRPr="00E03B79">
        <w:rPr>
          <w:rFonts w:asciiTheme="minorHAnsi" w:hAnsiTheme="minorHAnsi" w:cstheme="minorHAnsi"/>
        </w:rPr>
        <w:t xml:space="preserve"> </w:t>
      </w:r>
      <w:r w:rsidR="00C9384B" w:rsidRPr="00E03B79">
        <w:rPr>
          <w:rFonts w:asciiTheme="minorHAnsi" w:hAnsiTheme="minorHAnsi" w:cstheme="minorHAnsi"/>
        </w:rPr>
        <w:t>(Dz. U. z 2022 r. poz. 2000):</w:t>
      </w:r>
    </w:p>
    <w:p w14:paraId="620D27FF" w14:textId="0E008130" w:rsidR="00C9384B" w:rsidRPr="00E03B79" w:rsidRDefault="00381A04"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220 [Podstawa prawna żądania]</w:t>
      </w:r>
    </w:p>
    <w:p w14:paraId="5C6CB17B" w14:textId="25A7FF91" w:rsidR="00C9384B" w:rsidRPr="00E03B79" w:rsidRDefault="00C9384B" w:rsidP="00DB51DA">
      <w:pPr>
        <w:pStyle w:val="NormalnyWeb"/>
        <w:shd w:val="clear" w:color="auto" w:fill="FFFFFF"/>
        <w:tabs>
          <w:tab w:val="left" w:pos="1418"/>
          <w:tab w:val="left" w:pos="1843"/>
        </w:tabs>
        <w:spacing w:before="0" w:beforeAutospacing="0" w:after="0" w:afterAutospacing="0"/>
        <w:ind w:left="1418"/>
        <w:jc w:val="both"/>
        <w:rPr>
          <w:rFonts w:asciiTheme="minorHAnsi" w:hAnsiTheme="minorHAnsi" w:cstheme="minorHAnsi"/>
        </w:rPr>
      </w:pPr>
      <w:r w:rsidRPr="00CE1227">
        <w:rPr>
          <w:rFonts w:asciiTheme="minorHAnsi" w:hAnsiTheme="minorHAnsi" w:cstheme="minorHAnsi"/>
          <w:b/>
          <w:bCs/>
        </w:rPr>
        <w:t xml:space="preserve">§ 1. </w:t>
      </w:r>
      <w:r w:rsidR="00C17704" w:rsidRPr="00CE1227">
        <w:rPr>
          <w:rFonts w:asciiTheme="minorHAnsi" w:hAnsiTheme="minorHAnsi" w:cstheme="minorHAnsi"/>
          <w:b/>
          <w:bCs/>
        </w:rPr>
        <w:tab/>
      </w:r>
      <w:r w:rsidRPr="00CE1227">
        <w:rPr>
          <w:rFonts w:asciiTheme="minorHAnsi" w:hAnsiTheme="minorHAnsi" w:cstheme="minorHAnsi"/>
          <w:b/>
          <w:bCs/>
        </w:rPr>
        <w:t>Organ</w:t>
      </w:r>
      <w:r w:rsidRPr="00E03B79">
        <w:rPr>
          <w:rFonts w:asciiTheme="minorHAnsi" w:hAnsiTheme="minorHAnsi" w:cstheme="minorHAnsi"/>
        </w:rPr>
        <w:t xml:space="preserve"> administracji publicznej </w:t>
      </w:r>
      <w:r w:rsidRPr="00CE1227">
        <w:rPr>
          <w:rFonts w:asciiTheme="minorHAnsi" w:hAnsiTheme="minorHAnsi" w:cstheme="minorHAnsi"/>
          <w:b/>
          <w:bCs/>
        </w:rPr>
        <w:t>nie może żądać zaświadczenia</w:t>
      </w:r>
      <w:r w:rsidRPr="00E03B79">
        <w:rPr>
          <w:rFonts w:asciiTheme="minorHAnsi" w:hAnsiTheme="minorHAnsi" w:cstheme="minorHAnsi"/>
        </w:rPr>
        <w:t xml:space="preserve"> ani oświadczenia na potwierdzenie faktów lub stanu prawnego, </w:t>
      </w:r>
      <w:r w:rsidRPr="00CE1227">
        <w:rPr>
          <w:rFonts w:asciiTheme="minorHAnsi" w:hAnsiTheme="minorHAnsi" w:cstheme="minorHAnsi"/>
          <w:b/>
          <w:bCs/>
        </w:rPr>
        <w:t>jeżeli</w:t>
      </w:r>
      <w:r w:rsidRPr="00E03B79">
        <w:rPr>
          <w:rFonts w:asciiTheme="minorHAnsi" w:hAnsiTheme="minorHAnsi" w:cstheme="minorHAnsi"/>
        </w:rPr>
        <w:t>:</w:t>
      </w:r>
      <w:r w:rsidR="006334C2">
        <w:rPr>
          <w:rFonts w:asciiTheme="minorHAnsi" w:hAnsiTheme="minorHAnsi" w:cstheme="minorHAnsi"/>
        </w:rPr>
        <w:t xml:space="preserve"> (…)</w:t>
      </w:r>
      <w:r w:rsidR="008B575F">
        <w:rPr>
          <w:rFonts w:asciiTheme="minorHAnsi" w:hAnsiTheme="minorHAnsi" w:cstheme="minorHAnsi"/>
        </w:rPr>
        <w:t>,</w:t>
      </w:r>
    </w:p>
    <w:p w14:paraId="7AF832EA" w14:textId="390418DF" w:rsidR="00C9384B" w:rsidRPr="00E03B79"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CE1227">
        <w:rPr>
          <w:rFonts w:asciiTheme="minorHAnsi" w:hAnsiTheme="minorHAnsi" w:cstheme="minorHAnsi"/>
          <w:b/>
          <w:bCs/>
        </w:rPr>
        <w:t>2) możliwe są do ustalenia przez organ</w:t>
      </w:r>
      <w:r w:rsidRPr="00E03B79">
        <w:rPr>
          <w:rFonts w:asciiTheme="minorHAnsi" w:hAnsiTheme="minorHAnsi" w:cstheme="minorHAnsi"/>
        </w:rPr>
        <w:t xml:space="preserve"> na podstawie:</w:t>
      </w:r>
      <w:r w:rsidR="006334C2">
        <w:rPr>
          <w:rFonts w:asciiTheme="minorHAnsi" w:hAnsiTheme="minorHAnsi" w:cstheme="minorHAnsi"/>
        </w:rPr>
        <w:t xml:space="preserve"> (…)</w:t>
      </w:r>
      <w:r w:rsidR="008B575F">
        <w:rPr>
          <w:rFonts w:asciiTheme="minorHAnsi" w:hAnsiTheme="minorHAnsi" w:cstheme="minorHAnsi"/>
        </w:rPr>
        <w:t>,</w:t>
      </w:r>
    </w:p>
    <w:p w14:paraId="35F15755" w14:textId="35FEC5CB" w:rsidR="00C9384B" w:rsidRPr="00E03B79" w:rsidRDefault="00C9384B" w:rsidP="00DB51DA">
      <w:pPr>
        <w:pStyle w:val="NormalnyWeb"/>
        <w:shd w:val="clear" w:color="auto" w:fill="FFFFFF"/>
        <w:tabs>
          <w:tab w:val="left" w:pos="1418"/>
          <w:tab w:val="left" w:pos="1985"/>
        </w:tabs>
        <w:spacing w:before="0" w:beforeAutospacing="0" w:after="0" w:afterAutospacing="0"/>
        <w:ind w:left="1985"/>
        <w:jc w:val="both"/>
        <w:rPr>
          <w:rFonts w:asciiTheme="minorHAnsi" w:hAnsiTheme="minorHAnsi" w:cstheme="minorHAnsi"/>
        </w:rPr>
      </w:pPr>
      <w:r w:rsidRPr="00CE1227">
        <w:rPr>
          <w:rFonts w:asciiTheme="minorHAnsi" w:hAnsiTheme="minorHAnsi" w:cstheme="minorHAnsi"/>
          <w:b/>
          <w:bCs/>
        </w:rPr>
        <w:t>b) rejestrów publicznych posiadanych</w:t>
      </w:r>
      <w:r w:rsidRPr="00E03B79">
        <w:rPr>
          <w:rFonts w:asciiTheme="minorHAnsi" w:hAnsiTheme="minorHAnsi" w:cstheme="minorHAnsi"/>
        </w:rPr>
        <w:t xml:space="preserve"> przez inne podmioty publiczne, do których organ ma dostęp w drodze elektronicznej na zasadach określonych w przepisach ustawy z dnia 17 lutego 2005 r. o informatyzacji działalności podmiotów realizujących zadania publiczne;</w:t>
      </w:r>
    </w:p>
    <w:p w14:paraId="06B01746" w14:textId="77777777" w:rsidR="00C9384B" w:rsidRPr="008B575F"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10"/>
          <w:szCs w:val="10"/>
        </w:rPr>
      </w:pPr>
    </w:p>
    <w:p w14:paraId="2C797F2B" w14:textId="08FA962B" w:rsidR="00C9384B" w:rsidRPr="00E03B79" w:rsidRDefault="008B575F"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8B575F">
        <w:rPr>
          <w:rFonts w:asciiTheme="minorHAnsi" w:hAnsiTheme="minorHAnsi" w:cstheme="minorHAnsi"/>
          <w:b/>
          <w:bCs/>
        </w:rPr>
        <w:t>u</w:t>
      </w:r>
      <w:r w:rsidR="00F26D07" w:rsidRPr="008B575F">
        <w:rPr>
          <w:rFonts w:asciiTheme="minorHAnsi" w:hAnsiTheme="minorHAnsi" w:cstheme="minorHAnsi"/>
          <w:b/>
          <w:bCs/>
        </w:rPr>
        <w:t>stawa</w:t>
      </w:r>
      <w:r w:rsidR="00F26D07" w:rsidRPr="00E03B79">
        <w:rPr>
          <w:rFonts w:asciiTheme="minorHAnsi" w:hAnsiTheme="minorHAnsi" w:cstheme="minorHAnsi"/>
        </w:rPr>
        <w:t xml:space="preserve"> </w:t>
      </w:r>
      <w:r w:rsidR="00C9384B" w:rsidRPr="00E03B79">
        <w:rPr>
          <w:rFonts w:asciiTheme="minorHAnsi" w:hAnsiTheme="minorHAnsi" w:cstheme="minorHAnsi"/>
        </w:rPr>
        <w:t xml:space="preserve">z dnia 30 czerwca 2000 r. </w:t>
      </w:r>
      <w:r w:rsidR="00F26D07" w:rsidRPr="00E03B79">
        <w:rPr>
          <w:rFonts w:asciiTheme="minorHAnsi" w:hAnsiTheme="minorHAnsi" w:cstheme="minorHAnsi"/>
          <w:b/>
          <w:bCs/>
        </w:rPr>
        <w:t>Prawo</w:t>
      </w:r>
      <w:r w:rsidR="00F26D07" w:rsidRPr="00E03B79">
        <w:rPr>
          <w:rFonts w:asciiTheme="minorHAnsi" w:hAnsiTheme="minorHAnsi" w:cstheme="minorHAnsi"/>
        </w:rPr>
        <w:t xml:space="preserve"> </w:t>
      </w:r>
      <w:r w:rsidR="00F26D07" w:rsidRPr="00E03B79">
        <w:rPr>
          <w:rFonts w:asciiTheme="minorHAnsi" w:hAnsiTheme="minorHAnsi" w:cstheme="minorHAnsi"/>
          <w:b/>
          <w:bCs/>
        </w:rPr>
        <w:t>własności przemysłowej</w:t>
      </w:r>
      <w:r w:rsidR="00F26D07" w:rsidRPr="00E03B79">
        <w:rPr>
          <w:rFonts w:asciiTheme="minorHAnsi" w:hAnsiTheme="minorHAnsi" w:cstheme="minorHAnsi"/>
        </w:rPr>
        <w:t xml:space="preserve"> </w:t>
      </w:r>
      <w:r w:rsidR="00C9384B" w:rsidRPr="00E03B79">
        <w:rPr>
          <w:rFonts w:asciiTheme="minorHAnsi" w:hAnsiTheme="minorHAnsi" w:cstheme="minorHAnsi"/>
        </w:rPr>
        <w:t>(Dz. U. z 2021 r. poz. 324)</w:t>
      </w:r>
      <w:r>
        <w:rPr>
          <w:rFonts w:asciiTheme="minorHAnsi" w:hAnsiTheme="minorHAnsi" w:cstheme="minorHAnsi"/>
        </w:rPr>
        <w:t>:</w:t>
      </w:r>
    </w:p>
    <w:p w14:paraId="4C106AF0" w14:textId="77777777" w:rsidR="00C9384B" w:rsidRPr="008B575F"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6"/>
          <w:szCs w:val="6"/>
        </w:rPr>
      </w:pPr>
    </w:p>
    <w:p w14:paraId="2CE35C9E" w14:textId="05384957" w:rsidR="00C9384B" w:rsidRPr="00E03B79" w:rsidRDefault="00381A04"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152</w:t>
      </w:r>
      <w:r w:rsidR="00C9384B" w:rsidRPr="00E03B79">
        <w:rPr>
          <w:rFonts w:asciiTheme="minorHAnsi" w:hAnsiTheme="minorHAnsi" w:cstheme="minorHAnsi"/>
          <w:b/>
          <w:bCs/>
          <w:vertAlign w:val="superscript"/>
        </w:rPr>
        <w:t>22</w:t>
      </w:r>
      <w:r w:rsidR="00D97A25" w:rsidRPr="00E03B79">
        <w:rPr>
          <w:rFonts w:asciiTheme="minorHAnsi" w:hAnsiTheme="minorHAnsi" w:cstheme="minorHAnsi"/>
          <w:b/>
          <w:bCs/>
          <w:vertAlign w:val="superscript"/>
        </w:rPr>
        <w:t xml:space="preserve"> </w:t>
      </w:r>
      <w:r w:rsidR="00C9384B" w:rsidRPr="00E03B79">
        <w:rPr>
          <w:rFonts w:asciiTheme="minorHAnsi" w:hAnsiTheme="minorHAnsi" w:cstheme="minorHAnsi"/>
          <w:b/>
          <w:bCs/>
        </w:rPr>
        <w:t>[Wniosek o ponowne rozpatrzenie sprawy]</w:t>
      </w:r>
    </w:p>
    <w:p w14:paraId="210ADA61" w14:textId="63719A24"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 xml:space="preserve">1. </w:t>
      </w:r>
      <w:r w:rsidR="00C17704" w:rsidRPr="00E03B79">
        <w:rPr>
          <w:rFonts w:asciiTheme="minorHAnsi" w:hAnsiTheme="minorHAnsi" w:cstheme="minorHAnsi"/>
        </w:rPr>
        <w:tab/>
      </w:r>
      <w:r w:rsidRPr="00E03B79">
        <w:rPr>
          <w:rFonts w:asciiTheme="minorHAnsi" w:hAnsiTheme="minorHAnsi" w:cstheme="minorHAnsi"/>
        </w:rPr>
        <w:t>Od decyzji Urzędu Patentowego wydanej po rozpatrzeniu sprzeciwu stronom służy wniosek o ponowne rozpatrzenie sprawy. Przepisy art. 244- 245, art. 248 i art. 249 stosuje się odpowiednio.</w:t>
      </w:r>
    </w:p>
    <w:p w14:paraId="4F9E6B76" w14:textId="77777777" w:rsidR="00F26D07" w:rsidRPr="008B575F" w:rsidRDefault="00F26D07"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b/>
          <w:bCs/>
          <w:sz w:val="6"/>
          <w:szCs w:val="6"/>
        </w:rPr>
      </w:pPr>
    </w:p>
    <w:p w14:paraId="191E97A6" w14:textId="617A2939" w:rsidR="00C9384B" w:rsidRPr="00E03B79" w:rsidRDefault="00381A04"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152</w:t>
      </w:r>
      <w:r w:rsidR="00C9384B" w:rsidRPr="00E03B79">
        <w:rPr>
          <w:rFonts w:asciiTheme="minorHAnsi" w:hAnsiTheme="minorHAnsi" w:cstheme="minorHAnsi"/>
          <w:b/>
          <w:bCs/>
          <w:vertAlign w:val="superscript"/>
        </w:rPr>
        <w:t>23</w:t>
      </w:r>
      <w:r w:rsidR="00D97A25" w:rsidRPr="00E03B79">
        <w:rPr>
          <w:rFonts w:asciiTheme="minorHAnsi" w:hAnsiTheme="minorHAnsi" w:cstheme="minorHAnsi"/>
          <w:b/>
          <w:bCs/>
          <w:vertAlign w:val="superscript"/>
        </w:rPr>
        <w:t xml:space="preserve"> </w:t>
      </w:r>
      <w:r w:rsidR="00C9384B" w:rsidRPr="00E03B79">
        <w:rPr>
          <w:rFonts w:asciiTheme="minorHAnsi" w:hAnsiTheme="minorHAnsi" w:cstheme="minorHAnsi"/>
          <w:b/>
          <w:bCs/>
        </w:rPr>
        <w:t>[Odpowiednie stosowanie]</w:t>
      </w:r>
    </w:p>
    <w:p w14:paraId="027EE7B4" w14:textId="7692B794"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lastRenderedPageBreak/>
        <w:t xml:space="preserve">1. </w:t>
      </w:r>
      <w:r w:rsidR="00C17704" w:rsidRPr="00E03B79">
        <w:rPr>
          <w:rFonts w:asciiTheme="minorHAnsi" w:hAnsiTheme="minorHAnsi" w:cstheme="minorHAnsi"/>
        </w:rPr>
        <w:tab/>
      </w:r>
      <w:r w:rsidRPr="00E03B79">
        <w:rPr>
          <w:rFonts w:asciiTheme="minorHAnsi" w:hAnsiTheme="minorHAnsi" w:cstheme="minorHAnsi"/>
        </w:rPr>
        <w:t>Do postępowania w sprawie sprzeciwu przepisy art. 242 ust. 1 i 2, art. 251, art. 252 i art. 253 ust. 1 stosuje się odpowiednio.</w:t>
      </w:r>
    </w:p>
    <w:p w14:paraId="598B9C23" w14:textId="77777777" w:rsidR="00C9384B" w:rsidRPr="0018644C"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6"/>
          <w:szCs w:val="6"/>
        </w:rPr>
      </w:pPr>
    </w:p>
    <w:p w14:paraId="5BF1C9F3" w14:textId="73E1F87F" w:rsidR="00C9384B" w:rsidRPr="00E03B79" w:rsidRDefault="00381A04"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244 [Ponowne rozpatrzenie sprawy]</w:t>
      </w:r>
    </w:p>
    <w:p w14:paraId="77F6F6CA" w14:textId="24026F5B"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 xml:space="preserve">1. </w:t>
      </w:r>
      <w:r w:rsidR="00C17704" w:rsidRPr="00E03B79">
        <w:rPr>
          <w:rFonts w:asciiTheme="minorHAnsi" w:hAnsiTheme="minorHAnsi" w:cstheme="minorHAnsi"/>
        </w:rPr>
        <w:tab/>
      </w:r>
      <w:r w:rsidR="008B575F">
        <w:rPr>
          <w:rFonts w:asciiTheme="minorHAnsi" w:hAnsiTheme="minorHAnsi" w:cstheme="minorHAnsi"/>
        </w:rPr>
        <w:t xml:space="preserve"> </w:t>
      </w:r>
      <w:r w:rsidRPr="00E03B79">
        <w:rPr>
          <w:rFonts w:asciiTheme="minorHAnsi" w:hAnsiTheme="minorHAnsi" w:cstheme="minorHAnsi"/>
        </w:rPr>
        <w:t>Od decyzji Urzędu Patentowego stronie służy wniosek o ponowne rozpatrzenie sprawy w rozumieniu Kodeksu postępowania administracyjnego.</w:t>
      </w:r>
    </w:p>
    <w:p w14:paraId="714BA984" w14:textId="71A00C3D"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1</w:t>
      </w:r>
      <w:r w:rsidRPr="00E03B79">
        <w:rPr>
          <w:rFonts w:asciiTheme="minorHAnsi" w:hAnsiTheme="minorHAnsi" w:cstheme="minorHAnsi"/>
          <w:vertAlign w:val="superscript"/>
        </w:rPr>
        <w:t>1</w:t>
      </w:r>
      <w:r w:rsidRPr="00E03B79">
        <w:rPr>
          <w:rFonts w:asciiTheme="minorHAnsi" w:hAnsiTheme="minorHAnsi" w:cstheme="minorHAnsi"/>
        </w:rPr>
        <w:t>. Do postępowania o ponowne rozpatrzenie sprawy stosuje się odpowiednio, z zastrzeżeniem ust. 12-14, przepisy Kodeksu postępowania administracyjnego dotyczące rozpatrywania odwołania od decyzji.</w:t>
      </w:r>
    </w:p>
    <w:p w14:paraId="7EB32BE1" w14:textId="77777777" w:rsidR="00C9384B" w:rsidRPr="008B575F"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6"/>
          <w:szCs w:val="6"/>
        </w:rPr>
      </w:pPr>
    </w:p>
    <w:p w14:paraId="3AA74B8D" w14:textId="0D3A34E8" w:rsidR="00C9384B" w:rsidRPr="00E03B79" w:rsidRDefault="00381A04"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252 [Odesłanie do KPA]</w:t>
      </w:r>
    </w:p>
    <w:p w14:paraId="076ABD97" w14:textId="2FD31D1E" w:rsidR="00C9384B" w:rsidRPr="00E03B79" w:rsidRDefault="00C9384B" w:rsidP="00DD1292">
      <w:pPr>
        <w:pStyle w:val="NormalnyWeb"/>
        <w:shd w:val="clear" w:color="auto" w:fill="FFFFFF"/>
        <w:tabs>
          <w:tab w:val="left" w:pos="1418"/>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W sprawach nieuregulowanych w ustawie do postępowania przed Urzędem Patentowym stosuje się, z zastrzeżeniem art. 253, odpowiednio przepisy Kodeksu postępowania administracyjnego.</w:t>
      </w:r>
    </w:p>
    <w:p w14:paraId="24F80161" w14:textId="77777777" w:rsidR="00C9384B" w:rsidRPr="008B575F"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6"/>
          <w:szCs w:val="6"/>
        </w:rPr>
      </w:pPr>
    </w:p>
    <w:p w14:paraId="5959B091" w14:textId="311CF123" w:rsidR="00C9384B" w:rsidRPr="00E03B79" w:rsidRDefault="00381A04"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255</w:t>
      </w:r>
      <w:r w:rsidR="00C9384B" w:rsidRPr="00E03B79">
        <w:rPr>
          <w:rFonts w:asciiTheme="minorHAnsi" w:hAnsiTheme="minorHAnsi" w:cstheme="minorHAnsi"/>
          <w:b/>
          <w:bCs/>
          <w:vertAlign w:val="superscript"/>
        </w:rPr>
        <w:t>1</w:t>
      </w:r>
      <w:r w:rsidR="00D97A25" w:rsidRPr="00E03B79">
        <w:rPr>
          <w:rFonts w:asciiTheme="minorHAnsi" w:hAnsiTheme="minorHAnsi" w:cstheme="minorHAnsi"/>
          <w:b/>
          <w:bCs/>
          <w:vertAlign w:val="superscript"/>
        </w:rPr>
        <w:t xml:space="preserve"> </w:t>
      </w:r>
      <w:r w:rsidR="00C9384B" w:rsidRPr="00E03B79">
        <w:rPr>
          <w:rFonts w:asciiTheme="minorHAnsi" w:hAnsiTheme="minorHAnsi" w:cstheme="minorHAnsi"/>
          <w:b/>
          <w:bCs/>
        </w:rPr>
        <w:t>[Wniosek o wszczęcie postępowania]</w:t>
      </w:r>
    </w:p>
    <w:p w14:paraId="48178136" w14:textId="54DBB92A"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 xml:space="preserve">1. </w:t>
      </w:r>
      <w:r w:rsidR="00C17704" w:rsidRPr="00E03B79">
        <w:rPr>
          <w:rFonts w:asciiTheme="minorHAnsi" w:hAnsiTheme="minorHAnsi" w:cstheme="minorHAnsi"/>
        </w:rPr>
        <w:tab/>
      </w:r>
      <w:r w:rsidRPr="00E03B79">
        <w:rPr>
          <w:rFonts w:asciiTheme="minorHAnsi" w:hAnsiTheme="minorHAnsi" w:cstheme="minorHAnsi"/>
        </w:rPr>
        <w:t>Postępowanie sporne w sprawach, o których w art. 255 ust. 1, wszczyna się na pisemny wniosek. (…)</w:t>
      </w:r>
    </w:p>
    <w:p w14:paraId="3F5405A5" w14:textId="0C5B512F" w:rsidR="00C9384B" w:rsidRPr="00E03B79"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 xml:space="preserve">6. </w:t>
      </w:r>
      <w:r w:rsidR="00C17704" w:rsidRPr="00E03B79">
        <w:rPr>
          <w:rFonts w:asciiTheme="minorHAnsi" w:hAnsiTheme="minorHAnsi" w:cstheme="minorHAnsi"/>
        </w:rPr>
        <w:tab/>
      </w:r>
      <w:r w:rsidRPr="00E03B79">
        <w:rPr>
          <w:rFonts w:asciiTheme="minorHAnsi" w:hAnsiTheme="minorHAnsi" w:cstheme="minorHAnsi"/>
        </w:rPr>
        <w:t>Jeżeli wniosek nie spełnia wymogów formalnych, Urząd Patentowy wzywa wnioskodawcę do usunięcia usterek lub braków w terminie 30 dni pod rygorem umorzenia postępowania.</w:t>
      </w:r>
    </w:p>
    <w:p w14:paraId="15695DE4" w14:textId="77777777" w:rsidR="00C9384B" w:rsidRPr="008B575F" w:rsidRDefault="00C9384B"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sz w:val="6"/>
          <w:szCs w:val="6"/>
        </w:rPr>
      </w:pPr>
    </w:p>
    <w:p w14:paraId="0643AA3B" w14:textId="5B66FBB7" w:rsidR="00C9384B" w:rsidRPr="00E03B79" w:rsidRDefault="00381A04" w:rsidP="00DB51DA">
      <w:pPr>
        <w:pStyle w:val="NormalnyWeb"/>
        <w:shd w:val="clear" w:color="auto" w:fill="FFFFFF"/>
        <w:tabs>
          <w:tab w:val="left" w:pos="1418"/>
        </w:tabs>
        <w:spacing w:before="0" w:beforeAutospacing="0" w:after="0" w:afterAutospacing="0"/>
        <w:ind w:left="1418"/>
        <w:jc w:val="both"/>
        <w:rPr>
          <w:rFonts w:asciiTheme="minorHAnsi" w:hAnsiTheme="minorHAnsi" w:cstheme="minorHAnsi"/>
          <w:b/>
          <w:bCs/>
        </w:rPr>
      </w:pPr>
      <w:r>
        <w:rPr>
          <w:rFonts w:asciiTheme="minorHAnsi" w:hAnsiTheme="minorHAnsi" w:cstheme="minorHAnsi"/>
          <w:b/>
          <w:bCs/>
        </w:rPr>
        <w:t>a</w:t>
      </w:r>
      <w:r w:rsidR="00C9384B" w:rsidRPr="00E03B79">
        <w:rPr>
          <w:rFonts w:asciiTheme="minorHAnsi" w:hAnsiTheme="minorHAnsi" w:cstheme="minorHAnsi"/>
          <w:b/>
          <w:bCs/>
        </w:rPr>
        <w:t>rt. 256 [Tryb postępowania, upoważnienie]</w:t>
      </w:r>
    </w:p>
    <w:p w14:paraId="5963A0DA" w14:textId="110C61F0" w:rsidR="00C9384B" w:rsidRDefault="00C9384B" w:rsidP="00DB51DA">
      <w:pPr>
        <w:pStyle w:val="NormalnyWeb"/>
        <w:shd w:val="clear" w:color="auto" w:fill="FFFFFF"/>
        <w:tabs>
          <w:tab w:val="left" w:pos="1418"/>
          <w:tab w:val="left" w:pos="1701"/>
        </w:tabs>
        <w:spacing w:before="0" w:beforeAutospacing="0" w:after="0" w:afterAutospacing="0"/>
        <w:ind w:left="1418"/>
        <w:jc w:val="both"/>
        <w:rPr>
          <w:rFonts w:asciiTheme="minorHAnsi" w:hAnsiTheme="minorHAnsi" w:cstheme="minorHAnsi"/>
        </w:rPr>
      </w:pPr>
      <w:r w:rsidRPr="00E03B79">
        <w:rPr>
          <w:rFonts w:asciiTheme="minorHAnsi" w:hAnsiTheme="minorHAnsi" w:cstheme="minorHAnsi"/>
        </w:rPr>
        <w:t>1. Do postępowania spornego przed Urzędem Patentowym w sprawach nieuregulowanych w ustawie stosuje się odpowiednio przepisy Kodeksu postępowania administracyjnego.</w:t>
      </w:r>
    </w:p>
    <w:p w14:paraId="535A74E2" w14:textId="77777777" w:rsidR="0052303B" w:rsidRPr="00A152ED" w:rsidRDefault="0052303B" w:rsidP="008B575F">
      <w:pPr>
        <w:pStyle w:val="NormalnyWeb"/>
        <w:shd w:val="clear" w:color="auto" w:fill="FFFFFF"/>
        <w:tabs>
          <w:tab w:val="left" w:pos="1701"/>
        </w:tabs>
        <w:spacing w:before="0" w:beforeAutospacing="0" w:after="0" w:afterAutospacing="0"/>
        <w:ind w:left="1418"/>
        <w:jc w:val="both"/>
        <w:rPr>
          <w:rFonts w:asciiTheme="minorHAnsi" w:hAnsiTheme="minorHAnsi" w:cstheme="minorHAnsi"/>
          <w:sz w:val="10"/>
          <w:szCs w:val="10"/>
        </w:rPr>
      </w:pPr>
    </w:p>
    <w:p w14:paraId="592116C4" w14:textId="7EC797F4" w:rsidR="00C9384B" w:rsidRPr="00E03B79" w:rsidRDefault="00C9384B" w:rsidP="001F6BE3">
      <w:pPr>
        <w:pStyle w:val="NormalnyWeb"/>
        <w:numPr>
          <w:ilvl w:val="0"/>
          <w:numId w:val="41"/>
        </w:numPr>
        <w:shd w:val="clear" w:color="auto" w:fill="FFFFFF"/>
        <w:spacing w:before="0" w:beforeAutospacing="0" w:after="0" w:afterAutospacing="0"/>
        <w:ind w:left="567" w:hanging="425"/>
        <w:jc w:val="both"/>
        <w:rPr>
          <w:rFonts w:asciiTheme="minorHAnsi" w:hAnsiTheme="minorHAnsi" w:cstheme="minorHAnsi"/>
        </w:rPr>
      </w:pPr>
      <w:r w:rsidRPr="00E03B79">
        <w:rPr>
          <w:rFonts w:asciiTheme="minorHAnsi" w:hAnsiTheme="minorHAnsi" w:cstheme="minorHAnsi"/>
        </w:rPr>
        <w:t>Nieudostępnianie względnie udostępnianie nieaktualnych informacji oraz danych w bazach internetowych i rejestrach Urzędu Patentowego RP o stanie prawnym praw udzielanych przez urząd:</w:t>
      </w:r>
    </w:p>
    <w:p w14:paraId="140D04E4" w14:textId="46CB787D" w:rsidR="00C9384B" w:rsidRPr="00E03B79" w:rsidRDefault="00C9384B" w:rsidP="001F6BE3">
      <w:pPr>
        <w:pStyle w:val="NormalnyWeb"/>
        <w:numPr>
          <w:ilvl w:val="0"/>
          <w:numId w:val="42"/>
        </w:numPr>
        <w:shd w:val="clear" w:color="auto" w:fill="FFFFFF"/>
        <w:spacing w:before="0" w:beforeAutospacing="0" w:after="0" w:afterAutospacing="0"/>
        <w:ind w:left="567" w:hanging="283"/>
        <w:jc w:val="both"/>
        <w:rPr>
          <w:rFonts w:asciiTheme="minorHAnsi" w:hAnsiTheme="minorHAnsi" w:cstheme="minorHAnsi"/>
        </w:rPr>
      </w:pPr>
      <w:r w:rsidRPr="00E03B79">
        <w:rPr>
          <w:rFonts w:asciiTheme="minorHAnsi" w:hAnsiTheme="minorHAnsi" w:cstheme="minorHAnsi"/>
        </w:rPr>
        <w:t xml:space="preserve">Urząd Patentowy RP udziela patentów na wynalazki, co wynika z obowiązującej ustawy z dnia 30 czerwca 2000 r. Prawo własności przemysłowej: </w:t>
      </w:r>
      <w:r w:rsidRPr="00E03B79">
        <w:rPr>
          <w:rFonts w:asciiTheme="minorHAnsi" w:hAnsiTheme="minorHAnsi" w:cstheme="minorHAnsi"/>
          <w:i/>
        </w:rPr>
        <w:t>„Art. 6. 1. Na warunkach określonych w ustawie udzielane są patenty (…) na wynalazki, (…).”</w:t>
      </w:r>
      <w:r w:rsidRPr="00E03B79">
        <w:rPr>
          <w:rFonts w:asciiTheme="minorHAnsi" w:hAnsiTheme="minorHAnsi" w:cstheme="minorHAnsi"/>
        </w:rPr>
        <w:t>,</w:t>
      </w:r>
    </w:p>
    <w:p w14:paraId="4605CE98" w14:textId="23D651D0" w:rsidR="00C9384B" w:rsidRPr="00E03B79" w:rsidRDefault="00C9384B" w:rsidP="001F6BE3">
      <w:pPr>
        <w:pStyle w:val="NormalnyWeb"/>
        <w:numPr>
          <w:ilvl w:val="0"/>
          <w:numId w:val="42"/>
        </w:numPr>
        <w:shd w:val="clear" w:color="auto" w:fill="FFFFFF"/>
        <w:spacing w:before="0" w:beforeAutospacing="0" w:after="0" w:afterAutospacing="0"/>
        <w:ind w:left="567" w:hanging="283"/>
        <w:jc w:val="both"/>
        <w:rPr>
          <w:rFonts w:asciiTheme="minorHAnsi" w:hAnsiTheme="minorHAnsi" w:cstheme="minorHAnsi"/>
        </w:rPr>
      </w:pPr>
      <w:r w:rsidRPr="00E03B79">
        <w:rPr>
          <w:rFonts w:asciiTheme="minorHAnsi" w:hAnsiTheme="minorHAnsi" w:cstheme="minorHAnsi"/>
        </w:rPr>
        <w:t xml:space="preserve">niekiedy jednak dochodzi do nieuzasadnionego udzielenia prawa wyłącznego i dlatego ww. ustawa z dnia 30 czerwca 2000 r. Prawo własności przemysłowej przewiduje możliwość unieważnienia patentów: </w:t>
      </w:r>
      <w:r w:rsidRPr="00E03B79">
        <w:rPr>
          <w:rFonts w:asciiTheme="minorHAnsi" w:hAnsiTheme="minorHAnsi" w:cstheme="minorHAnsi"/>
          <w:i/>
        </w:rPr>
        <w:t>„Art. 89. 1. Patent może zostać unieważniony (…).</w:t>
      </w:r>
      <w:proofErr w:type="gramStart"/>
      <w:r w:rsidRPr="00E03B79">
        <w:rPr>
          <w:rFonts w:asciiTheme="minorHAnsi" w:hAnsiTheme="minorHAnsi" w:cstheme="minorHAnsi"/>
          <w:i/>
        </w:rPr>
        <w:t>”</w:t>
      </w:r>
      <w:r w:rsidRPr="00E03B79">
        <w:rPr>
          <w:rFonts w:asciiTheme="minorHAnsi" w:hAnsiTheme="minorHAnsi" w:cstheme="minorHAnsi"/>
        </w:rPr>
        <w:t xml:space="preserve"> ,</w:t>
      </w:r>
      <w:proofErr w:type="gramEnd"/>
    </w:p>
    <w:p w14:paraId="5341E283" w14:textId="77777777" w:rsidR="008B575F" w:rsidRPr="008B575F" w:rsidRDefault="008B575F" w:rsidP="00DB51DA">
      <w:pPr>
        <w:pStyle w:val="NormalnyWeb"/>
        <w:shd w:val="clear" w:color="auto" w:fill="FFFFFF"/>
        <w:tabs>
          <w:tab w:val="left" w:pos="567"/>
        </w:tabs>
        <w:spacing w:before="0" w:beforeAutospacing="0" w:after="0" w:afterAutospacing="0"/>
        <w:ind w:left="567" w:hanging="141"/>
        <w:jc w:val="both"/>
        <w:rPr>
          <w:rFonts w:asciiTheme="minorHAnsi" w:hAnsiTheme="minorHAnsi" w:cstheme="minorHAnsi"/>
          <w:sz w:val="6"/>
          <w:szCs w:val="6"/>
        </w:rPr>
      </w:pPr>
    </w:p>
    <w:p w14:paraId="37548312" w14:textId="356A8A21" w:rsidR="00C9384B" w:rsidRPr="00E03B79" w:rsidRDefault="00C9384B" w:rsidP="00DB51DA">
      <w:pPr>
        <w:pStyle w:val="NormalnyWeb"/>
        <w:shd w:val="clear" w:color="auto" w:fill="FFFFFF"/>
        <w:spacing w:before="0" w:beforeAutospacing="0" w:after="0" w:afterAutospacing="0"/>
        <w:ind w:left="567"/>
        <w:jc w:val="both"/>
        <w:rPr>
          <w:rFonts w:asciiTheme="minorHAnsi" w:hAnsiTheme="minorHAnsi" w:cstheme="minorHAnsi"/>
        </w:rPr>
      </w:pPr>
      <w:r w:rsidRPr="00E03B79">
        <w:rPr>
          <w:rFonts w:asciiTheme="minorHAnsi" w:hAnsiTheme="minorHAnsi" w:cstheme="minorHAnsi"/>
        </w:rPr>
        <w:t xml:space="preserve">sytuacja taka miała miejsce w postępowaniu, którego przedmiotem był patent nr Pat.212219 (P.386337) </w:t>
      </w:r>
      <w:r w:rsidRPr="00E03B79">
        <w:rPr>
          <w:rFonts w:asciiTheme="minorHAnsi" w:hAnsiTheme="minorHAnsi" w:cstheme="minorHAnsi"/>
          <w:i/>
        </w:rPr>
        <w:t>„Sposób wytwarzania granulowanego nawozu wapniowo-magnezowego”</w:t>
      </w:r>
      <w:r w:rsidRPr="00E03B79">
        <w:rPr>
          <w:rFonts w:asciiTheme="minorHAnsi" w:hAnsiTheme="minorHAnsi" w:cstheme="minorHAnsi"/>
        </w:rPr>
        <w:t>, który to patent został unieważniony:</w:t>
      </w:r>
    </w:p>
    <w:p w14:paraId="40350EFF" w14:textId="77777777" w:rsidR="00C9384B" w:rsidRPr="008B575F" w:rsidRDefault="00C9384B" w:rsidP="0052303B">
      <w:pPr>
        <w:pStyle w:val="NormalnyWeb"/>
        <w:shd w:val="clear" w:color="auto" w:fill="FFFFFF"/>
        <w:spacing w:before="0" w:beforeAutospacing="0" w:after="0" w:afterAutospacing="0"/>
        <w:ind w:left="851" w:hanging="284"/>
        <w:jc w:val="both"/>
        <w:rPr>
          <w:rFonts w:asciiTheme="minorHAnsi" w:hAnsiTheme="minorHAnsi" w:cstheme="minorHAnsi"/>
          <w:sz w:val="6"/>
          <w:szCs w:val="6"/>
        </w:rPr>
      </w:pPr>
    </w:p>
    <w:p w14:paraId="4E8D3516" w14:textId="71B2A72E" w:rsidR="00C9384B" w:rsidRPr="00E03B79" w:rsidRDefault="00C9384B" w:rsidP="0052303B">
      <w:pPr>
        <w:pStyle w:val="NormalnyWeb"/>
        <w:shd w:val="clear" w:color="auto" w:fill="FFFFFF"/>
        <w:spacing w:before="0" w:beforeAutospacing="0" w:after="0" w:afterAutospacing="0"/>
        <w:ind w:left="851" w:hanging="284"/>
        <w:jc w:val="both"/>
        <w:rPr>
          <w:rFonts w:asciiTheme="minorHAnsi" w:hAnsiTheme="minorHAnsi" w:cstheme="minorHAnsi"/>
        </w:rPr>
      </w:pPr>
      <w:r w:rsidRPr="00E03B79">
        <w:rPr>
          <w:rFonts w:asciiTheme="minorHAnsi" w:hAnsiTheme="minorHAnsi" w:cstheme="minorHAnsi"/>
        </w:rPr>
        <w:t xml:space="preserve">- </w:t>
      </w:r>
      <w:r w:rsidR="00C17704" w:rsidRPr="00E03B79">
        <w:rPr>
          <w:rFonts w:asciiTheme="minorHAnsi" w:hAnsiTheme="minorHAnsi" w:cstheme="minorHAnsi"/>
        </w:rPr>
        <w:tab/>
      </w:r>
      <w:r w:rsidRPr="00E03B79">
        <w:rPr>
          <w:rFonts w:asciiTheme="minorHAnsi" w:hAnsiTheme="minorHAnsi" w:cstheme="minorHAnsi"/>
        </w:rPr>
        <w:t>decyzją Urzędu Patentowego RP z dnia 10.02.2017 r., po czym:</w:t>
      </w:r>
    </w:p>
    <w:p w14:paraId="4EB87D57" w14:textId="6DC47709" w:rsidR="00C9384B" w:rsidRPr="00E03B79" w:rsidRDefault="00C9384B" w:rsidP="0052303B">
      <w:pPr>
        <w:pStyle w:val="NormalnyWeb"/>
        <w:shd w:val="clear" w:color="auto" w:fill="FFFFFF"/>
        <w:spacing w:before="0" w:beforeAutospacing="0" w:after="0" w:afterAutospacing="0"/>
        <w:ind w:left="851" w:hanging="284"/>
        <w:jc w:val="both"/>
        <w:rPr>
          <w:rFonts w:asciiTheme="minorHAnsi" w:hAnsiTheme="minorHAnsi" w:cstheme="minorHAnsi"/>
        </w:rPr>
      </w:pPr>
      <w:r w:rsidRPr="00E03B79">
        <w:rPr>
          <w:rFonts w:asciiTheme="minorHAnsi" w:hAnsiTheme="minorHAnsi" w:cstheme="minorHAnsi"/>
        </w:rPr>
        <w:t xml:space="preserve">- </w:t>
      </w:r>
      <w:r w:rsidR="00C17704" w:rsidRPr="00E03B79">
        <w:rPr>
          <w:rFonts w:asciiTheme="minorHAnsi" w:hAnsiTheme="minorHAnsi" w:cstheme="minorHAnsi"/>
        </w:rPr>
        <w:tab/>
      </w:r>
      <w:r w:rsidRPr="00E03B79">
        <w:rPr>
          <w:rFonts w:asciiTheme="minorHAnsi" w:hAnsiTheme="minorHAnsi" w:cstheme="minorHAnsi"/>
        </w:rPr>
        <w:t>Wojewódzki Sąd Administracyjny wyrokiem z dnia 17.04.2018 r. sygn. akt VI SA/</w:t>
      </w:r>
      <w:proofErr w:type="spellStart"/>
      <w:r w:rsidRPr="00E03B79">
        <w:rPr>
          <w:rFonts w:asciiTheme="minorHAnsi" w:hAnsiTheme="minorHAnsi" w:cstheme="minorHAnsi"/>
        </w:rPr>
        <w:t>Wa</w:t>
      </w:r>
      <w:proofErr w:type="spellEnd"/>
      <w:r w:rsidRPr="00E03B79">
        <w:rPr>
          <w:rFonts w:asciiTheme="minorHAnsi" w:hAnsiTheme="minorHAnsi" w:cstheme="minorHAnsi"/>
        </w:rPr>
        <w:t xml:space="preserve"> 2143/17 oddalił skargę na decyzję o unieważnieniu ww. patentu (adres dostępu:</w:t>
      </w:r>
      <w:r w:rsidR="00372FC9" w:rsidRPr="00E03B79">
        <w:rPr>
          <w:rFonts w:asciiTheme="minorHAnsi" w:hAnsiTheme="minorHAnsi" w:cstheme="minorHAnsi"/>
        </w:rPr>
        <w:t xml:space="preserve"> </w:t>
      </w:r>
      <w:hyperlink r:id="rId26" w:history="1">
        <w:r w:rsidR="00372FC9" w:rsidRPr="00860052">
          <w:rPr>
            <w:rStyle w:val="Hipercze"/>
            <w:rFonts w:asciiTheme="minorHAnsi" w:hAnsiTheme="minorHAnsi" w:cstheme="minorHAnsi"/>
            <w:color w:val="2E74B5" w:themeColor="accent5" w:themeShade="BF"/>
          </w:rPr>
          <w:t>https://orzeczenia.nsa.gov.pl/doc/F12332F2B4</w:t>
        </w:r>
      </w:hyperlink>
      <w:r w:rsidRPr="00E03B79">
        <w:rPr>
          <w:rFonts w:asciiTheme="minorHAnsi" w:hAnsiTheme="minorHAnsi" w:cstheme="minorHAnsi"/>
        </w:rPr>
        <w:t>), po czym:</w:t>
      </w:r>
    </w:p>
    <w:p w14:paraId="14CFDB42" w14:textId="251780B1" w:rsidR="00C9384B" w:rsidRPr="00E03B79" w:rsidRDefault="00C9384B" w:rsidP="0052303B">
      <w:pPr>
        <w:pStyle w:val="NormalnyWeb"/>
        <w:shd w:val="clear" w:color="auto" w:fill="FFFFFF"/>
        <w:spacing w:before="0" w:beforeAutospacing="0" w:after="0" w:afterAutospacing="0"/>
        <w:ind w:left="851" w:hanging="284"/>
        <w:jc w:val="both"/>
        <w:rPr>
          <w:rFonts w:asciiTheme="minorHAnsi" w:hAnsiTheme="minorHAnsi" w:cstheme="minorHAnsi"/>
        </w:rPr>
      </w:pPr>
      <w:r w:rsidRPr="00E03B79">
        <w:rPr>
          <w:rFonts w:asciiTheme="minorHAnsi" w:hAnsiTheme="minorHAnsi" w:cstheme="minorHAnsi"/>
        </w:rPr>
        <w:t xml:space="preserve">- </w:t>
      </w:r>
      <w:r w:rsidR="00C17704" w:rsidRPr="00E03B79">
        <w:rPr>
          <w:rFonts w:asciiTheme="minorHAnsi" w:hAnsiTheme="minorHAnsi" w:cstheme="minorHAnsi"/>
        </w:rPr>
        <w:tab/>
      </w:r>
      <w:r w:rsidRPr="00E03B79">
        <w:rPr>
          <w:rFonts w:asciiTheme="minorHAnsi" w:hAnsiTheme="minorHAnsi" w:cstheme="minorHAnsi"/>
        </w:rPr>
        <w:t>Naczelny Sąd Administracyjny wyrokiem z dnia 26.04.2022 r. sygn. akt II GSK 1724/18 oddalił skargę kasacyjną w tej sprawie i decyzja o unieważnieniu patentu Pat.212219 (P.386337) stała się prawomocna (adres dostępu:</w:t>
      </w:r>
      <w:r w:rsidR="00372FC9" w:rsidRPr="00E03B79">
        <w:rPr>
          <w:rFonts w:asciiTheme="minorHAnsi" w:hAnsiTheme="minorHAnsi" w:cstheme="minorHAnsi"/>
        </w:rPr>
        <w:t xml:space="preserve"> </w:t>
      </w:r>
      <w:hyperlink r:id="rId27" w:history="1">
        <w:r w:rsidR="00372FC9" w:rsidRPr="00860052">
          <w:rPr>
            <w:rStyle w:val="Hipercze"/>
            <w:rFonts w:asciiTheme="minorHAnsi" w:hAnsiTheme="minorHAnsi" w:cstheme="minorHAnsi"/>
            <w:color w:val="2E74B5" w:themeColor="accent5" w:themeShade="BF"/>
          </w:rPr>
          <w:t>https://orzeczenia.nsa.gov.pl/doc/F760F22B33</w:t>
        </w:r>
      </w:hyperlink>
      <w:r w:rsidRPr="00E03B79">
        <w:rPr>
          <w:rFonts w:asciiTheme="minorHAnsi" w:hAnsiTheme="minorHAnsi" w:cstheme="minorHAnsi"/>
        </w:rPr>
        <w:t>) - co zilustrowano w zestawieniu orzeczeń sądów administracyjnych, w wyniku wydania których decyzja o unieważnieniu patentu Pat.212219 (P.386337) stała się prawomocna,</w:t>
      </w:r>
    </w:p>
    <w:p w14:paraId="051B22B6" w14:textId="77777777" w:rsidR="00C9384B" w:rsidRPr="00F505B7" w:rsidRDefault="00C9384B" w:rsidP="00C9384B">
      <w:pPr>
        <w:pStyle w:val="NormalnyWeb"/>
        <w:shd w:val="clear" w:color="auto" w:fill="FFFFFF"/>
        <w:spacing w:before="0" w:beforeAutospacing="0" w:after="0" w:afterAutospacing="0"/>
        <w:jc w:val="both"/>
        <w:rPr>
          <w:rFonts w:asciiTheme="minorHAnsi" w:hAnsiTheme="minorHAnsi" w:cstheme="minorHAnsi"/>
          <w:sz w:val="6"/>
          <w:szCs w:val="6"/>
        </w:rPr>
      </w:pPr>
    </w:p>
    <w:p w14:paraId="7D0F4846" w14:textId="24035456" w:rsidR="00C9384B" w:rsidRPr="00E03B79" w:rsidRDefault="00C9384B" w:rsidP="000A08D7">
      <w:pPr>
        <w:pStyle w:val="NormalnyWeb"/>
        <w:shd w:val="clear" w:color="auto" w:fill="FFFFFF"/>
        <w:spacing w:before="0" w:beforeAutospacing="0" w:after="0" w:afterAutospacing="0"/>
        <w:ind w:left="567" w:hanging="283"/>
        <w:jc w:val="both"/>
        <w:rPr>
          <w:rFonts w:asciiTheme="minorHAnsi" w:hAnsiTheme="minorHAnsi" w:cstheme="minorHAnsi"/>
        </w:rPr>
      </w:pPr>
      <w:r w:rsidRPr="00E03B79">
        <w:rPr>
          <w:rFonts w:asciiTheme="minorHAnsi" w:hAnsiTheme="minorHAnsi" w:cstheme="minorHAnsi"/>
        </w:rPr>
        <w:t xml:space="preserve">3) </w:t>
      </w:r>
      <w:r w:rsidR="00C17704" w:rsidRPr="00E03B79">
        <w:rPr>
          <w:rFonts w:asciiTheme="minorHAnsi" w:hAnsiTheme="minorHAnsi" w:cstheme="minorHAnsi"/>
        </w:rPr>
        <w:tab/>
      </w:r>
      <w:r w:rsidRPr="00E03B79">
        <w:rPr>
          <w:rFonts w:asciiTheme="minorHAnsi" w:hAnsiTheme="minorHAnsi" w:cstheme="minorHAnsi"/>
        </w:rPr>
        <w:t xml:space="preserve">tymczasem aktualnie Urząd Patentowy RP wciąż informuje, że patent Pat. 212219 pozostaje w mocy, a co więcej, że będzie on pozostawał w mocy do 2028.10.23 - w dniu 03.11.2022 r. w </w:t>
      </w:r>
      <w:r w:rsidRPr="00E03B79">
        <w:rPr>
          <w:rFonts w:asciiTheme="minorHAnsi" w:hAnsiTheme="minorHAnsi" w:cstheme="minorHAnsi"/>
        </w:rPr>
        <w:lastRenderedPageBreak/>
        <w:t xml:space="preserve">bazie urzędu wciąż udostępniana była myląca informacja </w:t>
      </w:r>
      <w:r w:rsidRPr="00E03B79">
        <w:rPr>
          <w:rFonts w:asciiTheme="minorHAnsi" w:hAnsiTheme="minorHAnsi" w:cstheme="minorHAnsi"/>
          <w:i/>
        </w:rPr>
        <w:t>„Status: Prawo w mocy”</w:t>
      </w:r>
      <w:r w:rsidRPr="00E03B79">
        <w:rPr>
          <w:rFonts w:asciiTheme="minorHAnsi" w:hAnsiTheme="minorHAnsi" w:cstheme="minorHAnsi"/>
        </w:rPr>
        <w:t xml:space="preserve"> (adres dostępu:</w:t>
      </w:r>
      <w:r w:rsidR="00372FC9" w:rsidRPr="00E03B79">
        <w:rPr>
          <w:rFonts w:asciiTheme="minorHAnsi" w:hAnsiTheme="minorHAnsi" w:cstheme="minorHAnsi"/>
        </w:rPr>
        <w:t xml:space="preserve"> </w:t>
      </w:r>
      <w:hyperlink r:id="rId28" w:history="1">
        <w:r w:rsidR="00372FC9" w:rsidRPr="00860052">
          <w:rPr>
            <w:rStyle w:val="Hipercze"/>
            <w:rFonts w:asciiTheme="minorHAnsi" w:hAnsiTheme="minorHAnsi" w:cstheme="minorHAnsi"/>
            <w:color w:val="2E74B5" w:themeColor="accent5" w:themeShade="BF"/>
          </w:rPr>
          <w:t>https://ewyszukiwarka.pue.uprp.gov.pl/search/pwp-details/P.386337</w:t>
        </w:r>
      </w:hyperlink>
      <w:r w:rsidRPr="00860052">
        <w:rPr>
          <w:rFonts w:asciiTheme="minorHAnsi" w:hAnsiTheme="minorHAnsi" w:cstheme="minorHAnsi"/>
          <w:color w:val="2E74B5" w:themeColor="accent5" w:themeShade="BF"/>
        </w:rPr>
        <w:t>)</w:t>
      </w:r>
      <w:r w:rsidRPr="00E03B79">
        <w:rPr>
          <w:rFonts w:asciiTheme="minorHAnsi" w:hAnsiTheme="minorHAnsi" w:cstheme="minorHAnsi"/>
        </w:rPr>
        <w:t xml:space="preserve">; zrzut ekranu ze strony Urzędu Patentowego RP zawiera oprócz wyżej opisanej informacji także </w:t>
      </w:r>
      <w:r w:rsidRPr="00E03B79">
        <w:rPr>
          <w:rFonts w:asciiTheme="minorHAnsi" w:hAnsiTheme="minorHAnsi" w:cstheme="minorHAnsi"/>
          <w:i/>
        </w:rPr>
        <w:t>wskazanie „2028-10-23 Data wygaśnięcia”</w:t>
      </w:r>
      <w:r w:rsidRPr="00E03B79">
        <w:rPr>
          <w:rFonts w:asciiTheme="minorHAnsi" w:hAnsiTheme="minorHAnsi" w:cstheme="minorHAnsi"/>
        </w:rPr>
        <w:t xml:space="preserve">, przy czym numer zgłoszenia wynalazku prezentowany jest przez urząd tak, jak gdyby był numerem patentu; przedstawiona sytuacja jest tym bardziej niebezpieczna, że jak wynika z obowiązującej ustawy z dnia 30 czerwca 2000 r. Prawo własności przemysłowej: </w:t>
      </w:r>
      <w:r w:rsidRPr="00E03B79">
        <w:rPr>
          <w:rFonts w:asciiTheme="minorHAnsi" w:hAnsiTheme="minorHAnsi" w:cstheme="minorHAnsi"/>
          <w:i/>
        </w:rPr>
        <w:t>„Art. 228. 4. Domniemywa się, że wpisy w rejestrach, o których mowa w ust. 1, są prawdziwe i że każdemu jest znana ich treść.”</w:t>
      </w:r>
      <w:r w:rsidRPr="00E03B79">
        <w:rPr>
          <w:rFonts w:asciiTheme="minorHAnsi" w:hAnsiTheme="minorHAnsi" w:cstheme="minorHAnsi"/>
        </w:rPr>
        <w:t xml:space="preserve">, tak więc do uczestników obrotu gospodarczego, sądów i organów ścigania - tak w sytuacji przedstawionej wyżej i wielu innych - emitowane są przez Urząd Patentowy RP informacje wprowadzające w błąd, zaś Urząd ten proszony o skorygowanie niebezpiecznej sytuacji i przestrzeganie prawa - zapewnia, że: </w:t>
      </w:r>
      <w:r w:rsidRPr="00E03B79">
        <w:rPr>
          <w:rFonts w:asciiTheme="minorHAnsi" w:hAnsiTheme="minorHAnsi" w:cstheme="minorHAnsi"/>
          <w:i/>
        </w:rPr>
        <w:t>„Dla zachowania przejrzystości i czytelności rejestrów Urząd Patentowy ujawnia informacje o wydanych decyzjach, np. w przedmiocie żądania unieważnienia patentu, dopiero po ich uprawomocnieniu się. (…).”</w:t>
      </w:r>
      <w:r w:rsidRPr="00E03B79">
        <w:rPr>
          <w:rFonts w:asciiTheme="minorHAnsi" w:hAnsiTheme="minorHAnsi" w:cstheme="minorHAnsi"/>
        </w:rPr>
        <w:t xml:space="preserve"> (fragment odpowiedzi z dnia 23.12.2021 r. na list otwarty skierowany dnia 15.11.2021 r. do kierownictwa Urzędu Patentowego RP), lecz jak jednak widać urząd - mimo zapewnień - często nie udostępnia faktycznych danych o stanie prawnym i statusie prawa wyłącznego udzielonego przez Urząd także wówczas, gdy informacje te wynikają z prawomocnych decyzji, więcej Urząd nie podejmuje też starań o uzupełnienie (nie dość może jasnego) rozporządzenia Prezesa Rady Ministrów z dnia 12 stycznia 2017 r. w sprawie rejestrów prowadzonych przez Urząd Patentowy Rzeczypospolitej Polskiej (Dz. U. poz. 115), które dalej nazywane jest </w:t>
      </w:r>
      <w:r w:rsidRPr="00E03B79">
        <w:rPr>
          <w:rFonts w:asciiTheme="minorHAnsi" w:hAnsiTheme="minorHAnsi" w:cstheme="minorHAnsi"/>
          <w:i/>
        </w:rPr>
        <w:t>„RSR”</w:t>
      </w:r>
      <w:r w:rsidRPr="00E03B79">
        <w:rPr>
          <w:rFonts w:asciiTheme="minorHAnsi" w:hAnsiTheme="minorHAnsi" w:cstheme="minorHAnsi"/>
        </w:rPr>
        <w:t xml:space="preserve">, Urząd wyjaśnia jedynie </w:t>
      </w:r>
      <w:r w:rsidRPr="00E03B79">
        <w:rPr>
          <w:rFonts w:asciiTheme="minorHAnsi" w:hAnsiTheme="minorHAnsi" w:cstheme="minorHAnsi"/>
          <w:i/>
        </w:rPr>
        <w:t>„aktualnie prowadzone są prace nad projektem ustawy - Prawo własności przemysłowej (nr projektu UD263).”</w:t>
      </w:r>
      <w:r w:rsidRPr="00E03B79">
        <w:rPr>
          <w:rFonts w:asciiTheme="minorHAnsi" w:hAnsiTheme="minorHAnsi" w:cstheme="minorHAnsi"/>
        </w:rPr>
        <w:t xml:space="preserve"> - co dokumentuje nastawienie urzędu do stosowania prawa, a ściślej jego nieprzestrzegania tu i teraz.</w:t>
      </w:r>
    </w:p>
    <w:p w14:paraId="4E54B36B" w14:textId="77777777" w:rsidR="00C9384B" w:rsidRPr="00F505B7"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15D7018D" w14:textId="74633119" w:rsidR="0018644C" w:rsidRDefault="00C9384B" w:rsidP="001F6BE3">
      <w:pPr>
        <w:pStyle w:val="NormalnyWeb"/>
        <w:numPr>
          <w:ilvl w:val="0"/>
          <w:numId w:val="41"/>
        </w:numPr>
        <w:shd w:val="clear" w:color="auto" w:fill="FFFFFF"/>
        <w:spacing w:before="0" w:beforeAutospacing="0" w:after="0" w:afterAutospacing="0"/>
        <w:ind w:left="567" w:hanging="425"/>
        <w:jc w:val="both"/>
        <w:rPr>
          <w:rFonts w:asciiTheme="minorHAnsi" w:hAnsiTheme="minorHAnsi" w:cstheme="minorHAnsi"/>
        </w:rPr>
      </w:pPr>
      <w:r w:rsidRPr="00E03B79">
        <w:rPr>
          <w:rFonts w:asciiTheme="minorHAnsi" w:hAnsiTheme="minorHAnsi" w:cstheme="minorHAnsi"/>
        </w:rPr>
        <w:t xml:space="preserve">Trzeci przykład niestarannych i równocześnie niebezpiecznych działań urzędu ilustruje sytuacja, w której Urząd Patentowy RP w przypadku tego samego prawa udostępnia dane (w bazach internetowych oraz w rejestrach Urzędu Patentowego RP) informujące zarówno o pozostawaniu tego prawa w mocy </w:t>
      </w:r>
      <w:r w:rsidRPr="00E03B79">
        <w:rPr>
          <w:rFonts w:asciiTheme="minorHAnsi" w:hAnsiTheme="minorHAnsi" w:cstheme="minorHAnsi"/>
          <w:i/>
        </w:rPr>
        <w:t>(„Postępowanie w toku”)</w:t>
      </w:r>
      <w:r w:rsidRPr="00E03B79">
        <w:rPr>
          <w:rFonts w:asciiTheme="minorHAnsi" w:hAnsiTheme="minorHAnsi" w:cstheme="minorHAnsi"/>
        </w:rPr>
        <w:t>, jak też o unieważnieniu tego samego prawa (adres dostępu:</w:t>
      </w:r>
      <w:r w:rsidR="0018644C">
        <w:rPr>
          <w:rFonts w:asciiTheme="minorHAnsi" w:hAnsiTheme="minorHAnsi" w:cstheme="minorHAnsi"/>
        </w:rPr>
        <w:t xml:space="preserve">    </w:t>
      </w:r>
    </w:p>
    <w:p w14:paraId="2273F1CE" w14:textId="6412894C" w:rsidR="00C9384B" w:rsidRPr="00E03B79" w:rsidRDefault="00B82931" w:rsidP="000A08D7">
      <w:pPr>
        <w:pStyle w:val="NormalnyWeb"/>
        <w:shd w:val="clear" w:color="auto" w:fill="FFFFFF"/>
        <w:spacing w:before="0" w:beforeAutospacing="0" w:after="0" w:afterAutospacing="0"/>
        <w:ind w:left="567"/>
        <w:jc w:val="both"/>
        <w:rPr>
          <w:rFonts w:asciiTheme="minorHAnsi" w:hAnsiTheme="minorHAnsi" w:cstheme="minorHAnsi"/>
        </w:rPr>
      </w:pPr>
      <w:hyperlink r:id="rId29" w:history="1">
        <w:r w:rsidR="0018644C" w:rsidRPr="00017FFD">
          <w:rPr>
            <w:rStyle w:val="Hipercze"/>
            <w:rFonts w:asciiTheme="minorHAnsi" w:hAnsiTheme="minorHAnsi" w:cstheme="minorHAnsi"/>
            <w:color w:val="2E74B5" w:themeColor="accent5" w:themeShade="BF"/>
          </w:rPr>
          <w:t>https://eprofil.pue.uprp.gov.pl/public/registry/view/Ru.070891?lng=pl</w:t>
        </w:r>
      </w:hyperlink>
      <w:r w:rsidR="00C9384B" w:rsidRPr="00017FFD">
        <w:rPr>
          <w:rFonts w:asciiTheme="minorHAnsi" w:hAnsiTheme="minorHAnsi" w:cstheme="minorHAnsi"/>
          <w:color w:val="2E74B5" w:themeColor="accent5" w:themeShade="BF"/>
        </w:rPr>
        <w:t>)</w:t>
      </w:r>
      <w:r w:rsidR="00C9384B" w:rsidRPr="00E03B79">
        <w:rPr>
          <w:rFonts w:asciiTheme="minorHAnsi" w:hAnsiTheme="minorHAnsi" w:cstheme="minorHAnsi"/>
        </w:rPr>
        <w:t>; zrzuty ekranu ze strony internetowej Urzędu Patentowego RP zawierają jednocześnie informacje „</w:t>
      </w:r>
      <w:r w:rsidR="00C9384B" w:rsidRPr="00E03B79">
        <w:rPr>
          <w:rFonts w:asciiTheme="minorHAnsi" w:hAnsiTheme="minorHAnsi" w:cstheme="minorHAnsi"/>
          <w:i/>
          <w:iCs/>
        </w:rPr>
        <w:t>Status Postępowanie w toku</w:t>
      </w:r>
      <w:r w:rsidR="00C9384B" w:rsidRPr="00E03B79">
        <w:rPr>
          <w:rFonts w:asciiTheme="minorHAnsi" w:hAnsiTheme="minorHAnsi" w:cstheme="minorHAnsi"/>
        </w:rPr>
        <w:t>” oraz „</w:t>
      </w:r>
      <w:r w:rsidR="00C9384B" w:rsidRPr="00E03B79">
        <w:rPr>
          <w:rFonts w:asciiTheme="minorHAnsi" w:hAnsiTheme="minorHAnsi" w:cstheme="minorHAnsi"/>
          <w:i/>
        </w:rPr>
        <w:t>15.03.2020 r. Unieważnione prawo ochronne w całości (Sp. 260.2019)”.</w:t>
      </w:r>
    </w:p>
    <w:p w14:paraId="55102ED2" w14:textId="77777777" w:rsidR="00C9384B" w:rsidRPr="00E03B79"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68E116F6"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Możliwe byłoby już obecnie doraźne i skuteczne rozwiązanie powyższych problemów, gdyby kierownictwo Urzędu Patentowego RP podjęło odpowiednie starania i zdecydowało o:</w:t>
      </w:r>
    </w:p>
    <w:p w14:paraId="1E3AD20E" w14:textId="77777777" w:rsidR="00C9384B" w:rsidRPr="00E03B79" w:rsidRDefault="00C9384B" w:rsidP="00060D64">
      <w:pPr>
        <w:pStyle w:val="NormalnyWeb"/>
        <w:shd w:val="clear" w:color="auto" w:fill="FFFFFF"/>
        <w:tabs>
          <w:tab w:val="left" w:pos="567"/>
        </w:tabs>
        <w:spacing w:before="0" w:beforeAutospacing="0" w:after="0" w:afterAutospacing="0"/>
        <w:ind w:left="567" w:hanging="425"/>
        <w:jc w:val="both"/>
        <w:rPr>
          <w:rFonts w:asciiTheme="minorHAnsi" w:hAnsiTheme="minorHAnsi" w:cstheme="minorHAnsi"/>
          <w:sz w:val="6"/>
          <w:szCs w:val="6"/>
        </w:rPr>
      </w:pPr>
    </w:p>
    <w:p w14:paraId="51993222" w14:textId="7E75DEB5" w:rsidR="00C9384B" w:rsidRPr="00E03B79" w:rsidRDefault="00C9384B" w:rsidP="001F6BE3">
      <w:pPr>
        <w:pStyle w:val="NormalnyWeb"/>
        <w:numPr>
          <w:ilvl w:val="0"/>
          <w:numId w:val="43"/>
        </w:numPr>
        <w:shd w:val="clear" w:color="auto" w:fill="FFFFFF"/>
        <w:tabs>
          <w:tab w:val="left" w:pos="567"/>
        </w:tabs>
        <w:spacing w:before="0" w:beforeAutospacing="0" w:after="0" w:afterAutospacing="0"/>
        <w:ind w:left="567" w:hanging="425"/>
        <w:jc w:val="both"/>
        <w:rPr>
          <w:rFonts w:asciiTheme="minorHAnsi" w:hAnsiTheme="minorHAnsi" w:cstheme="minorHAnsi"/>
        </w:rPr>
      </w:pPr>
      <w:r w:rsidRPr="00E03B79">
        <w:rPr>
          <w:rFonts w:asciiTheme="minorHAnsi" w:hAnsiTheme="minorHAnsi" w:cstheme="minorHAnsi"/>
        </w:rPr>
        <w:t xml:space="preserve">niewprowadzaniu błędnych danych do systemu oraz o bieżącym udostępnianiu informacji o decyzjach wydanych w każdej sprawie, a także o środkach zaskarżenia otrzymanych i składanych przez strony, gdyż Urząd (nawet jeśli po wniesieniu skargi do sądu administracyjnego na orzeczenie Urzędu, na tym etapie postępowania - jak często podkreśla - </w:t>
      </w:r>
      <w:r w:rsidRPr="00E03B79">
        <w:rPr>
          <w:rFonts w:asciiTheme="minorHAnsi" w:hAnsiTheme="minorHAnsi" w:cstheme="minorHAnsi"/>
          <w:i/>
        </w:rPr>
        <w:t>„nie jest dysponentem akt”</w:t>
      </w:r>
      <w:r w:rsidRPr="00E03B79">
        <w:rPr>
          <w:rFonts w:asciiTheme="minorHAnsi" w:hAnsiTheme="minorHAnsi" w:cstheme="minorHAnsi"/>
        </w:rPr>
        <w:t xml:space="preserve">) zawsze jednak dysponuje pełną wiedzą o ich zawartości i treści wydawanych orzeczeń, a ujawnianie kompletnych danych jest możliwe zgodnie z obecnie obowiązującym, ww. rozporządzeniem RSR w sprawie rejestrów prowadzonych przez Urząd Patentowy - de lege lata - w świetle § 8 pkt 6 dotyczącego </w:t>
      </w:r>
      <w:r w:rsidRPr="00E03B79">
        <w:rPr>
          <w:rFonts w:asciiTheme="minorHAnsi" w:hAnsiTheme="minorHAnsi" w:cstheme="minorHAnsi"/>
          <w:i/>
        </w:rPr>
        <w:t>„rubryki F”</w:t>
      </w:r>
      <w:r w:rsidRPr="00E03B79">
        <w:rPr>
          <w:rFonts w:asciiTheme="minorHAnsi" w:hAnsiTheme="minorHAnsi" w:cstheme="minorHAnsi"/>
        </w:rPr>
        <w:t xml:space="preserve">, gdyż w rejestrach urzędu mają być odnotowywane </w:t>
      </w:r>
      <w:r w:rsidRPr="00E03B79">
        <w:rPr>
          <w:rFonts w:asciiTheme="minorHAnsi" w:hAnsiTheme="minorHAnsi" w:cstheme="minorHAnsi"/>
          <w:i/>
        </w:rPr>
        <w:t>„decyzje dotyczące patentu”</w:t>
      </w:r>
      <w:r w:rsidRPr="00E03B79">
        <w:rPr>
          <w:rFonts w:asciiTheme="minorHAnsi" w:hAnsiTheme="minorHAnsi" w:cstheme="minorHAnsi"/>
        </w:rPr>
        <w:t xml:space="preserve"> (zatem tak prawomocne, jak i nieprawomocne),</w:t>
      </w:r>
    </w:p>
    <w:p w14:paraId="7D253464" w14:textId="77777777" w:rsidR="00C9384B" w:rsidRPr="00E03B79" w:rsidRDefault="00C9384B" w:rsidP="00060D64">
      <w:pPr>
        <w:pStyle w:val="NormalnyWeb"/>
        <w:shd w:val="clear" w:color="auto" w:fill="FFFFFF"/>
        <w:tabs>
          <w:tab w:val="left" w:pos="567"/>
        </w:tabs>
        <w:spacing w:before="0" w:beforeAutospacing="0" w:after="0" w:afterAutospacing="0"/>
        <w:ind w:left="567" w:hanging="425"/>
        <w:jc w:val="both"/>
        <w:rPr>
          <w:rFonts w:asciiTheme="minorHAnsi" w:hAnsiTheme="minorHAnsi" w:cstheme="minorHAnsi"/>
          <w:sz w:val="6"/>
          <w:szCs w:val="6"/>
        </w:rPr>
      </w:pPr>
    </w:p>
    <w:p w14:paraId="1757CBB4" w14:textId="0AEDC7C2" w:rsidR="00C9384B" w:rsidRPr="00E03B79" w:rsidRDefault="00C9384B" w:rsidP="001F6BE3">
      <w:pPr>
        <w:pStyle w:val="NormalnyWeb"/>
        <w:numPr>
          <w:ilvl w:val="0"/>
          <w:numId w:val="43"/>
        </w:numPr>
        <w:shd w:val="clear" w:color="auto" w:fill="FFFFFF"/>
        <w:tabs>
          <w:tab w:val="left" w:pos="567"/>
        </w:tabs>
        <w:spacing w:before="0" w:beforeAutospacing="0" w:after="0" w:afterAutospacing="0"/>
        <w:ind w:left="567" w:hanging="425"/>
        <w:jc w:val="both"/>
        <w:rPr>
          <w:rFonts w:asciiTheme="minorHAnsi" w:hAnsiTheme="minorHAnsi" w:cstheme="minorHAnsi"/>
        </w:rPr>
      </w:pPr>
      <w:r w:rsidRPr="00E03B79">
        <w:rPr>
          <w:rFonts w:asciiTheme="minorHAnsi" w:hAnsiTheme="minorHAnsi" w:cstheme="minorHAnsi"/>
        </w:rPr>
        <w:t xml:space="preserve">podjęciu w przyszłości starań - </w:t>
      </w:r>
      <w:r w:rsidRPr="00E03B79">
        <w:rPr>
          <w:rFonts w:asciiTheme="minorHAnsi" w:hAnsiTheme="minorHAnsi" w:cstheme="minorHAnsi"/>
          <w:i/>
          <w:iCs/>
        </w:rPr>
        <w:t>de lege ferenda</w:t>
      </w:r>
      <w:r w:rsidRPr="00E03B79">
        <w:rPr>
          <w:rFonts w:asciiTheme="minorHAnsi" w:hAnsiTheme="minorHAnsi" w:cstheme="minorHAnsi"/>
        </w:rPr>
        <w:t xml:space="preserve"> - o uzupełnienie treści rozporządzenia RSR, w ten sposób, aby po korekcie rozporządzenia nie budziło już niczyjej wątpliwości to, że do </w:t>
      </w:r>
      <w:r w:rsidRPr="00E03B79">
        <w:rPr>
          <w:rFonts w:asciiTheme="minorHAnsi" w:hAnsiTheme="minorHAnsi" w:cstheme="minorHAnsi"/>
        </w:rPr>
        <w:lastRenderedPageBreak/>
        <w:t xml:space="preserve">rejestrów Urzędu Patentowego wpisywać należy </w:t>
      </w:r>
      <w:r w:rsidRPr="00E03B79">
        <w:rPr>
          <w:rFonts w:asciiTheme="minorHAnsi" w:hAnsiTheme="minorHAnsi" w:cstheme="minorHAnsi"/>
          <w:i/>
        </w:rPr>
        <w:t>„wszelkie”</w:t>
      </w:r>
      <w:r w:rsidRPr="00E03B79">
        <w:rPr>
          <w:rFonts w:asciiTheme="minorHAnsi" w:hAnsiTheme="minorHAnsi" w:cstheme="minorHAnsi"/>
        </w:rPr>
        <w:t xml:space="preserve"> orzeczenia dotyczące danego prawa wyłącznego udzielonego przez Urząd (także informacje o nieprawomocnych wyrokach sądów powszechnych unieważniających to prawo), gdyż obecnie w treści § 8 pkt 6 dotyczącego </w:t>
      </w:r>
      <w:r w:rsidRPr="00E03B79">
        <w:rPr>
          <w:rFonts w:asciiTheme="minorHAnsi" w:hAnsiTheme="minorHAnsi" w:cstheme="minorHAnsi"/>
          <w:i/>
        </w:rPr>
        <w:t>„rubryki F”</w:t>
      </w:r>
      <w:r w:rsidRPr="00E03B79">
        <w:rPr>
          <w:rFonts w:asciiTheme="minorHAnsi" w:hAnsiTheme="minorHAnsi" w:cstheme="minorHAnsi"/>
        </w:rPr>
        <w:t xml:space="preserve"> nie przewidziano wprost i jednoznacznie miejsca na wprowadzanie danych, których obowiązek ujawniania wynika z art. 228 ust.11 obowiązującej ustawy Prawo własności przemysłowej (Dz. U. 2021 r. poz. 324).</w:t>
      </w:r>
    </w:p>
    <w:p w14:paraId="1E2E771C" w14:textId="77777777" w:rsidR="00C9384B" w:rsidRPr="00E03B79"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779C21EB"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Ustawodawca zatem już wcześniej liczył wyraźnie na to, że Urząd Patentowy dokona logicznej wykładni prawa i zauważy, że ujawnianie kompletnych danych o stanie prawnym praw wyłącznych udzielanych przez Urząd - jest bezwzględnym warunkiem zapewnienia bezpieczeństwa i swobody działalności gospodarczej gwarantowanej przez art. 20 Konstytucji RP, także dlatego, że zapobiega wszczynaniu bezpodstawnych sporów.</w:t>
      </w:r>
    </w:p>
    <w:p w14:paraId="3BCE2FC7" w14:textId="77777777" w:rsidR="00C9384B" w:rsidRPr="00F505B7"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700BC56C"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Może dlatego ustawodawca niedostatecznie stanowczo sprecyzował ten oczywisty obowiązek w przepisach wykonawczych, choć jasno wyraził swoją intencję w art. 228 ust. 11 obowiązującej ustawy Prawo własności przemysłowej.</w:t>
      </w:r>
    </w:p>
    <w:p w14:paraId="0EA1C22A" w14:textId="77777777" w:rsidR="00C9384B" w:rsidRPr="00F505B7"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6EA27788"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 xml:space="preserve">Natomiast bardzo niepokoi stanowisko Urzędu Patentowego, który wyjaśnia, że nie udostępnia danych o stanie praw udzielanych i uchylanych </w:t>
      </w:r>
      <w:r w:rsidRPr="00E03B79">
        <w:rPr>
          <w:rFonts w:asciiTheme="minorHAnsi" w:hAnsiTheme="minorHAnsi" w:cstheme="minorHAnsi"/>
          <w:i/>
        </w:rPr>
        <w:t>„dla zachowania przejrzystości i czytelności rejestrów”</w:t>
      </w:r>
      <w:r w:rsidRPr="00E03B79">
        <w:rPr>
          <w:rFonts w:asciiTheme="minorHAnsi" w:hAnsiTheme="minorHAnsi" w:cstheme="minorHAnsi"/>
        </w:rPr>
        <w:t xml:space="preserve"> (fragment odpowiedzi z dnia 23.12.2021 r. na list otwarty skierowany dnia 15.11.2021 r. do kierownictwa Urzędu Patentowego RP).</w:t>
      </w:r>
    </w:p>
    <w:p w14:paraId="69D09809" w14:textId="77777777" w:rsidR="00C9384B" w:rsidRPr="00F505B7"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02658663"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Niepokoi wieloletnie utrzymywanie przez Urząd Patentowy opisanego stanu niezgodności, a tym bardziej brak racjonalnej reakcji na apele o skorygowanie praktyki i dokonywanie właściwej wykładni prawa oraz podjęcie działań naprawczych, o które proszono w poniższym wystąpieniu:</w:t>
      </w:r>
    </w:p>
    <w:p w14:paraId="0BE133C6" w14:textId="77777777" w:rsidR="00C9384B" w:rsidRPr="00F505B7"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598BE210" w14:textId="68BCC969" w:rsidR="00C9384B" w:rsidRPr="00E03B79" w:rsidRDefault="00C9384B" w:rsidP="001F6BE3">
      <w:pPr>
        <w:pStyle w:val="NormalnyWeb"/>
        <w:numPr>
          <w:ilvl w:val="0"/>
          <w:numId w:val="44"/>
        </w:numPr>
        <w:shd w:val="clear" w:color="auto" w:fill="FFFFFF"/>
        <w:spacing w:before="0" w:beforeAutospacing="0" w:after="0" w:afterAutospacing="0"/>
        <w:ind w:left="567" w:hanging="425"/>
        <w:jc w:val="both"/>
        <w:rPr>
          <w:rFonts w:asciiTheme="minorHAnsi" w:hAnsiTheme="minorHAnsi" w:cstheme="minorHAnsi"/>
        </w:rPr>
      </w:pPr>
      <w:r w:rsidRPr="00E03B79">
        <w:rPr>
          <w:rFonts w:asciiTheme="minorHAnsi" w:hAnsiTheme="minorHAnsi" w:cstheme="minorHAnsi"/>
        </w:rPr>
        <w:t xml:space="preserve">list otwarty skierowany dnia 15.11.2021 r. do kierownictwa Urzędu Patentowego RP z apelem o pilną zmianę praktyki urzędu, w wyniku której przez długie lata nie jest możliwe ustalenie stanu prawnego określającego status praw wyłącznych udzielanych przez Urząd Patentowy; martwią też odpowiedzi Urzędu Patentowego, gdy twierdzi, że: </w:t>
      </w:r>
      <w:r w:rsidRPr="00E03B79">
        <w:rPr>
          <w:rFonts w:asciiTheme="minorHAnsi" w:hAnsiTheme="minorHAnsi" w:cstheme="minorHAnsi"/>
          <w:i/>
        </w:rPr>
        <w:t>„osoby zainteresowane wynikiem danego postępowania mogą zwrócić się do Urzędu Patentowego z wnioskiem w trybie ustawy o dostępie do informacji publicznej.”</w:t>
      </w:r>
      <w:r w:rsidRPr="00E03B79">
        <w:rPr>
          <w:rFonts w:asciiTheme="minorHAnsi" w:hAnsiTheme="minorHAnsi" w:cstheme="minorHAnsi"/>
        </w:rPr>
        <w:t>;</w:t>
      </w:r>
    </w:p>
    <w:p w14:paraId="666C53F2" w14:textId="77777777" w:rsidR="00C9384B" w:rsidRPr="00F505B7" w:rsidRDefault="00C9384B" w:rsidP="0008267F">
      <w:pPr>
        <w:pStyle w:val="NormalnyWeb"/>
        <w:shd w:val="clear" w:color="auto" w:fill="FFFFFF"/>
        <w:spacing w:before="0" w:beforeAutospacing="0" w:after="0" w:afterAutospacing="0"/>
        <w:ind w:left="567" w:hanging="425"/>
        <w:jc w:val="both"/>
        <w:rPr>
          <w:rFonts w:asciiTheme="minorHAnsi" w:hAnsiTheme="minorHAnsi" w:cstheme="minorHAnsi"/>
          <w:sz w:val="10"/>
          <w:szCs w:val="10"/>
        </w:rPr>
      </w:pPr>
    </w:p>
    <w:p w14:paraId="64DD5B28" w14:textId="2D87A0D4" w:rsidR="00C9384B" w:rsidRPr="00E03B79" w:rsidRDefault="00C9384B" w:rsidP="001F6BE3">
      <w:pPr>
        <w:pStyle w:val="NormalnyWeb"/>
        <w:numPr>
          <w:ilvl w:val="0"/>
          <w:numId w:val="44"/>
        </w:numPr>
        <w:shd w:val="clear" w:color="auto" w:fill="FFFFFF"/>
        <w:spacing w:before="0" w:beforeAutospacing="0" w:after="0" w:afterAutospacing="0"/>
        <w:ind w:left="567" w:hanging="425"/>
        <w:jc w:val="both"/>
        <w:rPr>
          <w:rFonts w:asciiTheme="minorHAnsi" w:hAnsiTheme="minorHAnsi" w:cstheme="minorHAnsi"/>
        </w:rPr>
      </w:pPr>
      <w:r w:rsidRPr="00E03B79">
        <w:rPr>
          <w:rFonts w:asciiTheme="minorHAnsi" w:hAnsiTheme="minorHAnsi" w:cstheme="minorHAnsi"/>
        </w:rPr>
        <w:t xml:space="preserve">odpowiedź kierownictwa Urzędu Patentowego RP z dnia 23.12.2021 r. na powyższy list otwarty, informująca, że </w:t>
      </w:r>
      <w:r w:rsidRPr="00E03B79">
        <w:rPr>
          <w:rFonts w:asciiTheme="minorHAnsi" w:hAnsiTheme="minorHAnsi" w:cstheme="minorHAnsi"/>
          <w:i/>
        </w:rPr>
        <w:t>„(…) osoby zainteresowane wynikiem danego postępowania mogą zwrócić się do Urzędu Patentowego z wnioskiem w trybie dostępu do informacji publicznej”.</w:t>
      </w:r>
    </w:p>
    <w:p w14:paraId="1AFEEB1F" w14:textId="77777777" w:rsidR="00C9384B" w:rsidRPr="00F505B7" w:rsidRDefault="00C9384B" w:rsidP="00C9384B">
      <w:pPr>
        <w:pStyle w:val="NormalnyWeb"/>
        <w:shd w:val="clear" w:color="auto" w:fill="FFFFFF"/>
        <w:spacing w:before="0" w:beforeAutospacing="0" w:after="0" w:afterAutospacing="0"/>
        <w:jc w:val="both"/>
        <w:rPr>
          <w:rFonts w:asciiTheme="minorHAnsi" w:hAnsiTheme="minorHAnsi" w:cstheme="minorHAnsi"/>
          <w:sz w:val="10"/>
          <w:szCs w:val="10"/>
        </w:rPr>
      </w:pPr>
    </w:p>
    <w:p w14:paraId="408EB2B8"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W odpowiedzi urząd formułuje zatem stwierdzenia i rady, które można uznać za podobne do sytuacji, jaka wystąpiłaby, gdyby Sejm Rzeczypospolitej Polskiej zaprzestał publikowania uchwalonych ustaw i informował, że</w:t>
      </w:r>
      <w:r w:rsidRPr="00E03B79">
        <w:rPr>
          <w:rFonts w:asciiTheme="minorHAnsi" w:hAnsiTheme="minorHAnsi" w:cstheme="minorHAnsi"/>
          <w:i/>
        </w:rPr>
        <w:t>: „osoby zainteresowane treścią danego aktu prawnego mogą zwrócić się do polskiego parlamentu z wnioskiem o udostępnienie uchwalonego aktu prawnego w trybie ustawy o dostępie do informacji publicznej”.</w:t>
      </w:r>
    </w:p>
    <w:p w14:paraId="3D6B07FF" w14:textId="77777777" w:rsidR="00C9384B" w:rsidRPr="00F505B7"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4E1EA298"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 xml:space="preserve">Obecnie Urząd Patentowy RP nie tylko ocenia pozytywnie prace nad wadliwym, niedopracowanym i niekompletnym projektem nowej ustawy Prawo własności przemysłowej UD263 (o którym opiniujący piszą </w:t>
      </w:r>
      <w:r w:rsidRPr="00E03B79">
        <w:rPr>
          <w:rFonts w:asciiTheme="minorHAnsi" w:hAnsiTheme="minorHAnsi" w:cstheme="minorHAnsi"/>
          <w:i/>
        </w:rPr>
        <w:t>„gwarantujący pogłębienie chaosu”</w:t>
      </w:r>
      <w:r w:rsidRPr="00E03B79">
        <w:rPr>
          <w:rFonts w:asciiTheme="minorHAnsi" w:hAnsiTheme="minorHAnsi" w:cstheme="minorHAnsi"/>
        </w:rPr>
        <w:t>), ale też nie realizuje opisanych wyżej bieżących obowiązków, dodatkowo komplikując funkcjonowanie rynku, w rezultacie czego, w wyniku niepotrzebnych sporów i zakłócania działalności przedsiębiorców, następuje zmniejszenie wpływów do budżetu państwa.</w:t>
      </w:r>
    </w:p>
    <w:p w14:paraId="08507CB6" w14:textId="77777777" w:rsidR="00C9384B" w:rsidRPr="00F505B7" w:rsidRDefault="00C9384B" w:rsidP="00C9384B">
      <w:pPr>
        <w:pStyle w:val="NormalnyWeb"/>
        <w:shd w:val="clear" w:color="auto" w:fill="FFFFFF"/>
        <w:spacing w:before="0" w:beforeAutospacing="0" w:after="0" w:afterAutospacing="0"/>
        <w:ind w:firstLine="708"/>
        <w:jc w:val="both"/>
        <w:rPr>
          <w:rFonts w:asciiTheme="minorHAnsi" w:hAnsiTheme="minorHAnsi" w:cstheme="minorHAnsi"/>
          <w:sz w:val="10"/>
          <w:szCs w:val="10"/>
        </w:rPr>
      </w:pPr>
    </w:p>
    <w:p w14:paraId="12CCFD47"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W związku z tym prosimy uprzejmie o jasną i wyczerpującą odpowiedź na następujące pytania:</w:t>
      </w:r>
    </w:p>
    <w:p w14:paraId="0E488E1A" w14:textId="77777777" w:rsidR="0008267F" w:rsidRPr="00E03B79" w:rsidRDefault="0008267F" w:rsidP="002346FE">
      <w:pPr>
        <w:pStyle w:val="NormalnyWeb"/>
        <w:shd w:val="clear" w:color="auto" w:fill="FFFFFF"/>
        <w:spacing w:before="0" w:beforeAutospacing="0" w:after="0" w:afterAutospacing="0"/>
        <w:jc w:val="both"/>
        <w:rPr>
          <w:rFonts w:asciiTheme="minorHAnsi" w:hAnsiTheme="minorHAnsi" w:cstheme="minorHAnsi"/>
        </w:rPr>
      </w:pPr>
    </w:p>
    <w:p w14:paraId="5D1D583F" w14:textId="77777777" w:rsidR="00C9384B" w:rsidRPr="00E03B79" w:rsidRDefault="00C9384B" w:rsidP="001B6FC4">
      <w:pPr>
        <w:numPr>
          <w:ilvl w:val="0"/>
          <w:numId w:val="2"/>
        </w:numPr>
        <w:shd w:val="clear" w:color="auto" w:fill="FFFFFF"/>
        <w:spacing w:after="0" w:line="240" w:lineRule="auto"/>
        <w:ind w:left="567" w:hanging="425"/>
        <w:jc w:val="both"/>
        <w:rPr>
          <w:rFonts w:cstheme="minorHAnsi"/>
          <w:sz w:val="24"/>
          <w:szCs w:val="24"/>
        </w:rPr>
      </w:pPr>
      <w:r w:rsidRPr="00E03B79">
        <w:rPr>
          <w:rFonts w:cstheme="minorHAnsi"/>
          <w:sz w:val="24"/>
          <w:szCs w:val="24"/>
        </w:rPr>
        <w:lastRenderedPageBreak/>
        <w:t>Jak Urząd Patentowy RP tłumaczy fakt, że na stronie internetowej urzędu prezentowane są nieaktualne, mylące i wprowadzające w błąd dane, oraz kto - zdaniem Pana Ministra - spośród grona pracowników Urzędu Patentowego RP, nadzór nad działalnością którego sprawuje Pan Minister (w myśl art. 260 obowiązującej ustawy Prawo własności przemysłowej), osobiście ponosi odpowiedzialność za opisane nieprawidłowości w działaniu Urzędu Patentowego RP i ich usprawiedliwianie?</w:t>
      </w:r>
    </w:p>
    <w:p w14:paraId="49CF3F5B" w14:textId="77777777" w:rsidR="00C9384B" w:rsidRPr="00F505B7" w:rsidRDefault="00C9384B" w:rsidP="0008267F">
      <w:pPr>
        <w:shd w:val="clear" w:color="auto" w:fill="FFFFFF"/>
        <w:spacing w:after="0" w:line="240" w:lineRule="auto"/>
        <w:ind w:left="567" w:hanging="425"/>
        <w:jc w:val="both"/>
        <w:rPr>
          <w:rFonts w:cstheme="minorHAnsi"/>
          <w:sz w:val="10"/>
          <w:szCs w:val="10"/>
        </w:rPr>
      </w:pPr>
    </w:p>
    <w:p w14:paraId="2EBE5110" w14:textId="77777777" w:rsidR="00C9384B" w:rsidRPr="00E03B79" w:rsidRDefault="00C9384B" w:rsidP="001B6FC4">
      <w:pPr>
        <w:numPr>
          <w:ilvl w:val="0"/>
          <w:numId w:val="3"/>
        </w:numPr>
        <w:shd w:val="clear" w:color="auto" w:fill="FFFFFF"/>
        <w:spacing w:after="0" w:line="240" w:lineRule="auto"/>
        <w:ind w:left="567" w:hanging="425"/>
        <w:jc w:val="both"/>
        <w:rPr>
          <w:rFonts w:cstheme="minorHAnsi"/>
          <w:sz w:val="24"/>
          <w:szCs w:val="24"/>
        </w:rPr>
      </w:pPr>
      <w:r w:rsidRPr="00E03B79">
        <w:rPr>
          <w:rFonts w:cstheme="minorHAnsi"/>
          <w:sz w:val="24"/>
          <w:szCs w:val="24"/>
        </w:rPr>
        <w:t>Czy zdaniem Pana Ministra powierzenie opracowania projektu nowej ustawy Prawo własności przemysłowej UD263 osobom, które nie dopełniają bieżących obowiązków i dotąd nie sprostały przygotowaniu propozycji nowelizowania obowiązującej ustawy Prawo własności przemysłowej (lub choć precyzyjniejszych aktów wykonawczych do niej), może rokować pozytywne zakończenie podjętych prac nad tak skomplikowanym i tak powszechnie krytykowanym projektem ustawy Prawo własności przemysłowej UD263 opracowanym przez ten sam zespół?</w:t>
      </w:r>
    </w:p>
    <w:p w14:paraId="5638A5D5" w14:textId="77777777" w:rsidR="00C9384B" w:rsidRPr="00F505B7" w:rsidRDefault="00C9384B" w:rsidP="0008267F">
      <w:pPr>
        <w:shd w:val="clear" w:color="auto" w:fill="FFFFFF"/>
        <w:spacing w:after="0" w:line="240" w:lineRule="auto"/>
        <w:ind w:left="567" w:hanging="425"/>
        <w:jc w:val="both"/>
        <w:rPr>
          <w:rFonts w:cstheme="minorHAnsi"/>
          <w:sz w:val="10"/>
          <w:szCs w:val="10"/>
        </w:rPr>
      </w:pPr>
    </w:p>
    <w:p w14:paraId="563EC01C" w14:textId="77777777" w:rsidR="00C9384B" w:rsidRPr="00E03B79" w:rsidRDefault="00C9384B" w:rsidP="001B6FC4">
      <w:pPr>
        <w:numPr>
          <w:ilvl w:val="0"/>
          <w:numId w:val="4"/>
        </w:numPr>
        <w:shd w:val="clear" w:color="auto" w:fill="FFFFFF"/>
        <w:spacing w:after="0" w:line="240" w:lineRule="auto"/>
        <w:ind w:left="567" w:hanging="425"/>
        <w:jc w:val="both"/>
        <w:rPr>
          <w:rFonts w:cstheme="minorHAnsi"/>
          <w:sz w:val="24"/>
          <w:szCs w:val="24"/>
        </w:rPr>
      </w:pPr>
      <w:r w:rsidRPr="00E03B79">
        <w:rPr>
          <w:rFonts w:cstheme="minorHAnsi"/>
          <w:sz w:val="24"/>
          <w:szCs w:val="24"/>
        </w:rPr>
        <w:t>Czy zdaniem Pana Ministra dalsze tolerowanie kierowania Urzędem Patentowym RP przez osoby, które są odpowiedzialne za aktualny stan funkcjonowania urzędu i brak poszanowania w nim prawa (w tym tak istotnych ustaw jak Kodeks postępowania administracyjnego), nie stanowi zagrożenia dla polskiej gospodarki?</w:t>
      </w:r>
    </w:p>
    <w:p w14:paraId="405CC2F2" w14:textId="77777777" w:rsidR="00C9384B" w:rsidRPr="00F505B7" w:rsidRDefault="00C9384B" w:rsidP="00C9384B">
      <w:pPr>
        <w:shd w:val="clear" w:color="auto" w:fill="FFFFFF"/>
        <w:spacing w:after="0" w:line="240" w:lineRule="auto"/>
        <w:ind w:left="1080"/>
        <w:jc w:val="both"/>
        <w:rPr>
          <w:rFonts w:cstheme="minorHAnsi"/>
          <w:sz w:val="10"/>
          <w:szCs w:val="10"/>
        </w:rPr>
      </w:pPr>
    </w:p>
    <w:p w14:paraId="41AF9069" w14:textId="77777777" w:rsidR="00C9384B" w:rsidRPr="00E03B79" w:rsidRDefault="00C9384B" w:rsidP="002346FE">
      <w:pPr>
        <w:pStyle w:val="NormalnyWeb"/>
        <w:shd w:val="clear" w:color="auto" w:fill="FFFFFF"/>
        <w:spacing w:before="0" w:beforeAutospacing="0" w:after="0" w:afterAutospacing="0"/>
        <w:jc w:val="both"/>
        <w:rPr>
          <w:rFonts w:asciiTheme="minorHAnsi" w:hAnsiTheme="minorHAnsi" w:cstheme="minorHAnsi"/>
        </w:rPr>
      </w:pPr>
      <w:r w:rsidRPr="00E03B79">
        <w:rPr>
          <w:rFonts w:asciiTheme="minorHAnsi" w:hAnsiTheme="minorHAnsi" w:cstheme="minorHAnsi"/>
        </w:rPr>
        <w:t>Szanowny Panie Ministrze, uprzejmie proszę o podjęcie stosownych działań w przedmiotowej kwestii.</w:t>
      </w:r>
    </w:p>
    <w:p w14:paraId="0743E576" w14:textId="77777777" w:rsidR="00C9384B" w:rsidRPr="00F505B7" w:rsidRDefault="00C9384B" w:rsidP="00C9384B">
      <w:pPr>
        <w:pStyle w:val="NormalnyWeb"/>
        <w:shd w:val="clear" w:color="auto" w:fill="FFFFFF"/>
        <w:spacing w:before="0" w:beforeAutospacing="0" w:after="0" w:afterAutospacing="0"/>
        <w:ind w:firstLine="708"/>
        <w:jc w:val="both"/>
        <w:rPr>
          <w:rFonts w:asciiTheme="minorHAnsi" w:hAnsiTheme="minorHAnsi" w:cstheme="minorHAnsi"/>
          <w:i/>
          <w:iCs/>
          <w:sz w:val="10"/>
          <w:szCs w:val="10"/>
        </w:rPr>
      </w:pPr>
    </w:p>
    <w:p w14:paraId="52C6A720" w14:textId="0B50DDE1" w:rsidR="00C9384B" w:rsidRPr="00E03B79" w:rsidRDefault="00EA45F3" w:rsidP="00EA45F3">
      <w:pPr>
        <w:pStyle w:val="NormalnyWeb"/>
        <w:shd w:val="clear" w:color="auto" w:fill="FFFFFF"/>
        <w:tabs>
          <w:tab w:val="left" w:pos="5670"/>
        </w:tabs>
        <w:spacing w:before="0" w:beforeAutospacing="0" w:after="0" w:afterAutospacing="0"/>
        <w:jc w:val="center"/>
        <w:rPr>
          <w:rFonts w:asciiTheme="minorHAnsi" w:hAnsiTheme="minorHAnsi" w:cstheme="minorHAnsi"/>
          <w:i/>
          <w:iCs/>
        </w:rPr>
      </w:pPr>
      <w:r>
        <w:rPr>
          <w:rFonts w:asciiTheme="minorHAnsi" w:hAnsiTheme="minorHAnsi" w:cstheme="minorHAnsi"/>
          <w:i/>
          <w:iCs/>
        </w:rPr>
        <w:t xml:space="preserve">                                                                            </w:t>
      </w:r>
      <w:r w:rsidR="00C9384B" w:rsidRPr="00E03B79">
        <w:rPr>
          <w:rFonts w:asciiTheme="minorHAnsi" w:hAnsiTheme="minorHAnsi" w:cstheme="minorHAnsi"/>
          <w:i/>
          <w:iCs/>
        </w:rPr>
        <w:t>Z wyrazami szacunku</w:t>
      </w:r>
    </w:p>
    <w:p w14:paraId="2A064680" w14:textId="252FA2E4" w:rsidR="00C9384B" w:rsidRDefault="00C9384B" w:rsidP="00C9384B">
      <w:pPr>
        <w:pStyle w:val="NormalnyWeb"/>
        <w:shd w:val="clear" w:color="auto" w:fill="FFFFFF"/>
        <w:spacing w:before="0" w:beforeAutospacing="0" w:after="0" w:afterAutospacing="0"/>
        <w:rPr>
          <w:rFonts w:asciiTheme="minorHAnsi" w:hAnsiTheme="minorHAnsi" w:cstheme="minorHAnsi"/>
        </w:rPr>
      </w:pPr>
    </w:p>
    <w:p w14:paraId="0B8F8DDA" w14:textId="77777777" w:rsidR="00813684" w:rsidRDefault="00813684" w:rsidP="00C9384B">
      <w:pPr>
        <w:pStyle w:val="NormalnyWeb"/>
        <w:shd w:val="clear" w:color="auto" w:fill="FFFFFF"/>
        <w:spacing w:before="0" w:beforeAutospacing="0" w:after="0" w:afterAutospacing="0"/>
        <w:rPr>
          <w:rFonts w:asciiTheme="minorHAnsi" w:hAnsiTheme="minorHAnsi" w:cstheme="minorHAnsi"/>
        </w:rPr>
      </w:pPr>
    </w:p>
    <w:p w14:paraId="7EF1AB68" w14:textId="77777777" w:rsidR="00CC06D2" w:rsidRDefault="00CC06D2" w:rsidP="00CC06D2">
      <w:pPr>
        <w:spacing w:after="0"/>
        <w:jc w:val="center"/>
        <w:rPr>
          <w:b/>
          <w:bCs/>
          <w:kern w:val="0"/>
          <w:sz w:val="24"/>
          <w:szCs w:val="24"/>
        </w:rPr>
      </w:pPr>
      <w:r>
        <w:rPr>
          <w:b/>
          <w:bCs/>
          <w:kern w:val="0"/>
          <w:sz w:val="24"/>
          <w:szCs w:val="24"/>
        </w:rPr>
        <w:t>* * *</w:t>
      </w:r>
    </w:p>
    <w:p w14:paraId="0038E23F" w14:textId="5087A781" w:rsidR="00F84024" w:rsidRPr="00F84024" w:rsidRDefault="00F84024" w:rsidP="0051049D">
      <w:pPr>
        <w:spacing w:after="0"/>
        <w:jc w:val="both"/>
        <w:rPr>
          <w:b/>
          <w:bCs/>
          <w:kern w:val="0"/>
          <w:sz w:val="24"/>
          <w:szCs w:val="24"/>
        </w:rPr>
      </w:pPr>
      <w:bookmarkStart w:id="20" w:name="_Hlk169196777"/>
      <w:bookmarkStart w:id="21" w:name="_Hlk169201225"/>
      <w:r>
        <w:rPr>
          <w:b/>
          <w:bCs/>
          <w:kern w:val="0"/>
          <w:sz w:val="24"/>
          <w:szCs w:val="24"/>
        </w:rPr>
        <w:t>U</w:t>
      </w:r>
      <w:r w:rsidRPr="00F84024">
        <w:rPr>
          <w:b/>
          <w:bCs/>
          <w:kern w:val="0"/>
          <w:sz w:val="24"/>
          <w:szCs w:val="24"/>
        </w:rPr>
        <w:t xml:space="preserve">waga </w:t>
      </w:r>
      <w:r w:rsidR="008F3813">
        <w:rPr>
          <w:b/>
          <w:bCs/>
          <w:kern w:val="0"/>
          <w:sz w:val="24"/>
          <w:szCs w:val="24"/>
        </w:rPr>
        <w:t>R</w:t>
      </w:r>
      <w:r w:rsidRPr="00F84024">
        <w:rPr>
          <w:b/>
          <w:bCs/>
          <w:kern w:val="0"/>
          <w:sz w:val="24"/>
          <w:szCs w:val="24"/>
        </w:rPr>
        <w:t xml:space="preserve">edakcji: </w:t>
      </w:r>
    </w:p>
    <w:p w14:paraId="714E3549" w14:textId="19662F7F" w:rsidR="0051049D" w:rsidRDefault="0051049D" w:rsidP="00F84024">
      <w:pPr>
        <w:spacing w:after="0" w:line="276" w:lineRule="auto"/>
        <w:jc w:val="both"/>
        <w:rPr>
          <w:kern w:val="0"/>
          <w:sz w:val="24"/>
          <w:szCs w:val="24"/>
        </w:rPr>
      </w:pPr>
      <w:r w:rsidRPr="00BD48F7">
        <w:rPr>
          <w:b/>
          <w:bCs/>
          <w:kern w:val="0"/>
          <w:sz w:val="24"/>
          <w:szCs w:val="24"/>
        </w:rPr>
        <w:t>Parlamentar</w:t>
      </w:r>
      <w:r w:rsidR="00A6640E">
        <w:rPr>
          <w:b/>
          <w:bCs/>
          <w:kern w:val="0"/>
          <w:sz w:val="24"/>
          <w:szCs w:val="24"/>
        </w:rPr>
        <w:t>zyści</w:t>
      </w:r>
      <w:r w:rsidRPr="0088505D">
        <w:rPr>
          <w:kern w:val="0"/>
          <w:sz w:val="24"/>
          <w:szCs w:val="24"/>
        </w:rPr>
        <w:t xml:space="preserve"> </w:t>
      </w:r>
      <w:r w:rsidRPr="00AF4CD7">
        <w:rPr>
          <w:b/>
          <w:bCs/>
          <w:kern w:val="0"/>
          <w:sz w:val="24"/>
          <w:szCs w:val="24"/>
        </w:rPr>
        <w:t>składając w 2022 r. interpelację poselską nr 37331</w:t>
      </w:r>
      <w:r>
        <w:rPr>
          <w:kern w:val="0"/>
          <w:sz w:val="24"/>
          <w:szCs w:val="24"/>
        </w:rPr>
        <w:t xml:space="preserve"> - </w:t>
      </w:r>
      <w:r w:rsidRPr="00AF4CD7">
        <w:rPr>
          <w:b/>
          <w:bCs/>
          <w:kern w:val="0"/>
          <w:sz w:val="24"/>
          <w:szCs w:val="24"/>
        </w:rPr>
        <w:t>ustalili, kogo w Polsce nie interesuje aktualny stan praw</w:t>
      </w:r>
      <w:r w:rsidRPr="0088505D">
        <w:rPr>
          <w:kern w:val="0"/>
          <w:sz w:val="24"/>
          <w:szCs w:val="24"/>
        </w:rPr>
        <w:t xml:space="preserve"> udzielonych przez Urząd Patentowy RP (</w:t>
      </w:r>
      <w:r w:rsidRPr="00AF4CD7">
        <w:rPr>
          <w:b/>
          <w:bCs/>
          <w:kern w:val="0"/>
          <w:sz w:val="24"/>
          <w:szCs w:val="24"/>
        </w:rPr>
        <w:t>czy</w:t>
      </w:r>
      <w:r w:rsidRPr="0088505D">
        <w:rPr>
          <w:kern w:val="0"/>
          <w:sz w:val="24"/>
          <w:szCs w:val="24"/>
        </w:rPr>
        <w:t xml:space="preserve"> dane prawo pozostaje </w:t>
      </w:r>
      <w:r w:rsidRPr="00AF4CD7">
        <w:rPr>
          <w:b/>
          <w:bCs/>
          <w:kern w:val="0"/>
          <w:sz w:val="24"/>
          <w:szCs w:val="24"/>
        </w:rPr>
        <w:t>w mocy</w:t>
      </w:r>
      <w:r w:rsidRPr="00AF4CD7">
        <w:rPr>
          <w:kern w:val="0"/>
          <w:sz w:val="24"/>
          <w:szCs w:val="24"/>
        </w:rPr>
        <w:t>, czy</w:t>
      </w:r>
      <w:r w:rsidRPr="0088505D">
        <w:rPr>
          <w:kern w:val="0"/>
          <w:sz w:val="24"/>
          <w:szCs w:val="24"/>
        </w:rPr>
        <w:t xml:space="preserve"> może </w:t>
      </w:r>
      <w:r w:rsidRPr="00AF4CD7">
        <w:rPr>
          <w:kern w:val="0"/>
          <w:sz w:val="24"/>
          <w:szCs w:val="24"/>
        </w:rPr>
        <w:t>zostało</w:t>
      </w:r>
      <w:r w:rsidRPr="00AF4CD7">
        <w:rPr>
          <w:b/>
          <w:bCs/>
          <w:kern w:val="0"/>
          <w:sz w:val="24"/>
          <w:szCs w:val="24"/>
        </w:rPr>
        <w:t xml:space="preserve"> unieważnione</w:t>
      </w:r>
      <w:r w:rsidRPr="0088505D">
        <w:rPr>
          <w:kern w:val="0"/>
          <w:sz w:val="24"/>
          <w:szCs w:val="24"/>
        </w:rPr>
        <w:t xml:space="preserve">, czy też zostało </w:t>
      </w:r>
      <w:r w:rsidRPr="00AF4CD7">
        <w:rPr>
          <w:b/>
          <w:bCs/>
          <w:kern w:val="0"/>
          <w:sz w:val="24"/>
          <w:szCs w:val="24"/>
        </w:rPr>
        <w:t>przedłużone</w:t>
      </w:r>
      <w:r w:rsidRPr="0088505D">
        <w:rPr>
          <w:kern w:val="0"/>
          <w:sz w:val="24"/>
          <w:szCs w:val="24"/>
        </w:rPr>
        <w:t xml:space="preserve">, </w:t>
      </w:r>
      <w:r w:rsidRPr="00AF4CD7">
        <w:rPr>
          <w:b/>
          <w:bCs/>
          <w:kern w:val="0"/>
          <w:sz w:val="24"/>
          <w:szCs w:val="24"/>
        </w:rPr>
        <w:t>czy</w:t>
      </w:r>
      <w:r w:rsidRPr="0088505D">
        <w:rPr>
          <w:kern w:val="0"/>
          <w:sz w:val="24"/>
          <w:szCs w:val="24"/>
        </w:rPr>
        <w:t xml:space="preserve"> może </w:t>
      </w:r>
      <w:r w:rsidRPr="00AF4CD7">
        <w:rPr>
          <w:b/>
          <w:bCs/>
          <w:kern w:val="0"/>
          <w:sz w:val="24"/>
          <w:szCs w:val="24"/>
        </w:rPr>
        <w:t>nie</w:t>
      </w:r>
      <w:r w:rsidRPr="0088505D">
        <w:rPr>
          <w:kern w:val="0"/>
          <w:sz w:val="24"/>
          <w:szCs w:val="24"/>
        </w:rPr>
        <w:t>), a</w:t>
      </w:r>
      <w:r>
        <w:rPr>
          <w:kern w:val="0"/>
          <w:sz w:val="24"/>
          <w:szCs w:val="24"/>
        </w:rPr>
        <w:t xml:space="preserve"> </w:t>
      </w:r>
      <w:r w:rsidRPr="0088505D">
        <w:rPr>
          <w:kern w:val="0"/>
          <w:sz w:val="24"/>
          <w:szCs w:val="24"/>
        </w:rPr>
        <w:t xml:space="preserve">więc </w:t>
      </w:r>
      <w:r w:rsidRPr="00AF4CD7">
        <w:rPr>
          <w:b/>
          <w:bCs/>
          <w:kern w:val="0"/>
          <w:sz w:val="24"/>
          <w:szCs w:val="24"/>
        </w:rPr>
        <w:t>kogo w naszym kraju interesuje utrzymanie stanu niepewności</w:t>
      </w:r>
      <w:r w:rsidRPr="0088505D">
        <w:rPr>
          <w:kern w:val="0"/>
          <w:sz w:val="24"/>
          <w:szCs w:val="24"/>
        </w:rPr>
        <w:t xml:space="preserve"> w dziedzinie IP (</w:t>
      </w:r>
      <w:r w:rsidRPr="0088505D">
        <w:rPr>
          <w:i/>
          <w:iCs/>
          <w:kern w:val="0"/>
          <w:sz w:val="24"/>
          <w:szCs w:val="24"/>
        </w:rPr>
        <w:t>intellectual property</w:t>
      </w:r>
      <w:r w:rsidRPr="0088505D">
        <w:rPr>
          <w:kern w:val="0"/>
          <w:sz w:val="24"/>
          <w:szCs w:val="24"/>
        </w:rPr>
        <w:t xml:space="preserve"> - własności intelektualnej).</w:t>
      </w:r>
    </w:p>
    <w:bookmarkEnd w:id="20"/>
    <w:bookmarkEnd w:id="21"/>
    <w:p w14:paraId="5E503AFA" w14:textId="77777777" w:rsidR="008F3813" w:rsidRPr="00EA4494" w:rsidRDefault="008F3813" w:rsidP="002346FE">
      <w:pPr>
        <w:spacing w:after="0"/>
        <w:rPr>
          <w:b/>
          <w:bCs/>
          <w:kern w:val="0"/>
          <w:sz w:val="10"/>
          <w:szCs w:val="10"/>
        </w:rPr>
      </w:pPr>
    </w:p>
    <w:p w14:paraId="11A23E13" w14:textId="24189671" w:rsidR="00F84024" w:rsidRPr="0080404A" w:rsidRDefault="00F84024" w:rsidP="002346FE">
      <w:pPr>
        <w:spacing w:after="0"/>
        <w:rPr>
          <w:b/>
          <w:bCs/>
          <w:color w:val="2E74B5" w:themeColor="accent5" w:themeShade="BF"/>
          <w:kern w:val="0"/>
          <w:sz w:val="24"/>
          <w:szCs w:val="24"/>
          <w:lang w:val="en-US"/>
        </w:rPr>
      </w:pPr>
      <w:r w:rsidRPr="0080404A">
        <w:rPr>
          <w:b/>
          <w:bCs/>
          <w:color w:val="2E74B5" w:themeColor="accent5" w:themeShade="BF"/>
          <w:kern w:val="0"/>
          <w:sz w:val="24"/>
          <w:szCs w:val="24"/>
          <w:lang w:val="en-US"/>
        </w:rPr>
        <w:t xml:space="preserve">Editor's note: </w:t>
      </w:r>
    </w:p>
    <w:p w14:paraId="608AC884" w14:textId="0DFBD836" w:rsidR="00BD48F7" w:rsidRPr="0080404A" w:rsidRDefault="00F84024" w:rsidP="00F84024">
      <w:pPr>
        <w:spacing w:after="0" w:line="276" w:lineRule="auto"/>
        <w:jc w:val="both"/>
        <w:rPr>
          <w:color w:val="2E74B5" w:themeColor="accent5" w:themeShade="BF"/>
          <w:kern w:val="0"/>
          <w:sz w:val="24"/>
          <w:szCs w:val="24"/>
          <w:lang w:val="en-US"/>
        </w:rPr>
      </w:pPr>
      <w:r w:rsidRPr="0080404A">
        <w:rPr>
          <w:b/>
          <w:bCs/>
          <w:color w:val="2E74B5" w:themeColor="accent5" w:themeShade="BF"/>
          <w:kern w:val="0"/>
          <w:sz w:val="24"/>
          <w:szCs w:val="24"/>
          <w:lang w:val="en-US"/>
        </w:rPr>
        <w:t>By submitting parliamentary interpellation no. 37331 in 2022, Parliamentarians determined who in Poland is not interested in the current legal status</w:t>
      </w:r>
      <w:r w:rsidRPr="0080404A">
        <w:rPr>
          <w:color w:val="2E74B5" w:themeColor="accent5" w:themeShade="BF"/>
          <w:kern w:val="0"/>
          <w:sz w:val="24"/>
          <w:szCs w:val="24"/>
          <w:lang w:val="en-US"/>
        </w:rPr>
        <w:t xml:space="preserve"> of rights granted by the Polish Patent Office (</w:t>
      </w:r>
      <w:r w:rsidRPr="0080404A">
        <w:rPr>
          <w:b/>
          <w:bCs/>
          <w:color w:val="2E74B5" w:themeColor="accent5" w:themeShade="BF"/>
          <w:kern w:val="0"/>
          <w:sz w:val="24"/>
          <w:szCs w:val="24"/>
          <w:lang w:val="en-US"/>
        </w:rPr>
        <w:t>whether</w:t>
      </w:r>
      <w:r w:rsidRPr="0080404A">
        <w:rPr>
          <w:color w:val="2E74B5" w:themeColor="accent5" w:themeShade="BF"/>
          <w:kern w:val="0"/>
          <w:sz w:val="24"/>
          <w:szCs w:val="24"/>
          <w:lang w:val="en-US"/>
        </w:rPr>
        <w:t xml:space="preserve"> a given right remains </w:t>
      </w:r>
      <w:r w:rsidRPr="0080404A">
        <w:rPr>
          <w:b/>
          <w:bCs/>
          <w:color w:val="2E74B5" w:themeColor="accent5" w:themeShade="BF"/>
          <w:kern w:val="0"/>
          <w:sz w:val="24"/>
          <w:szCs w:val="24"/>
          <w:lang w:val="en-US"/>
        </w:rPr>
        <w:t>in force</w:t>
      </w:r>
      <w:r w:rsidRPr="0080404A">
        <w:rPr>
          <w:color w:val="2E74B5" w:themeColor="accent5" w:themeShade="BF"/>
          <w:kern w:val="0"/>
          <w:sz w:val="24"/>
          <w:szCs w:val="24"/>
          <w:lang w:val="en-US"/>
        </w:rPr>
        <w:t>, has been</w:t>
      </w:r>
      <w:r w:rsidRPr="0080404A">
        <w:rPr>
          <w:b/>
          <w:bCs/>
          <w:color w:val="2E74B5" w:themeColor="accent5" w:themeShade="BF"/>
          <w:kern w:val="0"/>
          <w:sz w:val="24"/>
          <w:szCs w:val="24"/>
          <w:lang w:val="en-US"/>
        </w:rPr>
        <w:t xml:space="preserve"> invalidated</w:t>
      </w:r>
      <w:r w:rsidRPr="0080404A">
        <w:rPr>
          <w:color w:val="2E74B5" w:themeColor="accent5" w:themeShade="BF"/>
          <w:kern w:val="0"/>
          <w:sz w:val="24"/>
          <w:szCs w:val="24"/>
          <w:lang w:val="en-US"/>
        </w:rPr>
        <w:t xml:space="preserve">, </w:t>
      </w:r>
      <w:r w:rsidRPr="0080404A">
        <w:rPr>
          <w:b/>
          <w:bCs/>
          <w:color w:val="2E74B5" w:themeColor="accent5" w:themeShade="BF"/>
          <w:kern w:val="0"/>
          <w:sz w:val="24"/>
          <w:szCs w:val="24"/>
          <w:lang w:val="en-US"/>
        </w:rPr>
        <w:t>or</w:t>
      </w:r>
      <w:r w:rsidRPr="0080404A">
        <w:rPr>
          <w:color w:val="2E74B5" w:themeColor="accent5" w:themeShade="BF"/>
          <w:kern w:val="0"/>
          <w:sz w:val="24"/>
          <w:szCs w:val="24"/>
          <w:lang w:val="en-US"/>
        </w:rPr>
        <w:t xml:space="preserve"> has been </w:t>
      </w:r>
      <w:r w:rsidRPr="0080404A">
        <w:rPr>
          <w:b/>
          <w:bCs/>
          <w:color w:val="2E74B5" w:themeColor="accent5" w:themeShade="BF"/>
          <w:kern w:val="0"/>
          <w:sz w:val="24"/>
          <w:szCs w:val="24"/>
          <w:lang w:val="en-US"/>
        </w:rPr>
        <w:t>extended</w:t>
      </w:r>
      <w:r w:rsidRPr="0080404A">
        <w:rPr>
          <w:color w:val="2E74B5" w:themeColor="accent5" w:themeShade="BF"/>
          <w:kern w:val="0"/>
          <w:sz w:val="24"/>
          <w:szCs w:val="24"/>
          <w:lang w:val="en-US"/>
        </w:rPr>
        <w:t xml:space="preserve">). Therefore, they identified </w:t>
      </w:r>
      <w:r w:rsidRPr="0080404A">
        <w:rPr>
          <w:b/>
          <w:bCs/>
          <w:color w:val="2E74B5" w:themeColor="accent5" w:themeShade="BF"/>
          <w:kern w:val="0"/>
          <w:sz w:val="24"/>
          <w:szCs w:val="24"/>
          <w:lang w:val="en-US"/>
        </w:rPr>
        <w:t>who in our country is interested in maintaining a state of uncertainty</w:t>
      </w:r>
      <w:r w:rsidRPr="0080404A">
        <w:rPr>
          <w:color w:val="2E74B5" w:themeColor="accent5" w:themeShade="BF"/>
          <w:kern w:val="0"/>
          <w:sz w:val="24"/>
          <w:szCs w:val="24"/>
          <w:lang w:val="en-US"/>
        </w:rPr>
        <w:t xml:space="preserve"> in the field of intellectual property (IP).</w:t>
      </w:r>
    </w:p>
    <w:p w14:paraId="0192C547" w14:textId="77777777" w:rsidR="008F3813" w:rsidRPr="00EA4494" w:rsidRDefault="008F3813" w:rsidP="002346FE">
      <w:pPr>
        <w:spacing w:after="0"/>
        <w:rPr>
          <w:b/>
          <w:bCs/>
          <w:kern w:val="0"/>
          <w:sz w:val="10"/>
          <w:szCs w:val="10"/>
          <w:lang w:val="en-US"/>
        </w:rPr>
      </w:pPr>
    </w:p>
    <w:p w14:paraId="588D265B" w14:textId="46F35F10" w:rsidR="00A6640E" w:rsidRDefault="00293074" w:rsidP="002346FE">
      <w:pPr>
        <w:spacing w:after="0"/>
        <w:rPr>
          <w:kern w:val="0"/>
          <w:sz w:val="24"/>
          <w:szCs w:val="24"/>
        </w:rPr>
      </w:pPr>
      <w:r>
        <w:rPr>
          <w:b/>
          <w:bCs/>
          <w:kern w:val="0"/>
          <w:sz w:val="24"/>
          <w:szCs w:val="24"/>
        </w:rPr>
        <w:t>P</w:t>
      </w:r>
      <w:r w:rsidRPr="00BB6DF4">
        <w:rPr>
          <w:b/>
          <w:bCs/>
          <w:kern w:val="0"/>
          <w:sz w:val="24"/>
          <w:szCs w:val="24"/>
        </w:rPr>
        <w:t>ojęcia kluczowe</w:t>
      </w:r>
      <w:r w:rsidR="000973CA" w:rsidRPr="00BB6DF4">
        <w:rPr>
          <w:kern w:val="0"/>
          <w:sz w:val="24"/>
          <w:szCs w:val="24"/>
        </w:rPr>
        <w:t xml:space="preserve">: </w:t>
      </w:r>
      <w:r w:rsidR="00E00E0B" w:rsidRPr="00E00E0B">
        <w:rPr>
          <w:kern w:val="0"/>
          <w:sz w:val="24"/>
          <w:szCs w:val="24"/>
        </w:rPr>
        <w:t>NIEPRAWIDŁOWOŚCI W PROJEKCIE USTAWY UD263, NIEPRAWIDŁOWOŚCI W DZIAŁANIU URZĘDU PATENTOWEGO RP</w:t>
      </w:r>
    </w:p>
    <w:p w14:paraId="599C152F" w14:textId="77777777" w:rsidR="00D102CD" w:rsidRPr="008F3813" w:rsidRDefault="00D102CD" w:rsidP="002346FE">
      <w:pPr>
        <w:spacing w:after="0"/>
        <w:rPr>
          <w:b/>
          <w:bCs/>
          <w:kern w:val="0"/>
          <w:sz w:val="10"/>
          <w:szCs w:val="10"/>
        </w:rPr>
      </w:pPr>
    </w:p>
    <w:p w14:paraId="27FE8BCB" w14:textId="52663804" w:rsidR="00D102CD" w:rsidRDefault="002346FE" w:rsidP="002346FE">
      <w:pPr>
        <w:spacing w:after="0"/>
        <w:rPr>
          <w:kern w:val="0"/>
          <w:sz w:val="24"/>
          <w:szCs w:val="24"/>
        </w:rPr>
      </w:pPr>
      <w:r w:rsidRPr="00BB6DF4">
        <w:rPr>
          <w:b/>
          <w:bCs/>
          <w:kern w:val="0"/>
          <w:sz w:val="24"/>
          <w:szCs w:val="24"/>
        </w:rPr>
        <w:t>Miejsce publikacji</w:t>
      </w:r>
      <w:r w:rsidRPr="00BB6DF4">
        <w:rPr>
          <w:kern w:val="0"/>
          <w:sz w:val="24"/>
          <w:szCs w:val="24"/>
        </w:rPr>
        <w:t>: sejm.gov.pl</w:t>
      </w:r>
    </w:p>
    <w:p w14:paraId="5AD87882" w14:textId="367FD110" w:rsidR="00B827C8" w:rsidRPr="0080404A" w:rsidRDefault="00B82931" w:rsidP="00F1043D">
      <w:pPr>
        <w:spacing w:after="0"/>
        <w:rPr>
          <w:rFonts w:cstheme="minorHAnsi"/>
          <w:color w:val="2E74B5" w:themeColor="accent5" w:themeShade="BF"/>
          <w:sz w:val="24"/>
          <w:szCs w:val="24"/>
        </w:rPr>
      </w:pPr>
      <w:hyperlink r:id="rId30" w:history="1">
        <w:r w:rsidR="002346FE" w:rsidRPr="0080404A">
          <w:rPr>
            <w:rStyle w:val="Hipercze"/>
            <w:rFonts w:cstheme="minorHAnsi"/>
            <w:color w:val="2E74B5" w:themeColor="accent5" w:themeShade="BF"/>
            <w:sz w:val="24"/>
            <w:szCs w:val="24"/>
            <w:u w:val="none"/>
          </w:rPr>
          <w:t>Interpelacja nr 37331 - Sejm Rzeczypospolitej Polskiej</w:t>
        </w:r>
      </w:hyperlink>
      <w:r w:rsidR="002346FE" w:rsidRPr="0080404A">
        <w:rPr>
          <w:color w:val="2E74B5" w:themeColor="accent5" w:themeShade="BF"/>
          <w:sz w:val="24"/>
          <w:szCs w:val="24"/>
        </w:rPr>
        <w:t xml:space="preserve"> </w:t>
      </w:r>
      <w:r w:rsidR="002346FE" w:rsidRPr="0080404A">
        <w:rPr>
          <w:color w:val="2E74B5" w:themeColor="accent5" w:themeShade="BF"/>
          <w:kern w:val="0"/>
          <w:sz w:val="24"/>
          <w:szCs w:val="24"/>
        </w:rPr>
        <w:br/>
      </w:r>
      <w:hyperlink r:id="rId31" w:history="1">
        <w:r w:rsidR="002346FE" w:rsidRPr="0080404A">
          <w:rPr>
            <w:rStyle w:val="Hipercze"/>
            <w:rFonts w:cstheme="minorHAnsi"/>
            <w:color w:val="2E74B5" w:themeColor="accent5" w:themeShade="BF"/>
            <w:sz w:val="24"/>
            <w:szCs w:val="24"/>
            <w:u w:val="none"/>
          </w:rPr>
          <w:t>Interpelacja nr 37331 – nieprawidłowości działania Urzędu Patentowego RP – StoWI</w:t>
        </w:r>
      </w:hyperlink>
    </w:p>
    <w:p w14:paraId="2C41A49D" w14:textId="77777777" w:rsidR="00D102CD" w:rsidRDefault="00D102CD" w:rsidP="005D69C5">
      <w:pPr>
        <w:spacing w:after="0"/>
        <w:jc w:val="both"/>
        <w:rPr>
          <w:rFonts w:eastAsia="Times New Roman" w:cstheme="minorHAnsi"/>
          <w:kern w:val="0"/>
          <w:sz w:val="24"/>
          <w:szCs w:val="24"/>
          <w:lang w:eastAsia="pl-PL"/>
          <w14:ligatures w14:val="none"/>
        </w:rPr>
      </w:pPr>
    </w:p>
    <w:p w14:paraId="6701302F" w14:textId="77777777" w:rsidR="00F93E2F" w:rsidRPr="00F93E2F" w:rsidRDefault="006C6FC4" w:rsidP="00CB5276">
      <w:pPr>
        <w:spacing w:after="0" w:line="240" w:lineRule="auto"/>
        <w:jc w:val="both"/>
        <w:rPr>
          <w:rStyle w:val="Nagwek2Znak"/>
          <w:b w:val="0"/>
          <w:bCs w:val="0"/>
        </w:rPr>
      </w:pPr>
      <w:r w:rsidRPr="009331F8">
        <w:rPr>
          <w:rStyle w:val="Nagwek2Znak"/>
        </w:rPr>
        <w:lastRenderedPageBreak/>
        <w:br/>
      </w:r>
      <w:r w:rsidR="005B77A2" w:rsidRPr="00F93E2F">
        <w:rPr>
          <w:rStyle w:val="Nagwek2Znak"/>
          <w:b w:val="0"/>
          <w:bCs w:val="0"/>
          <w:noProof/>
          <w:lang w:eastAsia="pl-PL"/>
        </w:rPr>
        <mc:AlternateContent>
          <mc:Choice Requires="wps">
            <w:drawing>
              <wp:anchor distT="0" distB="0" distL="114300" distR="114300" simplePos="0" relativeHeight="251759616" behindDoc="0" locked="0" layoutInCell="1" allowOverlap="1" wp14:anchorId="1FE1984A" wp14:editId="15A84790">
                <wp:simplePos x="0" y="0"/>
                <wp:positionH relativeFrom="margin">
                  <wp:posOffset>-77800</wp:posOffset>
                </wp:positionH>
                <wp:positionV relativeFrom="paragraph">
                  <wp:posOffset>-383540</wp:posOffset>
                </wp:positionV>
                <wp:extent cx="527050" cy="400050"/>
                <wp:effectExtent l="0" t="0" r="6350" b="0"/>
                <wp:wrapNone/>
                <wp:docPr id="28" name="Pole tekstowe 1"/>
                <wp:cNvGraphicFramePr/>
                <a:graphic xmlns:a="http://schemas.openxmlformats.org/drawingml/2006/main">
                  <a:graphicData uri="http://schemas.microsoft.com/office/word/2010/wordprocessingShape">
                    <wps:wsp>
                      <wps:cNvSpPr txBox="1"/>
                      <wps:spPr>
                        <a:xfrm>
                          <a:off x="0" y="0"/>
                          <a:ext cx="527050" cy="400050"/>
                        </a:xfrm>
                        <a:prstGeom prst="rect">
                          <a:avLst/>
                        </a:prstGeom>
                        <a:solidFill>
                          <a:schemeClr val="lt1"/>
                        </a:solidFill>
                        <a:ln w="6350">
                          <a:noFill/>
                        </a:ln>
                      </wps:spPr>
                      <wps:txbx>
                        <w:txbxContent>
                          <w:p w14:paraId="61AF98CE" w14:textId="09503058" w:rsidR="00541DD6" w:rsidRPr="00E34871" w:rsidRDefault="00541DD6" w:rsidP="00E34871">
                            <w:pPr>
                              <w:pStyle w:val="NumeracjaRozdzial"/>
                              <w:rPr>
                                <w:rStyle w:val="NumeracjaRozdzialZnak"/>
                              </w:rPr>
                            </w:pPr>
                            <w:r>
                              <w:t>3</w:t>
                            </w:r>
                            <w:r w:rsidRPr="00FA4053">
                              <w:t>.</w:t>
                            </w:r>
                          </w:p>
                          <w:p w14:paraId="2885FBEA" w14:textId="77777777" w:rsidR="00541DD6" w:rsidRDefault="00541DD6" w:rsidP="005B77A2">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1984A" id="_x0000_s1028" type="#_x0000_t202" style="position:absolute;left:0;text-align:left;margin-left:-6.15pt;margin-top:-30.2pt;width:41.5pt;height:31.5pt;z-index:251759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" fillcolor="white [3201]" stroked="f" strokeweight=".5pt">
                <v:textbox>
                  <w:txbxContent>
                    <w:p w14:paraId="61AF98CE" w14:textId="09503058" w:rsidR="00541DD6" w:rsidRPr="00E34871" w:rsidRDefault="00541DD6" w:rsidP="00E34871">
                      <w:pPr>
                        <w:pStyle w:val="NumeracjaRozdzial"/>
                        <w:rPr>
                          <w:rStyle w:val="NumeracjaRozdzialZnak"/>
                        </w:rPr>
                      </w:pPr>
                      <w:r>
                        <w:t>3</w:t>
                      </w:r>
                      <w:r w:rsidRPr="00FA4053">
                        <w:t>.</w:t>
                      </w:r>
                    </w:p>
                    <w:p w14:paraId="2885FBEA" w14:textId="77777777" w:rsidR="00541DD6" w:rsidRDefault="00541DD6" w:rsidP="005B77A2">
                      <w:pPr>
                        <w:spacing w:after="144"/>
                      </w:pPr>
                    </w:p>
                  </w:txbxContent>
                </v:textbox>
                <w10:wrap anchorx="margin"/>
              </v:shape>
            </w:pict>
          </mc:Fallback>
        </mc:AlternateContent>
      </w:r>
      <w:r w:rsidR="005B77A2" w:rsidRPr="00F93E2F">
        <w:rPr>
          <w:rStyle w:val="Nagwek2Znak"/>
          <w:b w:val="0"/>
          <w:bCs w:val="0"/>
          <w:noProof/>
          <w:lang w:eastAsia="pl-PL"/>
        </w:rPr>
        <w:drawing>
          <wp:anchor distT="0" distB="0" distL="114300" distR="114300" simplePos="0" relativeHeight="251760640" behindDoc="0" locked="0" layoutInCell="1" allowOverlap="1" wp14:anchorId="787DB04E" wp14:editId="4B4ADE3C">
            <wp:simplePos x="0" y="0"/>
            <wp:positionH relativeFrom="column">
              <wp:posOffset>3810</wp:posOffset>
            </wp:positionH>
            <wp:positionV relativeFrom="paragraph">
              <wp:posOffset>0</wp:posOffset>
            </wp:positionV>
            <wp:extent cx="1980000" cy="1080000"/>
            <wp:effectExtent l="0" t="0" r="1270" b="6350"/>
            <wp:wrapThrough wrapText="bothSides">
              <wp:wrapPolygon edited="0">
                <wp:start x="0" y="0"/>
                <wp:lineTo x="0" y="21346"/>
                <wp:lineTo x="21406" y="21346"/>
                <wp:lineTo x="21406" y="0"/>
                <wp:lineTo x="0" y="0"/>
              </wp:wrapPolygon>
            </wp:wrapThrough>
            <wp:docPr id="30" name="Obraz 1" descr="Obraz zawierający w pomieszczeniu, rząd, osoba, parlamen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513241" name="Obraz 1" descr="Obraz zawierający w pomieszczeniu, rząd, osoba, parlament&#10;&#10;Opis wygenerowany automatyczni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2" w:name="_Toc170117969"/>
      <w:r w:rsidR="005B77A2" w:rsidRPr="00F93E2F">
        <w:rPr>
          <w:rStyle w:val="Nagwek2Znak"/>
        </w:rPr>
        <w:t>Interpelacja nr 37332</w:t>
      </w:r>
      <w:r w:rsidR="005D69C5" w:rsidRPr="00F93E2F">
        <w:rPr>
          <w:rStyle w:val="Nagwek2Znak"/>
        </w:rPr>
        <w:t xml:space="preserve"> </w:t>
      </w:r>
      <w:r w:rsidR="005B77A2" w:rsidRPr="00F93E2F">
        <w:rPr>
          <w:rStyle w:val="Nagwek2Znak"/>
        </w:rPr>
        <w:t xml:space="preserve">do </w:t>
      </w:r>
      <w:r w:rsidR="00FC6600" w:rsidRPr="00F93E2F">
        <w:rPr>
          <w:rStyle w:val="Nagwek2Znak"/>
        </w:rPr>
        <w:t xml:space="preserve">Ministra Rozwoju </w:t>
      </w:r>
      <w:r w:rsidR="005B77A2" w:rsidRPr="00F93E2F">
        <w:rPr>
          <w:rStyle w:val="Nagwek2Znak"/>
        </w:rPr>
        <w:t xml:space="preserve">i </w:t>
      </w:r>
      <w:r w:rsidR="00FC6600" w:rsidRPr="00F93E2F">
        <w:rPr>
          <w:rStyle w:val="Nagwek2Znak"/>
        </w:rPr>
        <w:t xml:space="preserve">Technologii </w:t>
      </w:r>
      <w:r w:rsidR="005D69C5" w:rsidRPr="00F93E2F">
        <w:rPr>
          <w:rStyle w:val="Nagwek2Znak"/>
        </w:rPr>
        <w:t xml:space="preserve">w sprawie </w:t>
      </w:r>
      <w:r w:rsidR="005B77A2" w:rsidRPr="00F93E2F">
        <w:rPr>
          <w:rStyle w:val="Nagwek2Znak"/>
        </w:rPr>
        <w:t>wstrzymania prac nad projekt</w:t>
      </w:r>
      <w:r w:rsidR="005D69C5" w:rsidRPr="00F93E2F">
        <w:rPr>
          <w:rStyle w:val="Nagwek2Znak"/>
        </w:rPr>
        <w:t xml:space="preserve">em nowej ustawy Prawo własności </w:t>
      </w:r>
      <w:r w:rsidR="005B77A2" w:rsidRPr="00F93E2F">
        <w:rPr>
          <w:rStyle w:val="Nagwek2Znak"/>
        </w:rPr>
        <w:t>przemysłowej (UD263)</w:t>
      </w:r>
      <w:bookmarkEnd w:id="22"/>
      <w:r w:rsidR="004F0C06" w:rsidRPr="00F93E2F">
        <w:rPr>
          <w:rStyle w:val="Nagwek2Znak"/>
        </w:rPr>
        <w:t xml:space="preserve"> </w:t>
      </w:r>
    </w:p>
    <w:p w14:paraId="266C7F08" w14:textId="2CFF1820" w:rsidR="009469F7" w:rsidRPr="00F93E2F" w:rsidRDefault="009469F7" w:rsidP="009469F7">
      <w:pPr>
        <w:spacing w:after="0" w:line="240" w:lineRule="auto"/>
        <w:rPr>
          <w:rFonts w:cstheme="minorHAnsi"/>
          <w:sz w:val="2"/>
          <w:szCs w:val="2"/>
        </w:rPr>
      </w:pPr>
      <w:r w:rsidRPr="0051049D">
        <w:rPr>
          <w:rFonts w:cstheme="minorHAnsi"/>
          <w:b/>
          <w:bCs/>
          <w:sz w:val="24"/>
          <w:szCs w:val="24"/>
        </w:rPr>
        <w:t>-</w:t>
      </w:r>
      <w:r w:rsidRPr="00F93E2F">
        <w:rPr>
          <w:rFonts w:cstheme="minorHAnsi"/>
          <w:sz w:val="24"/>
          <w:szCs w:val="24"/>
        </w:rPr>
        <w:t xml:space="preserve"> </w:t>
      </w:r>
      <w:r w:rsidR="0051049D">
        <w:rPr>
          <w:rFonts w:cstheme="minorHAnsi"/>
          <w:b/>
          <w:bCs/>
          <w:sz w:val="24"/>
          <w:szCs w:val="24"/>
        </w:rPr>
        <w:t xml:space="preserve">wytłuszczenia fragmentów tekstu pochodzą od </w:t>
      </w:r>
      <w:r w:rsidR="0051049D" w:rsidRPr="0051049D">
        <w:rPr>
          <w:rFonts w:cstheme="minorHAnsi"/>
          <w:b/>
          <w:bCs/>
          <w:sz w:val="24"/>
          <w:szCs w:val="24"/>
        </w:rPr>
        <w:t>Redakcji</w:t>
      </w:r>
      <w:r w:rsidRPr="0051049D">
        <w:rPr>
          <w:rFonts w:cstheme="minorHAnsi"/>
          <w:b/>
          <w:bCs/>
          <w:sz w:val="24"/>
          <w:szCs w:val="24"/>
        </w:rPr>
        <w:t>:</w:t>
      </w:r>
      <w:r w:rsidRPr="00F93E2F">
        <w:rPr>
          <w:rFonts w:cstheme="minorHAnsi"/>
          <w:sz w:val="24"/>
          <w:szCs w:val="24"/>
        </w:rPr>
        <w:t xml:space="preserve"> </w:t>
      </w:r>
    </w:p>
    <w:p w14:paraId="2B5228B4" w14:textId="77777777" w:rsidR="009469F7" w:rsidRPr="00EC4F25" w:rsidRDefault="009469F7" w:rsidP="009469F7">
      <w:pPr>
        <w:spacing w:after="0"/>
        <w:rPr>
          <w:b/>
          <w:bCs/>
          <w:color w:val="C00000"/>
        </w:rPr>
      </w:pPr>
    </w:p>
    <w:p w14:paraId="09F05038" w14:textId="77777777" w:rsidR="009469F7" w:rsidRPr="00F93E2F" w:rsidRDefault="009469F7" w:rsidP="009469F7">
      <w:pPr>
        <w:spacing w:after="0"/>
        <w:jc w:val="both"/>
        <w:rPr>
          <w:i/>
          <w:iCs/>
          <w:kern w:val="0"/>
          <w:sz w:val="16"/>
          <w:szCs w:val="16"/>
        </w:rPr>
      </w:pPr>
    </w:p>
    <w:p w14:paraId="3D143242" w14:textId="77777777" w:rsidR="00FA39D7" w:rsidRDefault="00FA39D7" w:rsidP="00FA39D7">
      <w:pPr>
        <w:spacing w:after="0" w:line="240" w:lineRule="auto"/>
        <w:jc w:val="center"/>
        <w:rPr>
          <w:b/>
          <w:bCs/>
          <w:kern w:val="0"/>
          <w:sz w:val="24"/>
          <w:szCs w:val="24"/>
        </w:rPr>
      </w:pPr>
      <w:r>
        <w:rPr>
          <w:b/>
          <w:bCs/>
          <w:kern w:val="0"/>
          <w:sz w:val="24"/>
          <w:szCs w:val="24"/>
        </w:rPr>
        <w:t>* * *</w:t>
      </w:r>
    </w:p>
    <w:p w14:paraId="2A9BFBB6" w14:textId="77777777" w:rsidR="00FA39D7" w:rsidRDefault="00FA39D7" w:rsidP="00924443">
      <w:pPr>
        <w:spacing w:after="0"/>
        <w:jc w:val="both"/>
        <w:rPr>
          <w:b/>
          <w:bCs/>
          <w:sz w:val="24"/>
          <w:szCs w:val="24"/>
        </w:rPr>
      </w:pPr>
    </w:p>
    <w:p w14:paraId="715496EC" w14:textId="63540DA2" w:rsidR="005D69C5" w:rsidRPr="0051049D" w:rsidRDefault="002346FE" w:rsidP="00924443">
      <w:pPr>
        <w:spacing w:after="0"/>
        <w:jc w:val="both"/>
        <w:rPr>
          <w:sz w:val="24"/>
          <w:szCs w:val="24"/>
        </w:rPr>
      </w:pPr>
      <w:r w:rsidRPr="0051049D">
        <w:rPr>
          <w:b/>
          <w:bCs/>
          <w:sz w:val="24"/>
          <w:szCs w:val="24"/>
        </w:rPr>
        <w:t>Zgłaszający</w:t>
      </w:r>
      <w:r w:rsidRPr="0051049D">
        <w:rPr>
          <w:sz w:val="24"/>
          <w:szCs w:val="24"/>
        </w:rPr>
        <w:t xml:space="preserve">: Andrzej Szewiński, Piotr Adamowicz, Romuald Ajchler, Tomasz </w:t>
      </w:r>
      <w:proofErr w:type="spellStart"/>
      <w:r w:rsidRPr="0051049D">
        <w:rPr>
          <w:sz w:val="24"/>
          <w:szCs w:val="24"/>
        </w:rPr>
        <w:t>Aniśko</w:t>
      </w:r>
      <w:proofErr w:type="spellEnd"/>
      <w:r w:rsidRPr="0051049D">
        <w:rPr>
          <w:sz w:val="24"/>
          <w:szCs w:val="24"/>
        </w:rPr>
        <w:t xml:space="preserve">, Urszula Augustyn, Władysław Teofil Bartoszewski, Jerzy Borowczak, Piotr Borys, Borys Budka, Małgorzata Chmiel, Janusz Cichoń, Adam </w:t>
      </w:r>
      <w:proofErr w:type="spellStart"/>
      <w:r w:rsidRPr="0051049D">
        <w:rPr>
          <w:sz w:val="24"/>
          <w:szCs w:val="24"/>
        </w:rPr>
        <w:t>Cyrański</w:t>
      </w:r>
      <w:proofErr w:type="spellEnd"/>
      <w:r w:rsidRPr="0051049D">
        <w:rPr>
          <w:sz w:val="24"/>
          <w:szCs w:val="24"/>
        </w:rPr>
        <w:t xml:space="preserve">, Jacek Czerniak, Zofia Czernow, Barbara Dolniak, </w:t>
      </w:r>
      <w:proofErr w:type="spellStart"/>
      <w:r w:rsidRPr="0051049D">
        <w:rPr>
          <w:sz w:val="24"/>
          <w:szCs w:val="24"/>
        </w:rPr>
        <w:t>Waldy</w:t>
      </w:r>
      <w:proofErr w:type="spellEnd"/>
      <w:r w:rsidRPr="0051049D">
        <w:rPr>
          <w:sz w:val="24"/>
          <w:szCs w:val="24"/>
        </w:rPr>
        <w:t xml:space="preserve"> Dzikowski, Monika </w:t>
      </w:r>
      <w:proofErr w:type="spellStart"/>
      <w:r w:rsidRPr="0051049D">
        <w:rPr>
          <w:sz w:val="24"/>
          <w:szCs w:val="24"/>
        </w:rPr>
        <w:t>Falej</w:t>
      </w:r>
      <w:proofErr w:type="spellEnd"/>
      <w:r w:rsidRPr="0051049D">
        <w:rPr>
          <w:sz w:val="24"/>
          <w:szCs w:val="24"/>
        </w:rPr>
        <w:t xml:space="preserve">, Magdalena </w:t>
      </w:r>
      <w:proofErr w:type="spellStart"/>
      <w:r w:rsidRPr="0051049D">
        <w:rPr>
          <w:sz w:val="24"/>
          <w:szCs w:val="24"/>
        </w:rPr>
        <w:t>Filiks</w:t>
      </w:r>
      <w:proofErr w:type="spellEnd"/>
      <w:r w:rsidRPr="0051049D">
        <w:rPr>
          <w:sz w:val="24"/>
          <w:szCs w:val="24"/>
        </w:rPr>
        <w:t xml:space="preserve">, Joanna Frydrych, Krzysztof Gadowski, Aleksandra Gajewska, Kinga Gajewska, Elżbieta Gelert, Hanna </w:t>
      </w:r>
      <w:proofErr w:type="spellStart"/>
      <w:r w:rsidRPr="0051049D">
        <w:rPr>
          <w:sz w:val="24"/>
          <w:szCs w:val="24"/>
        </w:rPr>
        <w:t>Gill</w:t>
      </w:r>
      <w:proofErr w:type="spellEnd"/>
      <w:r w:rsidRPr="0051049D">
        <w:rPr>
          <w:sz w:val="24"/>
          <w:szCs w:val="24"/>
        </w:rPr>
        <w:t xml:space="preserve">-Piątek, Tomasz Głogowski, Marta </w:t>
      </w:r>
      <w:proofErr w:type="spellStart"/>
      <w:r w:rsidRPr="0051049D">
        <w:rPr>
          <w:sz w:val="24"/>
          <w:szCs w:val="24"/>
        </w:rPr>
        <w:t>Golbik</w:t>
      </w:r>
      <w:proofErr w:type="spellEnd"/>
      <w:r w:rsidRPr="0051049D">
        <w:rPr>
          <w:sz w:val="24"/>
          <w:szCs w:val="24"/>
        </w:rPr>
        <w:t xml:space="preserve">, Cezary Grabarczyk, Krzysztof Grabczuk, Michał Gramatyka, Rafał Grupiński, </w:t>
      </w:r>
      <w:proofErr w:type="spellStart"/>
      <w:r w:rsidRPr="0051049D">
        <w:rPr>
          <w:sz w:val="24"/>
          <w:szCs w:val="24"/>
        </w:rPr>
        <w:t>Riad</w:t>
      </w:r>
      <w:proofErr w:type="spellEnd"/>
      <w:r w:rsidRPr="0051049D">
        <w:rPr>
          <w:sz w:val="24"/>
          <w:szCs w:val="24"/>
        </w:rPr>
        <w:t xml:space="preserve"> </w:t>
      </w:r>
      <w:proofErr w:type="spellStart"/>
      <w:r w:rsidRPr="0051049D">
        <w:rPr>
          <w:sz w:val="24"/>
          <w:szCs w:val="24"/>
        </w:rPr>
        <w:t>Haidar</w:t>
      </w:r>
      <w:proofErr w:type="spellEnd"/>
      <w:r w:rsidRPr="0051049D">
        <w:rPr>
          <w:sz w:val="24"/>
          <w:szCs w:val="24"/>
        </w:rPr>
        <w:t xml:space="preserve">, Agnieszka </w:t>
      </w:r>
      <w:proofErr w:type="spellStart"/>
      <w:r w:rsidRPr="0051049D">
        <w:rPr>
          <w:sz w:val="24"/>
          <w:szCs w:val="24"/>
        </w:rPr>
        <w:t>Hanajczyk</w:t>
      </w:r>
      <w:proofErr w:type="spellEnd"/>
      <w:r w:rsidRPr="0051049D">
        <w:rPr>
          <w:sz w:val="24"/>
          <w:szCs w:val="24"/>
        </w:rPr>
        <w:t xml:space="preserve">, Jerzy </w:t>
      </w:r>
      <w:proofErr w:type="spellStart"/>
      <w:r w:rsidRPr="0051049D">
        <w:rPr>
          <w:sz w:val="24"/>
          <w:szCs w:val="24"/>
        </w:rPr>
        <w:t>Hardie</w:t>
      </w:r>
      <w:proofErr w:type="spellEnd"/>
      <w:r w:rsidRPr="0051049D">
        <w:rPr>
          <w:sz w:val="24"/>
          <w:szCs w:val="24"/>
        </w:rPr>
        <w:t xml:space="preserve">-Douglas, Marek </w:t>
      </w:r>
      <w:proofErr w:type="spellStart"/>
      <w:r w:rsidRPr="0051049D">
        <w:rPr>
          <w:sz w:val="24"/>
          <w:szCs w:val="24"/>
        </w:rPr>
        <w:t>Hok</w:t>
      </w:r>
      <w:proofErr w:type="spellEnd"/>
      <w:r w:rsidRPr="0051049D">
        <w:rPr>
          <w:sz w:val="24"/>
          <w:szCs w:val="24"/>
        </w:rPr>
        <w:t xml:space="preserve">, Klaudia </w:t>
      </w:r>
      <w:proofErr w:type="spellStart"/>
      <w:r w:rsidRPr="0051049D">
        <w:rPr>
          <w:sz w:val="24"/>
          <w:szCs w:val="24"/>
        </w:rPr>
        <w:t>Jachira</w:t>
      </w:r>
      <w:proofErr w:type="spellEnd"/>
      <w:r w:rsidRPr="0051049D">
        <w:rPr>
          <w:sz w:val="24"/>
          <w:szCs w:val="24"/>
        </w:rPr>
        <w:t xml:space="preserve">, Maria Małgorzata </w:t>
      </w:r>
      <w:proofErr w:type="spellStart"/>
      <w:r w:rsidRPr="0051049D">
        <w:rPr>
          <w:sz w:val="24"/>
          <w:szCs w:val="24"/>
        </w:rPr>
        <w:t>Janyska</w:t>
      </w:r>
      <w:proofErr w:type="spellEnd"/>
      <w:r w:rsidRPr="0051049D">
        <w:rPr>
          <w:sz w:val="24"/>
          <w:szCs w:val="24"/>
        </w:rPr>
        <w:t xml:space="preserve">, Michał Jaros, Joanna Jaśkowiak, Dariusz Joński, Mieczysław Kasprzak, Marcin </w:t>
      </w:r>
      <w:proofErr w:type="spellStart"/>
      <w:r w:rsidRPr="0051049D">
        <w:rPr>
          <w:sz w:val="24"/>
          <w:szCs w:val="24"/>
        </w:rPr>
        <w:t>Kierwiński</w:t>
      </w:r>
      <w:proofErr w:type="spellEnd"/>
      <w:r w:rsidRPr="0051049D">
        <w:rPr>
          <w:sz w:val="24"/>
          <w:szCs w:val="24"/>
        </w:rPr>
        <w:t xml:space="preserve">, Joanna </w:t>
      </w:r>
      <w:proofErr w:type="spellStart"/>
      <w:r w:rsidRPr="0051049D">
        <w:rPr>
          <w:sz w:val="24"/>
          <w:szCs w:val="24"/>
        </w:rPr>
        <w:t>Kluzik</w:t>
      </w:r>
      <w:proofErr w:type="spellEnd"/>
      <w:r w:rsidRPr="0051049D">
        <w:rPr>
          <w:sz w:val="24"/>
          <w:szCs w:val="24"/>
        </w:rPr>
        <w:t>-Rostkowska, Ewa Kołodziej, Przemysław Koperski, Maciej Kopiec, Tomasz Kostuś, Katarzyna Kotula, Iwona Maria Kozłowska, Michał Krawczyk, Katarzyna Kretkowska, Robert Kropiwnicki, Wojciech Król, Paweł Krutul, Marek Krząkała, Henryka Krzywonos</w:t>
      </w:r>
      <w:r w:rsidR="00E410EF" w:rsidRPr="0051049D">
        <w:rPr>
          <w:sz w:val="24"/>
          <w:szCs w:val="24"/>
        </w:rPr>
        <w:t xml:space="preserve"> </w:t>
      </w:r>
      <w:r w:rsidRPr="0051049D">
        <w:rPr>
          <w:sz w:val="24"/>
          <w:szCs w:val="24"/>
        </w:rPr>
        <w:t xml:space="preserve">Strycharska, Anita Kucharska-Dziedzic, Marcin Kulasek, Dariusz Kurzawa, Robert Kwiatkowski, Artur Łącki, Magdalena </w:t>
      </w:r>
      <w:proofErr w:type="spellStart"/>
      <w:r w:rsidRPr="0051049D">
        <w:rPr>
          <w:sz w:val="24"/>
          <w:szCs w:val="24"/>
        </w:rPr>
        <w:t>Łośko</w:t>
      </w:r>
      <w:proofErr w:type="spellEnd"/>
      <w:r w:rsidRPr="0051049D">
        <w:rPr>
          <w:sz w:val="24"/>
          <w:szCs w:val="24"/>
        </w:rPr>
        <w:t xml:space="preserve">, Jagna </w:t>
      </w:r>
      <w:proofErr w:type="spellStart"/>
      <w:r w:rsidRPr="0051049D">
        <w:rPr>
          <w:sz w:val="24"/>
          <w:szCs w:val="24"/>
        </w:rPr>
        <w:t>Marczułajtis</w:t>
      </w:r>
      <w:proofErr w:type="spellEnd"/>
      <w:r w:rsidRPr="0051049D">
        <w:rPr>
          <w:sz w:val="24"/>
          <w:szCs w:val="24"/>
        </w:rPr>
        <w:t xml:space="preserve">-Walczak, Rajmund Miller, Aleksander Miszalski, Izabela Katarzyna </w:t>
      </w:r>
      <w:proofErr w:type="spellStart"/>
      <w:r w:rsidRPr="0051049D">
        <w:rPr>
          <w:sz w:val="24"/>
          <w:szCs w:val="24"/>
        </w:rPr>
        <w:t>Mrzygłocka</w:t>
      </w:r>
      <w:proofErr w:type="spellEnd"/>
      <w:r w:rsidRPr="0051049D">
        <w:rPr>
          <w:sz w:val="24"/>
          <w:szCs w:val="24"/>
        </w:rPr>
        <w:t xml:space="preserve">, Grzegorz Napieralski, Sławomir Neumann, Dorota Niedziela, Małgorzata Niemczyk, Sławomir </w:t>
      </w:r>
      <w:proofErr w:type="spellStart"/>
      <w:r w:rsidRPr="0051049D">
        <w:rPr>
          <w:sz w:val="24"/>
          <w:szCs w:val="24"/>
        </w:rPr>
        <w:t>Nitras</w:t>
      </w:r>
      <w:proofErr w:type="spellEnd"/>
      <w:r w:rsidRPr="0051049D">
        <w:rPr>
          <w:sz w:val="24"/>
          <w:szCs w:val="24"/>
        </w:rPr>
        <w:t xml:space="preserve">, Barbara Nowacka, Tomasz Piotr Nowak, Wanda Nowicka, Mirosława </w:t>
      </w:r>
      <w:proofErr w:type="spellStart"/>
      <w:r w:rsidRPr="0051049D">
        <w:rPr>
          <w:sz w:val="24"/>
          <w:szCs w:val="24"/>
        </w:rPr>
        <w:t>Nykiel</w:t>
      </w:r>
      <w:proofErr w:type="spellEnd"/>
      <w:r w:rsidRPr="0051049D">
        <w:rPr>
          <w:sz w:val="24"/>
          <w:szCs w:val="24"/>
        </w:rPr>
        <w:t xml:space="preserve">, Robert </w:t>
      </w:r>
      <w:proofErr w:type="spellStart"/>
      <w:r w:rsidRPr="0051049D">
        <w:rPr>
          <w:sz w:val="24"/>
          <w:szCs w:val="24"/>
        </w:rPr>
        <w:t>Obaz</w:t>
      </w:r>
      <w:proofErr w:type="spellEnd"/>
      <w:r w:rsidRPr="0051049D">
        <w:rPr>
          <w:sz w:val="24"/>
          <w:szCs w:val="24"/>
        </w:rPr>
        <w:t>, Marzena Okła-</w:t>
      </w:r>
      <w:proofErr w:type="spellStart"/>
      <w:r w:rsidRPr="0051049D">
        <w:rPr>
          <w:sz w:val="24"/>
          <w:szCs w:val="24"/>
        </w:rPr>
        <w:t>Drewnowicz</w:t>
      </w:r>
      <w:proofErr w:type="spellEnd"/>
      <w:r w:rsidRPr="0051049D">
        <w:rPr>
          <w:sz w:val="24"/>
          <w:szCs w:val="24"/>
        </w:rPr>
        <w:t xml:space="preserve">, Tomasz </w:t>
      </w:r>
      <w:proofErr w:type="spellStart"/>
      <w:r w:rsidRPr="0051049D">
        <w:rPr>
          <w:sz w:val="24"/>
          <w:szCs w:val="24"/>
        </w:rPr>
        <w:t>Olichwer</w:t>
      </w:r>
      <w:proofErr w:type="spellEnd"/>
      <w:r w:rsidRPr="0051049D">
        <w:rPr>
          <w:sz w:val="24"/>
          <w:szCs w:val="24"/>
        </w:rPr>
        <w:t xml:space="preserve">, Paweł Olszewski, Katarzyna </w:t>
      </w:r>
      <w:proofErr w:type="spellStart"/>
      <w:r w:rsidRPr="0051049D">
        <w:rPr>
          <w:sz w:val="24"/>
          <w:szCs w:val="24"/>
        </w:rPr>
        <w:t>Osos</w:t>
      </w:r>
      <w:proofErr w:type="spellEnd"/>
      <w:r w:rsidRPr="0051049D">
        <w:rPr>
          <w:sz w:val="24"/>
          <w:szCs w:val="24"/>
        </w:rPr>
        <w:t xml:space="preserve">, Paweł </w:t>
      </w:r>
      <w:proofErr w:type="spellStart"/>
      <w:r w:rsidRPr="0051049D">
        <w:rPr>
          <w:sz w:val="24"/>
          <w:szCs w:val="24"/>
        </w:rPr>
        <w:t>Papke</w:t>
      </w:r>
      <w:proofErr w:type="spellEnd"/>
      <w:r w:rsidRPr="0051049D">
        <w:rPr>
          <w:sz w:val="24"/>
          <w:szCs w:val="24"/>
        </w:rPr>
        <w:t xml:space="preserve">, Karolina </w:t>
      </w:r>
      <w:proofErr w:type="spellStart"/>
      <w:r w:rsidRPr="0051049D">
        <w:rPr>
          <w:sz w:val="24"/>
          <w:szCs w:val="24"/>
        </w:rPr>
        <w:t>Pawliczak</w:t>
      </w:r>
      <w:proofErr w:type="spellEnd"/>
      <w:r w:rsidRPr="0051049D">
        <w:rPr>
          <w:sz w:val="24"/>
          <w:szCs w:val="24"/>
        </w:rPr>
        <w:t xml:space="preserve">, Małgorzata Pępek, Krzysztof Piątkowski, Sławomir Jan Piechota, Kazimierz </w:t>
      </w:r>
      <w:proofErr w:type="spellStart"/>
      <w:r w:rsidRPr="0051049D">
        <w:rPr>
          <w:sz w:val="24"/>
          <w:szCs w:val="24"/>
        </w:rPr>
        <w:t>Plocke</w:t>
      </w:r>
      <w:proofErr w:type="spellEnd"/>
      <w:r w:rsidRPr="0051049D">
        <w:rPr>
          <w:sz w:val="24"/>
          <w:szCs w:val="24"/>
        </w:rPr>
        <w:t xml:space="preserve">, Agnieszka </w:t>
      </w:r>
      <w:proofErr w:type="spellStart"/>
      <w:r w:rsidRPr="0051049D">
        <w:rPr>
          <w:sz w:val="24"/>
          <w:szCs w:val="24"/>
        </w:rPr>
        <w:t>Pomaska</w:t>
      </w:r>
      <w:proofErr w:type="spellEnd"/>
      <w:r w:rsidRPr="0051049D">
        <w:rPr>
          <w:sz w:val="24"/>
          <w:szCs w:val="24"/>
        </w:rPr>
        <w:t xml:space="preserve">, Paweł Poncyljusz, Małgorzata Prokop-Paczkowska, Jacek Protas, Jacek Protasiewicz, Ireneusz Raś, Monika Rosa, Grzegorz Rusiecki, Jakub </w:t>
      </w:r>
      <w:proofErr w:type="spellStart"/>
      <w:r w:rsidRPr="0051049D">
        <w:rPr>
          <w:sz w:val="24"/>
          <w:szCs w:val="24"/>
        </w:rPr>
        <w:t>Rutnicki</w:t>
      </w:r>
      <w:proofErr w:type="spellEnd"/>
      <w:r w:rsidRPr="0051049D">
        <w:rPr>
          <w:sz w:val="24"/>
          <w:szCs w:val="24"/>
        </w:rPr>
        <w:t xml:space="preserve">, Marek </w:t>
      </w:r>
      <w:proofErr w:type="spellStart"/>
      <w:r w:rsidRPr="0051049D">
        <w:rPr>
          <w:sz w:val="24"/>
          <w:szCs w:val="24"/>
        </w:rPr>
        <w:t>Rząsa</w:t>
      </w:r>
      <w:proofErr w:type="spellEnd"/>
      <w:r w:rsidRPr="0051049D">
        <w:rPr>
          <w:sz w:val="24"/>
          <w:szCs w:val="24"/>
        </w:rPr>
        <w:t xml:space="preserve">, Wojciech </w:t>
      </w:r>
      <w:proofErr w:type="spellStart"/>
      <w:r w:rsidRPr="0051049D">
        <w:rPr>
          <w:sz w:val="24"/>
          <w:szCs w:val="24"/>
        </w:rPr>
        <w:t>Saługa</w:t>
      </w:r>
      <w:proofErr w:type="spellEnd"/>
      <w:r w:rsidRPr="0051049D">
        <w:rPr>
          <w:sz w:val="24"/>
          <w:szCs w:val="24"/>
        </w:rPr>
        <w:t xml:space="preserve">, Małgorzata Sekuła-Szmajdzińska, Joanna Senyszyn, Krystyna </w:t>
      </w:r>
      <w:proofErr w:type="spellStart"/>
      <w:r w:rsidRPr="0051049D">
        <w:rPr>
          <w:sz w:val="24"/>
          <w:szCs w:val="24"/>
        </w:rPr>
        <w:t>Sibińska</w:t>
      </w:r>
      <w:proofErr w:type="spellEnd"/>
      <w:r w:rsidRPr="0051049D">
        <w:rPr>
          <w:sz w:val="24"/>
          <w:szCs w:val="24"/>
        </w:rPr>
        <w:t xml:space="preserve">, Tomasz Siemoniak, Bartłomiej Sienkiewicz, Krystyna Skowrońska, Waldemar </w:t>
      </w:r>
      <w:proofErr w:type="spellStart"/>
      <w:r w:rsidRPr="0051049D">
        <w:rPr>
          <w:sz w:val="24"/>
          <w:szCs w:val="24"/>
        </w:rPr>
        <w:t>Sługocki</w:t>
      </w:r>
      <w:proofErr w:type="spellEnd"/>
      <w:r w:rsidRPr="0051049D">
        <w:rPr>
          <w:sz w:val="24"/>
          <w:szCs w:val="24"/>
        </w:rPr>
        <w:t xml:space="preserve">, Bogusław Sonik, Marek Sowa, Anita Sowińska, Franciszek </w:t>
      </w:r>
      <w:proofErr w:type="spellStart"/>
      <w:r w:rsidRPr="0051049D">
        <w:rPr>
          <w:sz w:val="24"/>
          <w:szCs w:val="24"/>
        </w:rPr>
        <w:t>Sterczewski</w:t>
      </w:r>
      <w:proofErr w:type="spellEnd"/>
      <w:r w:rsidRPr="0051049D">
        <w:rPr>
          <w:sz w:val="24"/>
          <w:szCs w:val="24"/>
        </w:rPr>
        <w:t xml:space="preserve">, Mirosław Suchoń, Michał Szczerba, Adam Szłapka, Jan Szopiński, Krystyna </w:t>
      </w:r>
      <w:proofErr w:type="spellStart"/>
      <w:r w:rsidRPr="0051049D">
        <w:rPr>
          <w:sz w:val="24"/>
          <w:szCs w:val="24"/>
        </w:rPr>
        <w:t>Szumilas</w:t>
      </w:r>
      <w:proofErr w:type="spellEnd"/>
      <w:r w:rsidRPr="0051049D">
        <w:rPr>
          <w:sz w:val="24"/>
          <w:szCs w:val="24"/>
        </w:rPr>
        <w:t xml:space="preserve">, Iwona Śledzińska-Katarasińska, Tadeusz Tomaszewski, Małgorzata Tracz, Robert Tyszkiewicz, Katarzyna </w:t>
      </w:r>
      <w:proofErr w:type="spellStart"/>
      <w:r w:rsidRPr="0051049D">
        <w:rPr>
          <w:sz w:val="24"/>
          <w:szCs w:val="24"/>
        </w:rPr>
        <w:t>Ueberhan</w:t>
      </w:r>
      <w:proofErr w:type="spellEnd"/>
      <w:r w:rsidRPr="0051049D">
        <w:rPr>
          <w:sz w:val="24"/>
          <w:szCs w:val="24"/>
        </w:rPr>
        <w:t xml:space="preserve">, Jarosław Urbaniak, Jarosław Wałęsa, Marta Wcisło, Monika Wielichowska, Mariusz Witczak, Anna Wojciechowska, Paweł Zalewski, Witold Zembaczyński, Piotr Benedykt Zientarski, Tomasz Zimoch, Tadeusz </w:t>
      </w:r>
      <w:proofErr w:type="spellStart"/>
      <w:r w:rsidRPr="0051049D">
        <w:rPr>
          <w:sz w:val="24"/>
          <w:szCs w:val="24"/>
        </w:rPr>
        <w:t>Zwiefka</w:t>
      </w:r>
      <w:proofErr w:type="spellEnd"/>
      <w:r w:rsidRPr="0051049D">
        <w:rPr>
          <w:sz w:val="24"/>
          <w:szCs w:val="24"/>
        </w:rPr>
        <w:br/>
      </w:r>
      <w:r w:rsidRPr="0051049D">
        <w:rPr>
          <w:b/>
          <w:bCs/>
          <w:sz w:val="24"/>
          <w:szCs w:val="24"/>
        </w:rPr>
        <w:t>Data wpływu</w:t>
      </w:r>
      <w:r w:rsidR="00924443" w:rsidRPr="0051049D">
        <w:rPr>
          <w:sz w:val="24"/>
          <w:szCs w:val="24"/>
        </w:rPr>
        <w:t>: 11-11-2022</w:t>
      </w:r>
    </w:p>
    <w:p w14:paraId="04CB09E3" w14:textId="77777777" w:rsidR="00924443" w:rsidRPr="0051049D" w:rsidRDefault="00924443" w:rsidP="00924443">
      <w:pPr>
        <w:spacing w:after="0"/>
      </w:pPr>
    </w:p>
    <w:p w14:paraId="0197F290" w14:textId="77777777" w:rsidR="00C9384B" w:rsidRPr="007D2684" w:rsidRDefault="00C9384B" w:rsidP="00EC4F25">
      <w:pPr>
        <w:shd w:val="clear" w:color="auto" w:fill="FFFFFF"/>
        <w:spacing w:after="0" w:line="240" w:lineRule="auto"/>
        <w:ind w:firstLine="567"/>
        <w:rPr>
          <w:rFonts w:eastAsia="Times New Roman" w:cstheme="minorHAnsi"/>
          <w:i/>
          <w:iCs/>
          <w:kern w:val="0"/>
          <w:sz w:val="24"/>
          <w:szCs w:val="24"/>
          <w:lang w:eastAsia="pl-PL"/>
          <w14:ligatures w14:val="none"/>
        </w:rPr>
      </w:pPr>
      <w:r w:rsidRPr="007D2684">
        <w:rPr>
          <w:rFonts w:eastAsia="Times New Roman" w:cstheme="minorHAnsi"/>
          <w:i/>
          <w:iCs/>
          <w:kern w:val="0"/>
          <w:sz w:val="24"/>
          <w:szCs w:val="24"/>
          <w:lang w:eastAsia="pl-PL"/>
          <w14:ligatures w14:val="none"/>
        </w:rPr>
        <w:t>Szanowny Panie Ministrze!</w:t>
      </w:r>
    </w:p>
    <w:p w14:paraId="3D4139BB" w14:textId="77777777" w:rsidR="00C9384B" w:rsidRPr="007D2684" w:rsidRDefault="00C9384B" w:rsidP="00C9384B">
      <w:pPr>
        <w:shd w:val="clear" w:color="auto" w:fill="FFFFFF"/>
        <w:spacing w:after="0" w:line="240" w:lineRule="auto"/>
        <w:rPr>
          <w:rFonts w:eastAsia="Times New Roman" w:cstheme="minorHAnsi"/>
          <w:kern w:val="0"/>
          <w:sz w:val="24"/>
          <w:szCs w:val="24"/>
          <w:lang w:eastAsia="pl-PL"/>
          <w14:ligatures w14:val="none"/>
        </w:rPr>
      </w:pPr>
    </w:p>
    <w:p w14:paraId="0A50965A" w14:textId="77777777" w:rsidR="00C9384B" w:rsidRPr="007D2684" w:rsidRDefault="00C9384B" w:rsidP="00EC4F25">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W Ministerstwie Rozwoju i Technologii prowadzone są obecnie prace nad nową ustawą Prawo własności przemysłowej - UD263, który to projekt:</w:t>
      </w:r>
    </w:p>
    <w:p w14:paraId="50A4AA59" w14:textId="28894AF5" w:rsidR="00C9384B" w:rsidRPr="00D86C7B" w:rsidRDefault="00C9384B" w:rsidP="00C9384B">
      <w:pPr>
        <w:shd w:val="clear" w:color="auto" w:fill="FFFFFF"/>
        <w:spacing w:after="0" w:line="240" w:lineRule="auto"/>
        <w:ind w:firstLine="708"/>
        <w:jc w:val="both"/>
        <w:rPr>
          <w:rFonts w:eastAsia="Times New Roman" w:cstheme="minorHAnsi"/>
          <w:kern w:val="0"/>
          <w:sz w:val="10"/>
          <w:szCs w:val="10"/>
          <w:lang w:eastAsia="pl-PL"/>
          <w14:ligatures w14:val="none"/>
        </w:rPr>
      </w:pPr>
    </w:p>
    <w:p w14:paraId="5E7F6E37" w14:textId="77777777" w:rsidR="00036554" w:rsidRPr="007D2684" w:rsidRDefault="00C9384B" w:rsidP="001B6FC4">
      <w:pPr>
        <w:pStyle w:val="Akapitzlist"/>
        <w:numPr>
          <w:ilvl w:val="1"/>
          <w:numId w:val="3"/>
        </w:numPr>
        <w:shd w:val="clear" w:color="auto" w:fill="FFFFFF"/>
        <w:ind w:left="567" w:hanging="425"/>
        <w:jc w:val="both"/>
        <w:rPr>
          <w:rFonts w:eastAsia="Times New Roman" w:cstheme="minorHAnsi"/>
          <w:sz w:val="24"/>
          <w:szCs w:val="24"/>
          <w:lang w:eastAsia="pl-PL"/>
        </w:rPr>
      </w:pPr>
      <w:r w:rsidRPr="007D2684">
        <w:rPr>
          <w:rFonts w:eastAsia="Times New Roman" w:cstheme="minorHAnsi"/>
          <w:sz w:val="24"/>
          <w:szCs w:val="24"/>
          <w:lang w:eastAsia="pl-PL"/>
        </w:rPr>
        <w:t xml:space="preserve">zawiera propozycje prowadzące po raz kolejny do błędnej implementacji kilku kolejnych dyrektyw unijnych - jeden z wielu przykładów (warto podkreślić: jeden z wielu) stanowi nierealizowanie wskazań artykułu 3 dyrektywy Parlamentu Europejskiego i Rady (UE) 2015/2436 z dnia 16 grudnia 2015 r. mającej na celu zbliżenie ustawodawstw państw </w:t>
      </w:r>
      <w:r w:rsidRPr="007D2684">
        <w:rPr>
          <w:rFonts w:eastAsia="Times New Roman" w:cstheme="minorHAnsi"/>
          <w:sz w:val="24"/>
          <w:szCs w:val="24"/>
          <w:lang w:eastAsia="pl-PL"/>
        </w:rPr>
        <w:lastRenderedPageBreak/>
        <w:t>członkowskich odnoszących się do znaków towarowych, ponieważ niezgodnie z zaleceniami dyrektywy - w projekcie UD263 odmiennie bowiem sformułowano definicję znaku towarowego;</w:t>
      </w:r>
    </w:p>
    <w:p w14:paraId="6D072881" w14:textId="77777777" w:rsidR="00036554" w:rsidRPr="00381A04" w:rsidRDefault="00036554" w:rsidP="00036554">
      <w:pPr>
        <w:pStyle w:val="Akapitzlist"/>
        <w:shd w:val="clear" w:color="auto" w:fill="FFFFFF"/>
        <w:ind w:left="567"/>
        <w:jc w:val="both"/>
        <w:rPr>
          <w:rFonts w:eastAsia="Times New Roman" w:cstheme="minorHAnsi"/>
          <w:sz w:val="10"/>
          <w:szCs w:val="10"/>
          <w:lang w:eastAsia="pl-PL"/>
        </w:rPr>
      </w:pPr>
    </w:p>
    <w:p w14:paraId="0787081F" w14:textId="66BD487D" w:rsidR="00C9384B" w:rsidRPr="007D2684" w:rsidRDefault="00C9384B" w:rsidP="001B6FC4">
      <w:pPr>
        <w:pStyle w:val="Akapitzlist"/>
        <w:numPr>
          <w:ilvl w:val="1"/>
          <w:numId w:val="3"/>
        </w:numPr>
        <w:shd w:val="clear" w:color="auto" w:fill="FFFFFF"/>
        <w:ind w:left="567" w:hanging="425"/>
        <w:jc w:val="both"/>
        <w:rPr>
          <w:rFonts w:eastAsia="Times New Roman" w:cstheme="minorHAnsi"/>
          <w:sz w:val="24"/>
          <w:szCs w:val="24"/>
          <w:lang w:eastAsia="pl-PL"/>
        </w:rPr>
      </w:pPr>
      <w:r w:rsidRPr="007D2684">
        <w:rPr>
          <w:rFonts w:eastAsia="Times New Roman" w:cstheme="minorHAnsi"/>
          <w:sz w:val="24"/>
          <w:szCs w:val="24"/>
          <w:lang w:eastAsia="pl-PL"/>
        </w:rPr>
        <w:t xml:space="preserve">opracowany został bez uwzględnienia zbliżającego się obowiązku powiadomienia Komisji Europejskiej </w:t>
      </w:r>
      <w:r w:rsidR="004F219F" w:rsidRPr="007D2684">
        <w:rPr>
          <w:rFonts w:eastAsia="Times New Roman" w:cstheme="minorHAnsi"/>
          <w:sz w:val="24"/>
          <w:szCs w:val="24"/>
          <w:lang w:eastAsia="pl-PL"/>
        </w:rPr>
        <w:br/>
      </w:r>
      <w:r w:rsidRPr="007D2684">
        <w:rPr>
          <w:rFonts w:eastAsia="Times New Roman" w:cstheme="minorHAnsi"/>
          <w:sz w:val="24"/>
          <w:szCs w:val="24"/>
          <w:lang w:eastAsia="pl-PL"/>
        </w:rPr>
        <w:t>o zmianach (w celu zachowania spójności systemów), który to nakaz wynika z artykułu 54 ww. dyrektywy - co beztrosko przyznano w podsumowaniu uzasadnienia projektu, informując o braku obowiązku, który to obowiązek w rzeczywistości zaistnieje:</w:t>
      </w:r>
    </w:p>
    <w:p w14:paraId="624F4CCD" w14:textId="77777777" w:rsidR="00C9384B" w:rsidRPr="00381A04"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17422F83" w14:textId="6179AC8D" w:rsidR="00C9384B" w:rsidRPr="007D2684" w:rsidRDefault="00C9384B" w:rsidP="00036554">
      <w:pPr>
        <w:shd w:val="clear" w:color="auto" w:fill="FFFFFF"/>
        <w:spacing w:after="0" w:line="240" w:lineRule="auto"/>
        <w:ind w:left="567"/>
        <w:jc w:val="both"/>
        <w:rPr>
          <w:rFonts w:eastAsia="Times New Roman" w:cstheme="minorHAnsi"/>
          <w:i/>
          <w:iCs/>
          <w:kern w:val="0"/>
          <w:sz w:val="24"/>
          <w:szCs w:val="24"/>
          <w:lang w:eastAsia="pl-PL"/>
          <w14:ligatures w14:val="none"/>
        </w:rPr>
      </w:pPr>
      <w:r w:rsidRPr="007D2684">
        <w:rPr>
          <w:rFonts w:eastAsia="Times New Roman" w:cstheme="minorHAnsi"/>
          <w:i/>
          <w:iCs/>
          <w:kern w:val="0"/>
          <w:sz w:val="24"/>
          <w:szCs w:val="24"/>
          <w:lang w:eastAsia="pl-PL"/>
          <w14:ligatures w14:val="none"/>
        </w:rPr>
        <w:t>„Projekt ustawy, zgodnie z przepisami rozporządzenia Rady Ministrów z dnia 23 grudnia 2002 r. w sprawie sposobu funkcjonowania krajowego systemu notyfikacji norm i aktów prawnych (Dz. U. poz. 2039, z późn. zm.), nie podlega procedurze notyfikacji.” (ostatnia strona 105, w pkt. 14 uzasadnienia projektu UD263), a przecież projekt ustawy Prawo własności przemysłowej UD263 podlegać winien obowiązkowi notyfikacji aktów prawnych, gdyż podlegają jej akty wyłączające stosowanie zasady swobodnego przepływu towarów i usług,</w:t>
      </w:r>
    </w:p>
    <w:p w14:paraId="612582AA" w14:textId="77777777" w:rsidR="00C9384B" w:rsidRPr="007D2684" w:rsidRDefault="00C9384B" w:rsidP="00036554">
      <w:pPr>
        <w:shd w:val="clear" w:color="auto" w:fill="FFFFFF"/>
        <w:spacing w:after="0" w:line="240" w:lineRule="auto"/>
        <w:ind w:left="567"/>
        <w:jc w:val="both"/>
        <w:rPr>
          <w:rFonts w:eastAsia="Times New Roman" w:cstheme="minorHAnsi"/>
          <w:i/>
          <w:iCs/>
          <w:kern w:val="0"/>
          <w:sz w:val="24"/>
          <w:szCs w:val="24"/>
          <w:lang w:eastAsia="pl-PL"/>
          <w14:ligatures w14:val="none"/>
        </w:rPr>
      </w:pPr>
      <w:r w:rsidRPr="007D2684">
        <w:rPr>
          <w:rFonts w:eastAsia="Times New Roman" w:cstheme="minorHAnsi"/>
          <w:i/>
          <w:iCs/>
          <w:kern w:val="0"/>
          <w:sz w:val="24"/>
          <w:szCs w:val="24"/>
          <w:lang w:eastAsia="pl-PL"/>
          <w14:ligatures w14:val="none"/>
        </w:rPr>
        <w:t>dodatkowo w uzasadnieniu projektu UD263 nie uwzględniono faktu, że jego błędy - gdyby doszło do uchwalenia takiej ustawy - zostałyby obnażone w procesie zawstydzającej nas transpozycji polskiego prawa, której wymaga bez wątpienia artykuł 54 ww. dyrektywy:</w:t>
      </w:r>
    </w:p>
    <w:p w14:paraId="771297EF" w14:textId="77777777" w:rsidR="00C9384B" w:rsidRPr="007D2684"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1F5BA669" w14:textId="77777777" w:rsidR="00C9384B" w:rsidRPr="00381A04" w:rsidRDefault="00C9384B" w:rsidP="00036554">
      <w:pPr>
        <w:shd w:val="clear" w:color="auto" w:fill="FFFFFF"/>
        <w:spacing w:after="0" w:line="240" w:lineRule="auto"/>
        <w:ind w:left="567"/>
        <w:jc w:val="both"/>
        <w:rPr>
          <w:rFonts w:eastAsia="Times New Roman" w:cstheme="minorHAnsi"/>
          <w:kern w:val="0"/>
          <w:sz w:val="24"/>
          <w:szCs w:val="24"/>
          <w:lang w:eastAsia="pl-PL"/>
          <w14:ligatures w14:val="none"/>
        </w:rPr>
      </w:pPr>
      <w:r w:rsidRPr="00381A04">
        <w:rPr>
          <w:rFonts w:eastAsia="Times New Roman" w:cstheme="minorHAnsi"/>
          <w:kern w:val="0"/>
          <w:sz w:val="24"/>
          <w:szCs w:val="24"/>
          <w:lang w:eastAsia="pl-PL"/>
          <w14:ligatures w14:val="none"/>
        </w:rPr>
        <w:t>„Artykuł 54 Transpozycja</w:t>
      </w:r>
    </w:p>
    <w:p w14:paraId="061A1C01" w14:textId="77777777" w:rsidR="00381A04" w:rsidRPr="00381A04" w:rsidRDefault="00C9384B" w:rsidP="00036554">
      <w:pPr>
        <w:shd w:val="clear" w:color="auto" w:fill="FFFFFF"/>
        <w:spacing w:after="0" w:line="240" w:lineRule="auto"/>
        <w:ind w:left="567"/>
        <w:jc w:val="both"/>
        <w:rPr>
          <w:rFonts w:eastAsia="Times New Roman" w:cstheme="minorHAnsi"/>
          <w:kern w:val="0"/>
          <w:sz w:val="24"/>
          <w:szCs w:val="24"/>
          <w:lang w:eastAsia="pl-PL"/>
          <w14:ligatures w14:val="none"/>
        </w:rPr>
      </w:pPr>
      <w:r w:rsidRPr="00381A04">
        <w:rPr>
          <w:rFonts w:eastAsia="Times New Roman" w:cstheme="minorHAnsi"/>
          <w:kern w:val="0"/>
          <w:sz w:val="24"/>
          <w:szCs w:val="24"/>
          <w:lang w:eastAsia="pl-PL"/>
          <w14:ligatures w14:val="none"/>
        </w:rPr>
        <w:t xml:space="preserve">1. Państwa członkowskie </w:t>
      </w:r>
      <w:r w:rsidRPr="00381A04">
        <w:rPr>
          <w:rFonts w:eastAsia="Times New Roman" w:cstheme="minorHAnsi"/>
          <w:b/>
          <w:bCs/>
          <w:kern w:val="0"/>
          <w:sz w:val="24"/>
          <w:szCs w:val="24"/>
          <w:lang w:eastAsia="pl-PL"/>
          <w14:ligatures w14:val="none"/>
        </w:rPr>
        <w:t>wprowadzają w życie przepisy ustawowe</w:t>
      </w:r>
      <w:r w:rsidRPr="00381A04">
        <w:rPr>
          <w:rFonts w:eastAsia="Times New Roman" w:cstheme="minorHAnsi"/>
          <w:kern w:val="0"/>
          <w:sz w:val="24"/>
          <w:szCs w:val="24"/>
          <w:lang w:eastAsia="pl-PL"/>
          <w14:ligatures w14:val="none"/>
        </w:rPr>
        <w:t xml:space="preserve">, </w:t>
      </w:r>
      <w:r w:rsidRPr="00381A04">
        <w:rPr>
          <w:rFonts w:eastAsia="Times New Roman" w:cstheme="minorHAnsi"/>
          <w:b/>
          <w:bCs/>
          <w:kern w:val="0"/>
          <w:sz w:val="24"/>
          <w:szCs w:val="24"/>
          <w:lang w:eastAsia="pl-PL"/>
          <w14:ligatures w14:val="none"/>
        </w:rPr>
        <w:t>wykonawcze</w:t>
      </w:r>
      <w:r w:rsidRPr="00381A04">
        <w:rPr>
          <w:rFonts w:eastAsia="Times New Roman" w:cstheme="minorHAnsi"/>
          <w:kern w:val="0"/>
          <w:sz w:val="24"/>
          <w:szCs w:val="24"/>
          <w:lang w:eastAsia="pl-PL"/>
          <w14:ligatures w14:val="none"/>
        </w:rPr>
        <w:t xml:space="preserve"> </w:t>
      </w:r>
      <w:r w:rsidR="00036554" w:rsidRPr="00381A04">
        <w:rPr>
          <w:rFonts w:eastAsia="Times New Roman" w:cstheme="minorHAnsi"/>
          <w:kern w:val="0"/>
          <w:sz w:val="24"/>
          <w:szCs w:val="24"/>
          <w:lang w:eastAsia="pl-PL"/>
          <w14:ligatures w14:val="none"/>
        </w:rPr>
        <w:br/>
      </w:r>
      <w:r w:rsidRPr="00381A04">
        <w:rPr>
          <w:rFonts w:eastAsia="Times New Roman" w:cstheme="minorHAnsi"/>
          <w:kern w:val="0"/>
          <w:sz w:val="24"/>
          <w:szCs w:val="24"/>
          <w:lang w:eastAsia="pl-PL"/>
          <w14:ligatures w14:val="none"/>
        </w:rPr>
        <w:t xml:space="preserve">i administracyjne </w:t>
      </w:r>
      <w:r w:rsidRPr="00381A04">
        <w:rPr>
          <w:rFonts w:eastAsia="Times New Roman" w:cstheme="minorHAnsi"/>
          <w:b/>
          <w:bCs/>
          <w:kern w:val="0"/>
          <w:sz w:val="24"/>
          <w:szCs w:val="24"/>
          <w:lang w:eastAsia="pl-PL"/>
          <w14:ligatures w14:val="none"/>
        </w:rPr>
        <w:t>niezbędne</w:t>
      </w:r>
      <w:r w:rsidRPr="00381A04">
        <w:rPr>
          <w:rFonts w:eastAsia="Times New Roman" w:cstheme="minorHAnsi"/>
          <w:kern w:val="0"/>
          <w:sz w:val="24"/>
          <w:szCs w:val="24"/>
          <w:lang w:eastAsia="pl-PL"/>
          <w14:ligatures w14:val="none"/>
        </w:rPr>
        <w:t xml:space="preserve"> (…). </w:t>
      </w:r>
      <w:r w:rsidRPr="00381A04">
        <w:rPr>
          <w:rFonts w:eastAsia="Times New Roman" w:cstheme="minorHAnsi"/>
          <w:b/>
          <w:bCs/>
          <w:kern w:val="0"/>
          <w:sz w:val="24"/>
          <w:szCs w:val="24"/>
          <w:lang w:eastAsia="pl-PL"/>
          <w14:ligatures w14:val="none"/>
        </w:rPr>
        <w:t>Niezwłocznie przekazują</w:t>
      </w:r>
      <w:r w:rsidRPr="00381A04">
        <w:rPr>
          <w:rFonts w:eastAsia="Times New Roman" w:cstheme="minorHAnsi"/>
          <w:kern w:val="0"/>
          <w:sz w:val="24"/>
          <w:szCs w:val="24"/>
          <w:lang w:eastAsia="pl-PL"/>
          <w14:ligatures w14:val="none"/>
        </w:rPr>
        <w:t xml:space="preserve"> Komisji </w:t>
      </w:r>
      <w:r w:rsidRPr="00381A04">
        <w:rPr>
          <w:rFonts w:eastAsia="Times New Roman" w:cstheme="minorHAnsi"/>
          <w:b/>
          <w:bCs/>
          <w:kern w:val="0"/>
          <w:sz w:val="24"/>
          <w:szCs w:val="24"/>
          <w:lang w:eastAsia="pl-PL"/>
          <w14:ligatures w14:val="none"/>
        </w:rPr>
        <w:t>tekst tych przepisów</w:t>
      </w:r>
      <w:r w:rsidRPr="00381A04">
        <w:rPr>
          <w:rFonts w:eastAsia="Times New Roman" w:cstheme="minorHAnsi"/>
          <w:kern w:val="0"/>
          <w:sz w:val="24"/>
          <w:szCs w:val="24"/>
          <w:lang w:eastAsia="pl-PL"/>
          <w14:ligatures w14:val="none"/>
        </w:rPr>
        <w:t xml:space="preserve">.” </w:t>
      </w:r>
    </w:p>
    <w:p w14:paraId="5067C392" w14:textId="18D38821" w:rsidR="00C9384B" w:rsidRPr="007D2684" w:rsidRDefault="00036554" w:rsidP="00036554">
      <w:pPr>
        <w:shd w:val="clear" w:color="auto" w:fill="FFFFFF"/>
        <w:spacing w:after="0" w:line="240" w:lineRule="auto"/>
        <w:ind w:left="567"/>
        <w:jc w:val="both"/>
        <w:rPr>
          <w:rFonts w:eastAsia="Times New Roman" w:cstheme="minorHAnsi"/>
          <w:b/>
          <w:bCs/>
          <w:kern w:val="0"/>
          <w:sz w:val="24"/>
          <w:szCs w:val="24"/>
          <w:lang w:eastAsia="pl-PL"/>
          <w14:ligatures w14:val="none"/>
        </w:rPr>
      </w:pPr>
      <w:r w:rsidRPr="00381A04">
        <w:rPr>
          <w:rFonts w:eastAsia="Times New Roman" w:cstheme="minorHAnsi"/>
          <w:b/>
          <w:bCs/>
          <w:kern w:val="0"/>
          <w:sz w:val="10"/>
          <w:szCs w:val="10"/>
          <w:lang w:eastAsia="pl-PL"/>
          <w14:ligatures w14:val="none"/>
        </w:rPr>
        <w:br/>
      </w:r>
      <w:r w:rsidR="00C9384B" w:rsidRPr="007D2684">
        <w:rPr>
          <w:rFonts w:eastAsia="Times New Roman" w:cstheme="minorHAnsi"/>
          <w:b/>
          <w:bCs/>
          <w:kern w:val="0"/>
          <w:sz w:val="24"/>
          <w:szCs w:val="24"/>
          <w:lang w:eastAsia="pl-PL"/>
          <w14:ligatures w14:val="none"/>
        </w:rPr>
        <w:t>- a czego nie zaplanowano w uzasadnieniu ww. projektu;</w:t>
      </w:r>
    </w:p>
    <w:p w14:paraId="37C69088" w14:textId="77777777" w:rsidR="00C9384B" w:rsidRPr="00381A04"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299B03E1" w14:textId="3AF0994B" w:rsidR="00036554" w:rsidRPr="007D2684" w:rsidRDefault="00C9384B" w:rsidP="001B6FC4">
      <w:pPr>
        <w:pStyle w:val="Akapitzlist"/>
        <w:numPr>
          <w:ilvl w:val="1"/>
          <w:numId w:val="3"/>
        </w:numPr>
        <w:shd w:val="clear" w:color="auto" w:fill="FFFFFF"/>
        <w:ind w:left="567" w:hanging="425"/>
        <w:jc w:val="both"/>
        <w:rPr>
          <w:rFonts w:eastAsia="Times New Roman" w:cstheme="minorHAnsi"/>
          <w:sz w:val="24"/>
          <w:szCs w:val="24"/>
          <w:lang w:eastAsia="pl-PL"/>
        </w:rPr>
      </w:pPr>
      <w:r w:rsidRPr="007D2684">
        <w:rPr>
          <w:rFonts w:eastAsia="Times New Roman" w:cstheme="minorHAnsi"/>
          <w:sz w:val="24"/>
          <w:szCs w:val="24"/>
          <w:lang w:eastAsia="pl-PL"/>
        </w:rPr>
        <w:t>oceniany jest krytycznie w nadsyłanych stanowiskach (chociaż nie zostały one udostępnione na stronie Rządowego Centrum Legislacji), np. w znanych opiniach złożonych przez podmioty, którymi są:</w:t>
      </w:r>
    </w:p>
    <w:p w14:paraId="355BC181" w14:textId="77777777" w:rsidR="00C9384B" w:rsidRPr="00381A04" w:rsidRDefault="00C9384B" w:rsidP="00C9384B">
      <w:pPr>
        <w:shd w:val="clear" w:color="auto" w:fill="FFFFFF"/>
        <w:spacing w:after="0" w:line="240" w:lineRule="auto"/>
        <w:jc w:val="both"/>
        <w:rPr>
          <w:rFonts w:eastAsia="Times New Roman" w:cstheme="minorHAnsi"/>
          <w:kern w:val="0"/>
          <w:sz w:val="6"/>
          <w:szCs w:val="6"/>
          <w:lang w:eastAsia="pl-PL"/>
          <w14:ligatures w14:val="none"/>
        </w:rPr>
      </w:pPr>
    </w:p>
    <w:p w14:paraId="1C1B3959" w14:textId="77777777" w:rsidR="00C9384B" w:rsidRPr="007D2684" w:rsidRDefault="00C9384B" w:rsidP="000A08D7">
      <w:pPr>
        <w:numPr>
          <w:ilvl w:val="0"/>
          <w:numId w:val="5"/>
        </w:numPr>
        <w:shd w:val="clear" w:color="auto" w:fill="FFFFFF"/>
        <w:spacing w:after="0" w:line="240" w:lineRule="auto"/>
        <w:ind w:left="1080" w:hanging="513"/>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Sąd Najwyższy, Plac Krasińskich 2/4/6, 00-951 Warszawa,</w:t>
      </w:r>
    </w:p>
    <w:p w14:paraId="5B73C9BF" w14:textId="77777777" w:rsidR="00C9384B" w:rsidRPr="007D2684" w:rsidRDefault="00C9384B" w:rsidP="000A08D7">
      <w:pPr>
        <w:numPr>
          <w:ilvl w:val="0"/>
          <w:numId w:val="5"/>
        </w:numPr>
        <w:shd w:val="clear" w:color="auto" w:fill="FFFFFF"/>
        <w:spacing w:after="0" w:line="240" w:lineRule="auto"/>
        <w:ind w:left="1080" w:hanging="513"/>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Rada Rzeczników Patentowych Szkół Wyższych, pl. Uniwersytecki 1, 50-137 Wrocław,</w:t>
      </w:r>
    </w:p>
    <w:p w14:paraId="040F89FE" w14:textId="77777777" w:rsidR="00C9384B" w:rsidRPr="007D2684" w:rsidRDefault="00C9384B" w:rsidP="000A08D7">
      <w:pPr>
        <w:numPr>
          <w:ilvl w:val="0"/>
          <w:numId w:val="5"/>
        </w:numPr>
        <w:shd w:val="clear" w:color="auto" w:fill="FFFFFF"/>
        <w:spacing w:after="0" w:line="240" w:lineRule="auto"/>
        <w:ind w:left="1080" w:hanging="513"/>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Związek Pracodawców Polska Miedź, ul. F. CHOPINA 2, 59-300 Lubin,</w:t>
      </w:r>
    </w:p>
    <w:p w14:paraId="632D9470" w14:textId="77777777" w:rsidR="00C9384B" w:rsidRPr="007D2684" w:rsidRDefault="00C9384B" w:rsidP="00C9384B">
      <w:pPr>
        <w:shd w:val="clear" w:color="auto" w:fill="FFFFFF"/>
        <w:spacing w:after="0" w:line="240" w:lineRule="auto"/>
        <w:ind w:left="1080"/>
        <w:jc w:val="both"/>
        <w:rPr>
          <w:rFonts w:eastAsia="Times New Roman" w:cstheme="minorHAnsi"/>
          <w:kern w:val="0"/>
          <w:sz w:val="14"/>
          <w:szCs w:val="14"/>
          <w:lang w:eastAsia="pl-PL"/>
          <w14:ligatures w14:val="none"/>
        </w:rPr>
      </w:pPr>
    </w:p>
    <w:p w14:paraId="66A46B3F" w14:textId="715105F5" w:rsidR="00C9384B" w:rsidRPr="007D2684" w:rsidRDefault="00C9384B" w:rsidP="00036554">
      <w:pPr>
        <w:shd w:val="clear" w:color="auto" w:fill="FFFFFF"/>
        <w:spacing w:after="0" w:line="240" w:lineRule="auto"/>
        <w:ind w:left="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a w których to opiniach pojawia się ostrzeżenie, że projekt UD263 (w przypadku jego przyjęcia) „</w:t>
      </w:r>
      <w:r w:rsidRPr="007D2684">
        <w:rPr>
          <w:rFonts w:eastAsia="Times New Roman" w:cstheme="minorHAnsi"/>
          <w:i/>
          <w:iCs/>
          <w:kern w:val="0"/>
          <w:sz w:val="24"/>
          <w:szCs w:val="24"/>
          <w:lang w:eastAsia="pl-PL"/>
          <w14:ligatures w14:val="none"/>
        </w:rPr>
        <w:t>gwarantuje chaos</w:t>
      </w:r>
      <w:r w:rsidRPr="007D2684">
        <w:rPr>
          <w:rFonts w:eastAsia="Times New Roman" w:cstheme="minorHAnsi"/>
          <w:kern w:val="0"/>
          <w:sz w:val="24"/>
          <w:szCs w:val="24"/>
          <w:lang w:eastAsia="pl-PL"/>
          <w14:ligatures w14:val="none"/>
        </w:rPr>
        <w:t>”, co wynika z faktu, że projekt UD263 zawiera niedopracowane koncepcje rozwiązań prawnych, które znakomicie i prosto uregulowane zostały w systemach prawnych w innych krajach i regulacjach międzynarodowych, czego nie potrafiono ani dostrzec, ani też wykorzystać i powtórzyć w projekcie UD263;</w:t>
      </w:r>
    </w:p>
    <w:p w14:paraId="4CB33291" w14:textId="77777777" w:rsidR="00C9384B" w:rsidRPr="0018644C"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11A7C6FC" w14:textId="4C5E874F" w:rsidR="00C9384B" w:rsidRPr="007D2684" w:rsidRDefault="00C9384B" w:rsidP="001B6FC4">
      <w:pPr>
        <w:pStyle w:val="Akapitzlist"/>
        <w:numPr>
          <w:ilvl w:val="1"/>
          <w:numId w:val="3"/>
        </w:numPr>
        <w:shd w:val="clear" w:color="auto" w:fill="FFFFFF"/>
        <w:ind w:left="567" w:hanging="425"/>
        <w:jc w:val="both"/>
        <w:rPr>
          <w:rFonts w:eastAsia="Times New Roman" w:cstheme="minorHAnsi"/>
          <w:sz w:val="24"/>
          <w:szCs w:val="24"/>
          <w:lang w:eastAsia="pl-PL"/>
        </w:rPr>
      </w:pPr>
      <w:r w:rsidRPr="007D2684">
        <w:rPr>
          <w:rFonts w:eastAsia="Times New Roman" w:cstheme="minorHAnsi"/>
          <w:sz w:val="24"/>
          <w:szCs w:val="24"/>
          <w:lang w:eastAsia="pl-PL"/>
        </w:rPr>
        <w:t>proponuje zadziwiająco nieporadne rozwiązania dotyczące zasad składania podpisu równoważnego z własnoręcznym, przy czym bazę proponowanego rozwiązania miałaby stanowić:</w:t>
      </w:r>
    </w:p>
    <w:p w14:paraId="675FB871" w14:textId="77777777" w:rsidR="00036554" w:rsidRPr="007D2684" w:rsidRDefault="00036554" w:rsidP="00036554">
      <w:pPr>
        <w:pStyle w:val="Akapitzlist"/>
        <w:shd w:val="clear" w:color="auto" w:fill="FFFFFF"/>
        <w:ind w:left="1440"/>
        <w:jc w:val="both"/>
        <w:rPr>
          <w:rFonts w:eastAsia="Times New Roman" w:cstheme="minorHAnsi"/>
          <w:sz w:val="10"/>
          <w:szCs w:val="10"/>
          <w:lang w:eastAsia="pl-PL"/>
        </w:rPr>
      </w:pPr>
    </w:p>
    <w:p w14:paraId="6FC15428" w14:textId="77777777" w:rsidR="00C9384B" w:rsidRPr="007D2684" w:rsidRDefault="00C9384B" w:rsidP="000A08D7">
      <w:pPr>
        <w:numPr>
          <w:ilvl w:val="0"/>
          <w:numId w:val="6"/>
        </w:numPr>
        <w:shd w:val="clear" w:color="auto" w:fill="FFFFFF"/>
        <w:tabs>
          <w:tab w:val="clear" w:pos="786"/>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ustawa z 17 lutego 2005 r. o informatyzacji działalności podmiotów realizujących zadania publiczne (Dz. U. z 2021, poz. 2070 z późn. zm.),</w:t>
      </w:r>
    </w:p>
    <w:p w14:paraId="66C67B3D" w14:textId="77777777" w:rsidR="00C9384B" w:rsidRPr="00381A04" w:rsidRDefault="00C9384B" w:rsidP="000362CA">
      <w:pPr>
        <w:shd w:val="clear" w:color="auto" w:fill="FFFFFF"/>
        <w:spacing w:after="0" w:line="240" w:lineRule="auto"/>
        <w:ind w:left="1080"/>
        <w:jc w:val="both"/>
        <w:rPr>
          <w:rFonts w:eastAsia="Times New Roman" w:cstheme="minorHAnsi"/>
          <w:kern w:val="0"/>
          <w:sz w:val="10"/>
          <w:szCs w:val="10"/>
          <w:lang w:eastAsia="pl-PL"/>
          <w14:ligatures w14:val="none"/>
        </w:rPr>
      </w:pPr>
    </w:p>
    <w:p w14:paraId="6772C4F9" w14:textId="5AF60AEB" w:rsidR="00C9384B" w:rsidRPr="007D2684" w:rsidRDefault="00C9384B" w:rsidP="00036554">
      <w:pPr>
        <w:shd w:val="clear" w:color="auto" w:fill="FFFFFF"/>
        <w:tabs>
          <w:tab w:val="left" w:pos="567"/>
        </w:tabs>
        <w:spacing w:after="0" w:line="240" w:lineRule="auto"/>
        <w:ind w:left="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gdyż w projekcie UD263 znajdziemy zapis, którego istotną część podkreślono: „</w:t>
      </w:r>
      <w:r w:rsidRPr="007D2684">
        <w:rPr>
          <w:rFonts w:eastAsia="Times New Roman" w:cstheme="minorHAnsi"/>
          <w:i/>
          <w:kern w:val="0"/>
          <w:sz w:val="24"/>
          <w:szCs w:val="24"/>
          <w:lang w:eastAsia="pl-PL"/>
          <w14:ligatures w14:val="none"/>
        </w:rPr>
        <w:t xml:space="preserve">art. 340.4. Korespondencję w postaci elektronicznej, o której mowa w ust. 1, sporządza się w formatach określonych w przepisach wydanych na podstawie art. 18 ustawy z dnia 17 lutego 2005 r. </w:t>
      </w:r>
      <w:r w:rsidR="00036554" w:rsidRPr="007D2684">
        <w:rPr>
          <w:rFonts w:eastAsia="Times New Roman" w:cstheme="minorHAnsi"/>
          <w:i/>
          <w:kern w:val="0"/>
          <w:sz w:val="24"/>
          <w:szCs w:val="24"/>
          <w:lang w:eastAsia="pl-PL"/>
          <w14:ligatures w14:val="none"/>
        </w:rPr>
        <w:br/>
      </w:r>
      <w:r w:rsidRPr="007D2684">
        <w:rPr>
          <w:rFonts w:eastAsia="Times New Roman" w:cstheme="minorHAnsi"/>
          <w:i/>
          <w:kern w:val="0"/>
          <w:sz w:val="24"/>
          <w:szCs w:val="24"/>
          <w:lang w:eastAsia="pl-PL"/>
          <w14:ligatures w14:val="none"/>
        </w:rPr>
        <w:t>o informatyzacji działalności podmiotów realizujących zadania publiczne (Dz. U. z 2021 r. poz. 2070).”</w:t>
      </w:r>
      <w:r w:rsidRPr="007D2684">
        <w:rPr>
          <w:rFonts w:eastAsia="Times New Roman" w:cstheme="minorHAnsi"/>
          <w:kern w:val="0"/>
          <w:sz w:val="24"/>
          <w:szCs w:val="24"/>
          <w:lang w:eastAsia="pl-PL"/>
          <w14:ligatures w14:val="none"/>
        </w:rPr>
        <w:t>,</w:t>
      </w:r>
    </w:p>
    <w:p w14:paraId="239BBEE3" w14:textId="77777777" w:rsidR="00C9384B" w:rsidRPr="007D2684" w:rsidRDefault="00C9384B" w:rsidP="003A39A9">
      <w:pPr>
        <w:shd w:val="clear" w:color="auto" w:fill="FFFFFF"/>
        <w:spacing w:after="0" w:line="240" w:lineRule="auto"/>
        <w:ind w:left="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lastRenderedPageBreak/>
        <w:t>tak więc projekt niejako odrywa się, a w każdym razie nie uwzględnia pozostałych aktów prawnych regulujących tę problematykę, do których należą:</w:t>
      </w:r>
    </w:p>
    <w:p w14:paraId="28F6DD7D" w14:textId="791BD216" w:rsidR="00C9384B" w:rsidRPr="00381A04"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219BC1C7" w14:textId="77777777" w:rsidR="00C9384B" w:rsidRPr="007D2684" w:rsidRDefault="00C9384B" w:rsidP="000A08D7">
      <w:pPr>
        <w:numPr>
          <w:ilvl w:val="0"/>
          <w:numId w:val="7"/>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ustawa z dnia 18 listopada 2020 r. o doręczeniach elektronicznych (Dz. U. 2022 poz. 569 z późn. zm.),</w:t>
      </w:r>
    </w:p>
    <w:p w14:paraId="6F65C010" w14:textId="477857AA" w:rsidR="00C9384B" w:rsidRPr="007D2684" w:rsidRDefault="00C9384B" w:rsidP="000A08D7">
      <w:pPr>
        <w:numPr>
          <w:ilvl w:val="0"/>
          <w:numId w:val="7"/>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ustawa z 18 lipca 2002 r. o świadczeniu usług drogą elektroniczną (Dz. U. 2020 poz. 344),</w:t>
      </w:r>
    </w:p>
    <w:p w14:paraId="2D861EAC" w14:textId="789713AE" w:rsidR="00C9384B" w:rsidRPr="007D2684" w:rsidRDefault="00C9384B" w:rsidP="000A08D7">
      <w:pPr>
        <w:numPr>
          <w:ilvl w:val="0"/>
          <w:numId w:val="7"/>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xml:space="preserve">ustawa z 14 czerwca 1960 r. Kodeks postępowania administracyjnego (Dz. U. 2022 poz. 2000), </w:t>
      </w:r>
      <w:r w:rsidR="00EE11A9" w:rsidRPr="007D2684">
        <w:rPr>
          <w:rFonts w:eastAsia="Times New Roman" w:cstheme="minorHAnsi"/>
          <w:kern w:val="0"/>
          <w:sz w:val="24"/>
          <w:szCs w:val="24"/>
          <w:lang w:eastAsia="pl-PL"/>
          <w14:ligatures w14:val="none"/>
        </w:rPr>
        <w:br/>
      </w:r>
      <w:r w:rsidRPr="007D2684">
        <w:rPr>
          <w:rFonts w:eastAsia="Times New Roman" w:cstheme="minorHAnsi"/>
          <w:kern w:val="0"/>
          <w:sz w:val="24"/>
          <w:szCs w:val="24"/>
          <w:lang w:eastAsia="pl-PL"/>
          <w14:ligatures w14:val="none"/>
        </w:rPr>
        <w:t>a zwłaszcza jej przepis z art. 39 i art. 39’ § 1,</w:t>
      </w:r>
    </w:p>
    <w:p w14:paraId="0D5385E1" w14:textId="75AF7865" w:rsidR="00C9384B" w:rsidRPr="007D2684" w:rsidRDefault="00C9384B" w:rsidP="00C9384B">
      <w:pPr>
        <w:shd w:val="clear" w:color="auto" w:fill="FFFFFF"/>
        <w:spacing w:after="0" w:line="240" w:lineRule="auto"/>
        <w:ind w:left="1080"/>
        <w:jc w:val="both"/>
        <w:rPr>
          <w:rFonts w:eastAsia="Times New Roman" w:cstheme="minorHAnsi"/>
          <w:kern w:val="0"/>
          <w:sz w:val="10"/>
          <w:szCs w:val="10"/>
          <w:lang w:eastAsia="pl-PL"/>
          <w14:ligatures w14:val="none"/>
        </w:rPr>
      </w:pPr>
    </w:p>
    <w:p w14:paraId="5843B099" w14:textId="43C8BF74" w:rsidR="00C9384B" w:rsidRPr="007D2684" w:rsidRDefault="00C9384B" w:rsidP="00036554">
      <w:pPr>
        <w:shd w:val="clear" w:color="auto" w:fill="FFFFFF"/>
        <w:spacing w:after="0" w:line="240" w:lineRule="auto"/>
        <w:ind w:left="567"/>
        <w:jc w:val="both"/>
        <w:rPr>
          <w:rFonts w:eastAsia="Times New Roman" w:cstheme="minorHAnsi"/>
          <w:i/>
          <w:kern w:val="0"/>
          <w:sz w:val="24"/>
          <w:szCs w:val="24"/>
          <w:lang w:eastAsia="pl-PL"/>
          <w14:ligatures w14:val="none"/>
        </w:rPr>
      </w:pPr>
      <w:r w:rsidRPr="007D2684">
        <w:rPr>
          <w:rFonts w:eastAsia="Times New Roman" w:cstheme="minorHAnsi"/>
          <w:kern w:val="0"/>
          <w:sz w:val="24"/>
          <w:szCs w:val="24"/>
          <w:lang w:eastAsia="pl-PL"/>
          <w14:ligatures w14:val="none"/>
        </w:rPr>
        <w:t xml:space="preserve">projektodawcy nie tylko próbują nie dostrzegać chaosu i bałaganu wynikającego z nadregulacji prawnych, lecz co więcej, proponują ich utrwalenie, zapewniając, że właściwy jest tekst niezrozumiały nawet dla fachowców, chcą pozostawić adresatów ustawy w niebycie prawnym wzajemnie niespójnych terminów, które wibrują w tej dziedzinie prawa: </w:t>
      </w:r>
      <w:r w:rsidRPr="007D2684">
        <w:rPr>
          <w:rFonts w:eastAsia="Times New Roman" w:cstheme="minorHAnsi"/>
          <w:i/>
          <w:kern w:val="0"/>
          <w:sz w:val="24"/>
          <w:szCs w:val="24"/>
          <w:lang w:eastAsia="pl-PL"/>
          <w14:ligatures w14:val="none"/>
        </w:rPr>
        <w:t>„baza adresów elektronicznych”, „środek identyfikacji elektronicznej”, „kwalifikowany certyfikat podpisu elektronicznego”, „kwalifikowany podpis elektroniczny”, „zaawansowana pieczęć elektroniczna”, „kwalifikowana pieczęć elektroniczna”, „podpis zaufany”, „podpis osobisty”, „adres poczty elektronicznej”, „poczta elektroniczna”, „adres do doręczeń elektronicznych”, „adres elektroniczny”, „rejestrowane doręczenia elektroniczne”, „publiczna usługa hybrydowa”, „kwalifikowana usługa rejestrowanego doręczenia elektronicznego”, „rejestr danych kontaktowych”.</w:t>
      </w:r>
    </w:p>
    <w:p w14:paraId="37DACFB3" w14:textId="77777777" w:rsidR="00C9384B" w:rsidRPr="00381A04" w:rsidRDefault="00C9384B" w:rsidP="00036554">
      <w:pPr>
        <w:shd w:val="clear" w:color="auto" w:fill="FFFFFF"/>
        <w:spacing w:after="0" w:line="240" w:lineRule="auto"/>
        <w:ind w:left="567"/>
        <w:jc w:val="both"/>
        <w:rPr>
          <w:rFonts w:eastAsia="Times New Roman" w:cstheme="minorHAnsi"/>
          <w:kern w:val="0"/>
          <w:sz w:val="10"/>
          <w:szCs w:val="10"/>
          <w:lang w:eastAsia="pl-PL"/>
          <w14:ligatures w14:val="none"/>
        </w:rPr>
      </w:pPr>
    </w:p>
    <w:p w14:paraId="605ED201" w14:textId="56DAEAD4" w:rsidR="00C9384B" w:rsidRPr="007D2684" w:rsidRDefault="00C9384B" w:rsidP="00036554">
      <w:pPr>
        <w:shd w:val="clear" w:color="auto" w:fill="FFFFFF"/>
        <w:spacing w:after="0" w:line="240" w:lineRule="auto"/>
        <w:ind w:left="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xml:space="preserve">Powyższa lista jest wynikiem przypomnienia zapisów kilku obowiązujących, nie do końca zharmonizowanych językowo (lecz obowiązujących w Polsce) przepisów regulujących sferę komunikacji cyfrowej, zatem projekt UD263 nie uwzględnia faktu, że w specjalistycznej ustawie (a taką jest Prawo własności przemysłowej) nazewnictwo powinno być ujednolicone i jednoznaczne, gdyż brak powodu, aby np. termin </w:t>
      </w:r>
      <w:r w:rsidRPr="007D2684">
        <w:rPr>
          <w:rFonts w:eastAsia="Times New Roman" w:cstheme="minorHAnsi"/>
          <w:i/>
          <w:kern w:val="0"/>
          <w:sz w:val="24"/>
          <w:szCs w:val="24"/>
          <w:lang w:eastAsia="pl-PL"/>
          <w14:ligatures w14:val="none"/>
        </w:rPr>
        <w:t>„adres elektroniczny”</w:t>
      </w:r>
      <w:r w:rsidRPr="007D2684">
        <w:rPr>
          <w:rFonts w:eastAsia="Times New Roman" w:cstheme="minorHAnsi"/>
          <w:kern w:val="0"/>
          <w:sz w:val="24"/>
          <w:szCs w:val="24"/>
          <w:lang w:eastAsia="pl-PL"/>
          <w14:ligatures w14:val="none"/>
        </w:rPr>
        <w:t xml:space="preserve"> występował także w wariancie </w:t>
      </w:r>
      <w:r w:rsidRPr="007D2684">
        <w:rPr>
          <w:rFonts w:eastAsia="Times New Roman" w:cstheme="minorHAnsi"/>
          <w:i/>
          <w:kern w:val="0"/>
          <w:sz w:val="24"/>
          <w:szCs w:val="24"/>
          <w:lang w:eastAsia="pl-PL"/>
          <w14:ligatures w14:val="none"/>
        </w:rPr>
        <w:t>„adres poczty elektronicznej”,</w:t>
      </w:r>
      <w:r w:rsidRPr="007D2684">
        <w:rPr>
          <w:rFonts w:eastAsia="Times New Roman" w:cstheme="minorHAnsi"/>
          <w:kern w:val="0"/>
          <w:sz w:val="24"/>
          <w:szCs w:val="24"/>
          <w:lang w:eastAsia="pl-PL"/>
          <w14:ligatures w14:val="none"/>
        </w:rPr>
        <w:t xml:space="preserve"> </w:t>
      </w:r>
      <w:r w:rsidRPr="007D2684">
        <w:rPr>
          <w:rFonts w:eastAsia="Times New Roman" w:cstheme="minorHAnsi"/>
          <w:i/>
          <w:kern w:val="0"/>
          <w:sz w:val="24"/>
          <w:szCs w:val="24"/>
          <w:lang w:eastAsia="pl-PL"/>
          <w14:ligatures w14:val="none"/>
        </w:rPr>
        <w:t>„poczta elektroniczna”, „adres do doręczeń elektronicznych”,</w:t>
      </w:r>
      <w:r w:rsidRPr="007D2684">
        <w:rPr>
          <w:rFonts w:eastAsia="Times New Roman" w:cstheme="minorHAnsi"/>
          <w:kern w:val="0"/>
          <w:sz w:val="24"/>
          <w:szCs w:val="24"/>
          <w:lang w:eastAsia="pl-PL"/>
          <w14:ligatures w14:val="none"/>
        </w:rPr>
        <w:t xml:space="preserve"> niepotrzebne jest przecież tworzenie zbędnych mutacji pojęcia, które jest tak istotne dla komunikujących się z Urzędem Patentowym RP </w:t>
      </w:r>
      <w:r w:rsidR="00EE11A9" w:rsidRPr="007D2684">
        <w:rPr>
          <w:rFonts w:eastAsia="Times New Roman" w:cstheme="minorHAnsi"/>
          <w:kern w:val="0"/>
          <w:sz w:val="24"/>
          <w:szCs w:val="24"/>
          <w:lang w:eastAsia="pl-PL"/>
          <w14:ligatures w14:val="none"/>
        </w:rPr>
        <w:br/>
      </w:r>
      <w:r w:rsidRPr="007D2684">
        <w:rPr>
          <w:rFonts w:eastAsia="Times New Roman" w:cstheme="minorHAnsi"/>
          <w:kern w:val="0"/>
          <w:sz w:val="24"/>
          <w:szCs w:val="24"/>
          <w:lang w:eastAsia="pl-PL"/>
          <w14:ligatures w14:val="none"/>
        </w:rPr>
        <w:t>i ważne dla funkcjonowania tego Urzędu;</w:t>
      </w:r>
    </w:p>
    <w:p w14:paraId="30AB513F" w14:textId="77777777" w:rsidR="00C9384B" w:rsidRPr="0018644C" w:rsidRDefault="00C9384B" w:rsidP="00C9384B">
      <w:pPr>
        <w:shd w:val="clear" w:color="auto" w:fill="FFFFFF"/>
        <w:spacing w:after="0" w:line="240" w:lineRule="auto"/>
        <w:ind w:firstLine="708"/>
        <w:jc w:val="both"/>
        <w:rPr>
          <w:rFonts w:eastAsia="Times New Roman" w:cstheme="minorHAnsi"/>
          <w:kern w:val="0"/>
          <w:sz w:val="10"/>
          <w:szCs w:val="10"/>
          <w:lang w:eastAsia="pl-PL"/>
          <w14:ligatures w14:val="none"/>
        </w:rPr>
      </w:pPr>
    </w:p>
    <w:p w14:paraId="3758B268" w14:textId="7D13DEB6" w:rsidR="00C9384B" w:rsidRPr="007D2684" w:rsidRDefault="00C9384B" w:rsidP="001B6FC4">
      <w:pPr>
        <w:pStyle w:val="Akapitzlist"/>
        <w:numPr>
          <w:ilvl w:val="1"/>
          <w:numId w:val="3"/>
        </w:numPr>
        <w:shd w:val="clear" w:color="auto" w:fill="FFFFFF"/>
        <w:ind w:left="567" w:hanging="567"/>
        <w:jc w:val="both"/>
        <w:rPr>
          <w:rFonts w:eastAsia="Times New Roman" w:cstheme="minorHAnsi"/>
          <w:sz w:val="24"/>
          <w:szCs w:val="24"/>
          <w:lang w:eastAsia="pl-PL"/>
        </w:rPr>
      </w:pPr>
      <w:r w:rsidRPr="007D2684">
        <w:rPr>
          <w:rFonts w:eastAsia="Times New Roman" w:cstheme="minorHAnsi"/>
          <w:sz w:val="24"/>
          <w:szCs w:val="24"/>
          <w:lang w:eastAsia="pl-PL"/>
        </w:rPr>
        <w:t>jest niekompletny, a pomimo tego jest procedowany przez projektodawcę w kadłubowej postaci bez niezbędnych przepisów intertemporalnych oraz pomimo braku skorelowanej z projektem UD263 koncepcji aktów wykonawczych, których najprawdopodobniej w ogóle jeszcze nie przygotowano, mimo że obowiązek taki nałożono w art. 34 ust. 2 pkt 6 uchwały Sejmu Rzeczypospolitej Polskiej z dnia 30 lipca 1992 r.</w:t>
      </w:r>
      <w:r w:rsidR="00BE3132">
        <w:rPr>
          <w:rFonts w:eastAsia="Times New Roman" w:cstheme="minorHAnsi"/>
          <w:sz w:val="24"/>
          <w:szCs w:val="24"/>
          <w:lang w:eastAsia="pl-PL"/>
        </w:rPr>
        <w:t xml:space="preserve"> Regulamin Sejmu Rzeczypospolitej Polskiej</w:t>
      </w:r>
      <w:r w:rsidRPr="007D2684">
        <w:rPr>
          <w:rFonts w:eastAsia="Times New Roman" w:cstheme="minorHAnsi"/>
          <w:sz w:val="24"/>
          <w:szCs w:val="24"/>
          <w:lang w:eastAsia="pl-PL"/>
        </w:rPr>
        <w:t xml:space="preserve"> (</w:t>
      </w:r>
      <w:r w:rsidR="003621BC">
        <w:rPr>
          <w:rFonts w:eastAsia="Times New Roman" w:cstheme="minorHAnsi"/>
          <w:sz w:val="24"/>
          <w:szCs w:val="24"/>
          <w:lang w:eastAsia="pl-PL"/>
        </w:rPr>
        <w:t>M</w:t>
      </w:r>
      <w:r w:rsidRPr="007D2684">
        <w:rPr>
          <w:rFonts w:eastAsia="Times New Roman" w:cstheme="minorHAnsi"/>
          <w:sz w:val="24"/>
          <w:szCs w:val="24"/>
          <w:lang w:eastAsia="pl-PL"/>
        </w:rPr>
        <w:t xml:space="preserve">. </w:t>
      </w:r>
      <w:r w:rsidR="003621BC">
        <w:rPr>
          <w:rFonts w:eastAsia="Times New Roman" w:cstheme="minorHAnsi"/>
          <w:sz w:val="24"/>
          <w:szCs w:val="24"/>
          <w:lang w:eastAsia="pl-PL"/>
        </w:rPr>
        <w:t>P</w:t>
      </w:r>
      <w:r w:rsidRPr="007D2684">
        <w:rPr>
          <w:rFonts w:eastAsia="Times New Roman" w:cstheme="minorHAnsi"/>
          <w:sz w:val="24"/>
          <w:szCs w:val="24"/>
          <w:lang w:eastAsia="pl-PL"/>
        </w:rPr>
        <w:t xml:space="preserve">. </w:t>
      </w:r>
      <w:r w:rsidR="003621BC">
        <w:rPr>
          <w:rFonts w:eastAsia="Times New Roman" w:cstheme="minorHAnsi"/>
          <w:sz w:val="24"/>
          <w:szCs w:val="24"/>
          <w:lang w:eastAsia="pl-PL"/>
        </w:rPr>
        <w:t xml:space="preserve">z </w:t>
      </w:r>
      <w:r w:rsidRPr="007D2684">
        <w:rPr>
          <w:rFonts w:eastAsia="Times New Roman" w:cstheme="minorHAnsi"/>
          <w:sz w:val="24"/>
          <w:szCs w:val="24"/>
          <w:lang w:eastAsia="pl-PL"/>
        </w:rPr>
        <w:t xml:space="preserve">2022 poz. </w:t>
      </w:r>
      <w:r w:rsidR="003621BC">
        <w:rPr>
          <w:rFonts w:eastAsia="Times New Roman" w:cstheme="minorHAnsi"/>
          <w:sz w:val="24"/>
          <w:szCs w:val="24"/>
          <w:lang w:eastAsia="pl-PL"/>
        </w:rPr>
        <w:t>990</w:t>
      </w:r>
      <w:r w:rsidRPr="007D2684">
        <w:rPr>
          <w:rFonts w:eastAsia="Times New Roman" w:cstheme="minorHAnsi"/>
          <w:sz w:val="24"/>
          <w:szCs w:val="24"/>
          <w:lang w:eastAsia="pl-PL"/>
        </w:rPr>
        <w:t>):</w:t>
      </w:r>
    </w:p>
    <w:p w14:paraId="60C1156C" w14:textId="77777777" w:rsidR="00C9384B" w:rsidRPr="00381A04"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136C4BB1" w14:textId="45824673" w:rsidR="00EE2209" w:rsidRDefault="00C9384B" w:rsidP="00EE2209">
      <w:pPr>
        <w:shd w:val="clear" w:color="auto" w:fill="FFFFFF"/>
        <w:spacing w:after="0" w:line="240" w:lineRule="auto"/>
        <w:ind w:left="1134"/>
        <w:jc w:val="both"/>
        <w:rPr>
          <w:rFonts w:eastAsia="Times New Roman" w:cstheme="minorHAnsi"/>
          <w:kern w:val="0"/>
          <w:sz w:val="24"/>
          <w:szCs w:val="24"/>
          <w:lang w:eastAsia="pl-PL"/>
          <w14:ligatures w14:val="none"/>
        </w:rPr>
      </w:pPr>
      <w:r w:rsidRPr="007D2684">
        <w:rPr>
          <w:rFonts w:eastAsia="Times New Roman" w:cstheme="minorHAnsi"/>
          <w:b/>
          <w:bCs/>
          <w:i/>
          <w:kern w:val="0"/>
          <w:sz w:val="24"/>
          <w:szCs w:val="24"/>
          <w:lang w:eastAsia="pl-PL"/>
          <w14:ligatures w14:val="none"/>
        </w:rPr>
        <w:t>„Art. 34. Do projektu ustawy dołącza się uzasadnienie, które powinno (…)</w:t>
      </w:r>
      <w:r w:rsidR="009B7041">
        <w:rPr>
          <w:rFonts w:eastAsia="Times New Roman" w:cstheme="minorHAnsi"/>
          <w:b/>
          <w:bCs/>
          <w:i/>
          <w:kern w:val="0"/>
          <w:sz w:val="24"/>
          <w:szCs w:val="24"/>
          <w:lang w:eastAsia="pl-PL"/>
          <w14:ligatures w14:val="none"/>
        </w:rPr>
        <w:t>. 2. (…).</w:t>
      </w:r>
      <w:r w:rsidRPr="007D2684">
        <w:rPr>
          <w:rFonts w:eastAsia="Times New Roman" w:cstheme="minorHAnsi"/>
          <w:b/>
          <w:bCs/>
          <w:i/>
          <w:kern w:val="0"/>
          <w:sz w:val="24"/>
          <w:szCs w:val="24"/>
          <w:lang w:eastAsia="pl-PL"/>
          <w14:ligatures w14:val="none"/>
        </w:rPr>
        <w:t xml:space="preserve"> 6</w:t>
      </w:r>
      <w:r w:rsidR="009B7041">
        <w:rPr>
          <w:rFonts w:eastAsia="Times New Roman" w:cstheme="minorHAnsi"/>
          <w:b/>
          <w:bCs/>
          <w:i/>
          <w:kern w:val="0"/>
          <w:sz w:val="24"/>
          <w:szCs w:val="24"/>
          <w:lang w:eastAsia="pl-PL"/>
          <w14:ligatures w14:val="none"/>
        </w:rPr>
        <w:t xml:space="preserve">) </w:t>
      </w:r>
      <w:r w:rsidRPr="007D2684">
        <w:rPr>
          <w:rFonts w:eastAsia="Times New Roman" w:cstheme="minorHAnsi"/>
          <w:b/>
          <w:bCs/>
          <w:i/>
          <w:kern w:val="0"/>
          <w:sz w:val="24"/>
          <w:szCs w:val="24"/>
          <w:lang w:eastAsia="pl-PL"/>
          <w14:ligatures w14:val="none"/>
        </w:rPr>
        <w:t>Przedstawiać założenia projektów podstawowych aktów wykonawczych.”</w:t>
      </w:r>
      <w:r w:rsidRPr="00EE2209">
        <w:rPr>
          <w:rFonts w:eastAsia="Times New Roman" w:cstheme="minorHAnsi"/>
          <w:kern w:val="0"/>
          <w:sz w:val="24"/>
          <w:szCs w:val="24"/>
          <w:lang w:eastAsia="pl-PL"/>
          <w14:ligatures w14:val="none"/>
        </w:rPr>
        <w:t xml:space="preserve">, </w:t>
      </w:r>
    </w:p>
    <w:p w14:paraId="74433095" w14:textId="77777777" w:rsidR="00EE2209" w:rsidRPr="00EE2209" w:rsidRDefault="00EE2209" w:rsidP="00EE2209">
      <w:pPr>
        <w:shd w:val="clear" w:color="auto" w:fill="FFFFFF"/>
        <w:spacing w:after="0" w:line="240" w:lineRule="auto"/>
        <w:ind w:firstLine="567"/>
        <w:jc w:val="both"/>
        <w:rPr>
          <w:rFonts w:eastAsia="Times New Roman" w:cstheme="minorHAnsi"/>
          <w:b/>
          <w:bCs/>
          <w:i/>
          <w:kern w:val="0"/>
          <w:sz w:val="10"/>
          <w:szCs w:val="10"/>
          <w:lang w:eastAsia="pl-PL"/>
          <w14:ligatures w14:val="none"/>
        </w:rPr>
      </w:pPr>
    </w:p>
    <w:p w14:paraId="6A5FC1AC" w14:textId="3CA07F5F" w:rsidR="00C9384B" w:rsidRPr="00EE2209" w:rsidRDefault="00C9384B" w:rsidP="00EE2209">
      <w:pPr>
        <w:shd w:val="clear" w:color="auto" w:fill="FFFFFF"/>
        <w:spacing w:after="0" w:line="240" w:lineRule="auto"/>
        <w:ind w:firstLine="567"/>
        <w:jc w:val="both"/>
        <w:rPr>
          <w:rFonts w:eastAsia="Times New Roman" w:cstheme="minorHAnsi"/>
          <w:kern w:val="0"/>
          <w:sz w:val="24"/>
          <w:szCs w:val="24"/>
          <w:lang w:eastAsia="pl-PL"/>
          <w14:ligatures w14:val="none"/>
        </w:rPr>
      </w:pPr>
      <w:r w:rsidRPr="00EE2209">
        <w:rPr>
          <w:rFonts w:eastAsia="Times New Roman" w:cstheme="minorHAnsi"/>
          <w:kern w:val="0"/>
          <w:sz w:val="24"/>
          <w:szCs w:val="24"/>
          <w:lang w:eastAsia="pl-PL"/>
          <w14:ligatures w14:val="none"/>
        </w:rPr>
        <w:t>o czym projektodawca zapomniał albo nie wie;</w:t>
      </w:r>
    </w:p>
    <w:p w14:paraId="7695E3D5" w14:textId="77777777" w:rsidR="00C9384B" w:rsidRPr="0018644C"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6F526859" w14:textId="1F088C5E" w:rsidR="00C9384B" w:rsidRPr="007D2684" w:rsidRDefault="00C9384B" w:rsidP="001B6FC4">
      <w:pPr>
        <w:pStyle w:val="Akapitzlist"/>
        <w:numPr>
          <w:ilvl w:val="1"/>
          <w:numId w:val="3"/>
        </w:numPr>
        <w:shd w:val="clear" w:color="auto" w:fill="FFFFFF"/>
        <w:ind w:left="567" w:hanging="567"/>
        <w:jc w:val="both"/>
        <w:rPr>
          <w:rFonts w:eastAsia="Times New Roman" w:cstheme="minorHAnsi"/>
          <w:sz w:val="24"/>
          <w:szCs w:val="24"/>
          <w:lang w:eastAsia="pl-PL"/>
        </w:rPr>
      </w:pPr>
      <w:r w:rsidRPr="007D2684">
        <w:rPr>
          <w:rFonts w:eastAsia="Times New Roman" w:cstheme="minorHAnsi"/>
          <w:sz w:val="24"/>
          <w:szCs w:val="24"/>
          <w:lang w:eastAsia="pl-PL"/>
        </w:rPr>
        <w:t xml:space="preserve">a zatem nieuzupełniony o </w:t>
      </w:r>
      <w:r w:rsidRPr="007D2684">
        <w:rPr>
          <w:rFonts w:eastAsia="Times New Roman" w:cstheme="minorHAnsi"/>
          <w:i/>
          <w:sz w:val="24"/>
          <w:szCs w:val="24"/>
          <w:lang w:eastAsia="pl-PL"/>
        </w:rPr>
        <w:t>„założenia projektów podstawowych aktów wykonawczych”</w:t>
      </w:r>
      <w:r w:rsidRPr="007D2684">
        <w:rPr>
          <w:rFonts w:eastAsia="Times New Roman" w:cstheme="minorHAnsi"/>
          <w:sz w:val="24"/>
          <w:szCs w:val="24"/>
          <w:lang w:eastAsia="pl-PL"/>
        </w:rPr>
        <w:t xml:space="preserve"> projekt UD263 - nie powinien być procedowany zważywszy, że już obecnie Urząd Patentowy RP nie podołał obowiązkowi przestrzegania aktów wykonawczych do obowiązującej ustawy Prawo własności przemysłowej, np.:</w:t>
      </w:r>
    </w:p>
    <w:p w14:paraId="1B156676" w14:textId="77777777" w:rsidR="003A39A9" w:rsidRPr="0018644C" w:rsidRDefault="003A39A9" w:rsidP="003A39A9">
      <w:pPr>
        <w:pStyle w:val="Akapitzlist"/>
        <w:shd w:val="clear" w:color="auto" w:fill="FFFFFF"/>
        <w:ind w:left="1440"/>
        <w:jc w:val="both"/>
        <w:rPr>
          <w:rFonts w:eastAsia="Times New Roman" w:cstheme="minorHAnsi"/>
          <w:sz w:val="10"/>
          <w:szCs w:val="10"/>
          <w:lang w:eastAsia="pl-PL"/>
        </w:rPr>
      </w:pPr>
    </w:p>
    <w:p w14:paraId="31A4CE85" w14:textId="77777777" w:rsidR="00C9384B" w:rsidRPr="007D2684" w:rsidRDefault="00C9384B" w:rsidP="000A08D7">
      <w:pPr>
        <w:numPr>
          <w:ilvl w:val="0"/>
          <w:numId w:val="8"/>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nie zadbał o sformułowanie jasnych zapisów w obowiązującym obecnie (zaledwie od pięciu lat) rozporządzeniu Prezesa Rady Ministrów z dnia 12 stycznia 2017 r. w sprawie rejestrów prowadzonych przez Urząd Patentowy Rzeczypospolitej Polskiej (Dz. U. 2017 poz. 115),</w:t>
      </w:r>
    </w:p>
    <w:p w14:paraId="1A938FFF" w14:textId="77777777" w:rsidR="00C9384B" w:rsidRPr="007D2684" w:rsidRDefault="00C9384B" w:rsidP="000A08D7">
      <w:pPr>
        <w:numPr>
          <w:ilvl w:val="0"/>
          <w:numId w:val="8"/>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lastRenderedPageBreak/>
        <w:t xml:space="preserve">urząd nie sprostał także zadaniu przestrzegania obowiązującego obecnie (zaledwie od pięciu lat) rozporządzenia Prezesa Rady Ministrów z dnia 12 stycznia 2017 r. w sprawie rejestrów prowadzonych przez Urząd Patentowy Rzeczypospolitej Polskiej (Dz. U. 2017 poz. 115), mimo że rozporządzenie w § 8 pkt 6 dotyczącym </w:t>
      </w:r>
      <w:r w:rsidRPr="007D2684">
        <w:rPr>
          <w:rFonts w:eastAsia="Times New Roman" w:cstheme="minorHAnsi"/>
          <w:i/>
          <w:kern w:val="0"/>
          <w:sz w:val="24"/>
          <w:szCs w:val="24"/>
          <w:lang w:eastAsia="pl-PL"/>
          <w14:ligatures w14:val="none"/>
        </w:rPr>
        <w:t>„rubryki F”</w:t>
      </w:r>
      <w:r w:rsidRPr="007D2684">
        <w:rPr>
          <w:rFonts w:eastAsia="Times New Roman" w:cstheme="minorHAnsi"/>
          <w:kern w:val="0"/>
          <w:sz w:val="24"/>
          <w:szCs w:val="24"/>
          <w:lang w:eastAsia="pl-PL"/>
          <w14:ligatures w14:val="none"/>
        </w:rPr>
        <w:t xml:space="preserve"> jasno stanowi, że w rejestrach Urzędu powinny być odnotowywane decyzje (a więc wszystkie decyzje, zatem także nieprawomocne) dotyczące danego patentu </w:t>
      </w:r>
      <w:r w:rsidRPr="007D2684">
        <w:rPr>
          <w:rFonts w:eastAsia="Times New Roman" w:cstheme="minorHAnsi"/>
          <w:i/>
          <w:kern w:val="0"/>
          <w:sz w:val="24"/>
          <w:szCs w:val="24"/>
          <w:lang w:eastAsia="pl-PL"/>
          <w14:ligatures w14:val="none"/>
        </w:rPr>
        <w:t>„§ 8 pkt 6 (…) decyzje dotyczące patentu”</w:t>
      </w:r>
      <w:r w:rsidRPr="007D2684">
        <w:rPr>
          <w:rFonts w:eastAsia="Times New Roman" w:cstheme="minorHAnsi"/>
          <w:kern w:val="0"/>
          <w:sz w:val="24"/>
          <w:szCs w:val="24"/>
          <w:lang w:eastAsia="pl-PL"/>
          <w14:ligatures w14:val="none"/>
        </w:rPr>
        <w:t xml:space="preserve"> - tymczasem w Urzędzie zaskakująco interpretuje się ten przepis i podkreśla chęć udostępniania wyłącznie decyzji prawomocnych dotyczących danego patentu (choć i tego obowiązku organ nie dopełnia),</w:t>
      </w:r>
    </w:p>
    <w:p w14:paraId="2A07EEA6" w14:textId="276FA128" w:rsidR="00C9384B" w:rsidRPr="007D2684" w:rsidRDefault="00C9384B" w:rsidP="000A08D7">
      <w:pPr>
        <w:numPr>
          <w:ilvl w:val="0"/>
          <w:numId w:val="8"/>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xml:space="preserve">Urząd Patentowy nie podołał również obowiązkowi bieżącego udostępniania informacji </w:t>
      </w:r>
      <w:r w:rsidR="00EE11A9" w:rsidRPr="007D2684">
        <w:rPr>
          <w:rFonts w:eastAsia="Times New Roman" w:cstheme="minorHAnsi"/>
          <w:kern w:val="0"/>
          <w:sz w:val="24"/>
          <w:szCs w:val="24"/>
          <w:lang w:eastAsia="pl-PL"/>
          <w14:ligatures w14:val="none"/>
        </w:rPr>
        <w:br/>
      </w:r>
      <w:r w:rsidRPr="007D2684">
        <w:rPr>
          <w:rFonts w:eastAsia="Times New Roman" w:cstheme="minorHAnsi"/>
          <w:kern w:val="0"/>
          <w:sz w:val="24"/>
          <w:szCs w:val="24"/>
          <w:lang w:eastAsia="pl-PL"/>
          <w14:ligatures w14:val="none"/>
        </w:rPr>
        <w:t>o wydanych decyzjach dotyczących danego prawa udzielonego przez ten Urząd, gdyż także uznał, że nie ma obowiązku informowania o innych orzeczeniach (wydawanych przez sądy w sprawie danego prawa wyłącznego udzielonego przez ten Urząd), chociaż zawsze dysponuje wiedzą o nich i ujawnianie ich jest możliwe i łatwe,</w:t>
      </w:r>
    </w:p>
    <w:p w14:paraId="0D5B14F3" w14:textId="008642B8" w:rsidR="00C9384B" w:rsidRPr="007D2684" w:rsidRDefault="00C9384B" w:rsidP="000A08D7">
      <w:pPr>
        <w:numPr>
          <w:ilvl w:val="0"/>
          <w:numId w:val="8"/>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mimo że obowiązujący od ponad dwóch lat art. 479</w:t>
      </w:r>
      <w:r w:rsidRPr="007D2684">
        <w:rPr>
          <w:rFonts w:eastAsia="Times New Roman" w:cstheme="minorHAnsi"/>
          <w:kern w:val="0"/>
          <w:sz w:val="24"/>
          <w:szCs w:val="24"/>
          <w:vertAlign w:val="superscript"/>
          <w:lang w:eastAsia="pl-PL"/>
          <w14:ligatures w14:val="none"/>
        </w:rPr>
        <w:t>122</w:t>
      </w:r>
      <w:r w:rsidR="00097A26" w:rsidRPr="007D2684">
        <w:rPr>
          <w:rFonts w:eastAsia="Times New Roman" w:cstheme="minorHAnsi"/>
          <w:kern w:val="0"/>
          <w:sz w:val="24"/>
          <w:szCs w:val="24"/>
          <w:vertAlign w:val="superscript"/>
          <w:lang w:eastAsia="pl-PL"/>
          <w14:ligatures w14:val="none"/>
        </w:rPr>
        <w:t xml:space="preserve"> </w:t>
      </w:r>
      <w:r w:rsidRPr="007D2684">
        <w:rPr>
          <w:rFonts w:eastAsia="Times New Roman" w:cstheme="minorHAnsi"/>
          <w:kern w:val="0"/>
          <w:sz w:val="24"/>
          <w:szCs w:val="24"/>
          <w:lang w:eastAsia="pl-PL"/>
          <w14:ligatures w14:val="none"/>
        </w:rPr>
        <w:t xml:space="preserve">ustawy Kodeks postępowania cywilnego wprowadził możliwość unieważnienia przez sąd powszechny (a nie tylko przez Urząd Patentowy) prawa ochronnego na znak towarowy i prawa z rejestracji wzoru przemysłowego - jednak przez ponad dwa lata - Urzędu nie zaniepokoił fakt, że nie znalazło to odzwierciedlenia w rozporządzeniu Prezesa Rady Ministrów z dnia 12 stycznia 2017 r. w sprawie rejestrów prowadzonych przez Urząd Patentowy Rzeczypospolitej Polskiej (Dz. U. z 2017 r. poz. 115) i dotąd nie podjął inicjatywy ustawodawczej - wyraźnie nie nadążając z aktualizacją aktów wykonawczych i ich dostosowaniem do zmienionej ustawy wyższego rzędu, nie zadbał więc o uwzględnienie zmiany systemowej </w:t>
      </w:r>
      <w:r w:rsidR="00EE11A9" w:rsidRPr="007D2684">
        <w:rPr>
          <w:rFonts w:eastAsia="Times New Roman" w:cstheme="minorHAnsi"/>
          <w:kern w:val="0"/>
          <w:sz w:val="24"/>
          <w:szCs w:val="24"/>
          <w:lang w:eastAsia="pl-PL"/>
          <w14:ligatures w14:val="none"/>
        </w:rPr>
        <w:br/>
      </w:r>
      <w:r w:rsidRPr="007D2684">
        <w:rPr>
          <w:rFonts w:eastAsia="Times New Roman" w:cstheme="minorHAnsi"/>
          <w:kern w:val="0"/>
          <w:sz w:val="24"/>
          <w:szCs w:val="24"/>
          <w:lang w:eastAsia="pl-PL"/>
          <w14:ligatures w14:val="none"/>
        </w:rPr>
        <w:t>w aktach wykonawczych, których precyzja i poziom decydują nie tylko o usprawnieniu pracy Urzędu, ale także o jej poziomie merytorycznym i prawnym;</w:t>
      </w:r>
    </w:p>
    <w:p w14:paraId="7A3F5C0E" w14:textId="77777777" w:rsidR="00C9384B" w:rsidRPr="005C2B55" w:rsidRDefault="00C9384B" w:rsidP="00C9384B">
      <w:pPr>
        <w:shd w:val="clear" w:color="auto" w:fill="FFFFFF"/>
        <w:spacing w:after="0" w:line="240" w:lineRule="auto"/>
        <w:ind w:left="1080"/>
        <w:jc w:val="both"/>
        <w:rPr>
          <w:rFonts w:eastAsia="Times New Roman" w:cstheme="minorHAnsi"/>
          <w:kern w:val="0"/>
          <w:sz w:val="10"/>
          <w:szCs w:val="10"/>
          <w:lang w:eastAsia="pl-PL"/>
          <w14:ligatures w14:val="none"/>
        </w:rPr>
      </w:pPr>
    </w:p>
    <w:p w14:paraId="78E24EB4" w14:textId="77777777" w:rsidR="003A39A9" w:rsidRPr="007D2684" w:rsidRDefault="00C9384B" w:rsidP="001B6FC4">
      <w:pPr>
        <w:pStyle w:val="Akapitzlist"/>
        <w:numPr>
          <w:ilvl w:val="1"/>
          <w:numId w:val="3"/>
        </w:numPr>
        <w:shd w:val="clear" w:color="auto" w:fill="FFFFFF"/>
        <w:ind w:left="567" w:hanging="567"/>
        <w:jc w:val="both"/>
        <w:rPr>
          <w:rFonts w:eastAsia="Times New Roman" w:cstheme="minorHAnsi"/>
          <w:sz w:val="24"/>
          <w:szCs w:val="24"/>
          <w:lang w:eastAsia="pl-PL"/>
        </w:rPr>
      </w:pPr>
      <w:r w:rsidRPr="007D2684">
        <w:rPr>
          <w:rFonts w:eastAsia="Times New Roman" w:cstheme="minorHAnsi"/>
          <w:sz w:val="24"/>
          <w:szCs w:val="24"/>
          <w:lang w:eastAsia="pl-PL"/>
        </w:rPr>
        <w:t>projekt nowej ustawy Prawo własności przemysłowej UD263 - jest tak nieudany, że najwłaściwszym będzie, gdy najpierw podjęty zostanie trud dostosowania aktów wykonawczych do obowiązujących obecnie przepisów wyższego rzędu i porzucona zostanie koncepcja wprowadzania kolejnych zmian tych ostatnich przepisów (i dalszego ich komplikowania);</w:t>
      </w:r>
    </w:p>
    <w:p w14:paraId="150CE12E" w14:textId="77777777" w:rsidR="003A39A9" w:rsidRPr="005C2B55" w:rsidRDefault="003A39A9" w:rsidP="003A39A9">
      <w:pPr>
        <w:pStyle w:val="Akapitzlist"/>
        <w:shd w:val="clear" w:color="auto" w:fill="FFFFFF"/>
        <w:ind w:left="567"/>
        <w:jc w:val="both"/>
        <w:rPr>
          <w:rFonts w:eastAsia="Times New Roman" w:cstheme="minorHAnsi"/>
          <w:sz w:val="10"/>
          <w:szCs w:val="10"/>
          <w:lang w:eastAsia="pl-PL"/>
        </w:rPr>
      </w:pPr>
    </w:p>
    <w:p w14:paraId="545C5404" w14:textId="77777777" w:rsidR="003A39A9" w:rsidRPr="007D2684" w:rsidRDefault="00C9384B" w:rsidP="001B6FC4">
      <w:pPr>
        <w:pStyle w:val="Akapitzlist"/>
        <w:numPr>
          <w:ilvl w:val="1"/>
          <w:numId w:val="3"/>
        </w:numPr>
        <w:shd w:val="clear" w:color="auto" w:fill="FFFFFF"/>
        <w:ind w:left="567" w:hanging="567"/>
        <w:jc w:val="both"/>
        <w:rPr>
          <w:rFonts w:eastAsia="Times New Roman" w:cstheme="minorHAnsi"/>
          <w:sz w:val="24"/>
          <w:szCs w:val="24"/>
          <w:lang w:eastAsia="pl-PL"/>
        </w:rPr>
      </w:pPr>
      <w:r w:rsidRPr="007D2684">
        <w:rPr>
          <w:rFonts w:eastAsia="Times New Roman" w:cstheme="minorHAnsi"/>
          <w:sz w:val="24"/>
          <w:szCs w:val="24"/>
          <w:lang w:eastAsia="pl-PL"/>
        </w:rPr>
        <w:t xml:space="preserve">jest oczywiste, że stanu polskiej wynalazczości nie poprawiłby projekt nowej ustawy Prawo własności przemysłowej UD263 i tak jak strona internetowa Rządowego Centrum Legislacji informuje, że ostatnia data aktualizacji danych o projekcie UD263 dokonana została w dniu 24.04.2022 r. - pilną staje się jeszcze konieczność uzupełnienie rubryki </w:t>
      </w:r>
      <w:r w:rsidRPr="007D2684">
        <w:rPr>
          <w:rFonts w:eastAsia="Times New Roman" w:cstheme="minorHAnsi"/>
          <w:i/>
          <w:sz w:val="24"/>
          <w:szCs w:val="24"/>
          <w:lang w:eastAsia="pl-PL"/>
        </w:rPr>
        <w:t>„Zaniechanie prac nad projektem.”;</w:t>
      </w:r>
    </w:p>
    <w:p w14:paraId="750FEF92" w14:textId="77777777" w:rsidR="003A39A9" w:rsidRPr="005C2B55" w:rsidRDefault="003A39A9" w:rsidP="003A39A9">
      <w:pPr>
        <w:pStyle w:val="Akapitzlist"/>
        <w:rPr>
          <w:rFonts w:eastAsia="Times New Roman" w:cstheme="minorHAnsi"/>
          <w:sz w:val="10"/>
          <w:szCs w:val="10"/>
          <w:lang w:eastAsia="pl-PL"/>
        </w:rPr>
      </w:pPr>
    </w:p>
    <w:p w14:paraId="7E845E15" w14:textId="41116BAB" w:rsidR="00C9384B" w:rsidRPr="007D2684" w:rsidRDefault="00C9384B" w:rsidP="001B6FC4">
      <w:pPr>
        <w:pStyle w:val="Akapitzlist"/>
        <w:numPr>
          <w:ilvl w:val="1"/>
          <w:numId w:val="3"/>
        </w:numPr>
        <w:shd w:val="clear" w:color="auto" w:fill="FFFFFF"/>
        <w:ind w:left="567" w:hanging="567"/>
        <w:jc w:val="both"/>
        <w:rPr>
          <w:rFonts w:eastAsia="Times New Roman" w:cstheme="minorHAnsi"/>
          <w:sz w:val="24"/>
          <w:szCs w:val="24"/>
          <w:lang w:eastAsia="pl-PL"/>
        </w:rPr>
      </w:pPr>
      <w:r w:rsidRPr="007D2684">
        <w:rPr>
          <w:rFonts w:eastAsia="Times New Roman" w:cstheme="minorHAnsi"/>
          <w:sz w:val="24"/>
          <w:szCs w:val="24"/>
          <w:lang w:eastAsia="pl-PL"/>
        </w:rPr>
        <w:t>pilna i zasadnicza staje się też konieczność ustalenia metodyki działań naprawczych, które doprowadzą nareszcie do osiągnięcia docelowych, oczekiwanych efektów i wprowadzenia przyjaznych instrumentów organizacyjnych i prawnych, zapewniających rozwój polskiej gospodarki, a bez wątpienia:</w:t>
      </w:r>
    </w:p>
    <w:p w14:paraId="371A574C" w14:textId="77777777" w:rsidR="00C9384B" w:rsidRPr="007D2684" w:rsidRDefault="00C9384B" w:rsidP="00C9384B">
      <w:pPr>
        <w:shd w:val="clear" w:color="auto" w:fill="FFFFFF"/>
        <w:spacing w:after="0" w:line="240" w:lineRule="auto"/>
        <w:jc w:val="both"/>
        <w:rPr>
          <w:rFonts w:eastAsia="Times New Roman" w:cstheme="minorHAnsi"/>
          <w:kern w:val="0"/>
          <w:sz w:val="12"/>
          <w:szCs w:val="12"/>
          <w:lang w:eastAsia="pl-PL"/>
          <w14:ligatures w14:val="none"/>
        </w:rPr>
      </w:pPr>
    </w:p>
    <w:p w14:paraId="42AF0F76" w14:textId="77777777" w:rsidR="003A39A9" w:rsidRPr="007D2684" w:rsidRDefault="00C9384B" w:rsidP="003A39A9">
      <w:pPr>
        <w:shd w:val="clear" w:color="auto" w:fill="FFFFFF"/>
        <w:spacing w:after="0" w:line="240" w:lineRule="auto"/>
        <w:ind w:left="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najpierw niezbędne jest pilne skorygowanie wadliwych, czasem niekompletnych (jednak wprowadzonych do systemu prawnego) regulacji prawnych, obecnie już ocenionych i zweryfikowanych przez doktrynę, orzecznictwo i użytkowników systemu,</w:t>
      </w:r>
    </w:p>
    <w:p w14:paraId="2876A163" w14:textId="634755AF" w:rsidR="00C9384B" w:rsidRPr="007D2684" w:rsidRDefault="00C9384B" w:rsidP="003A39A9">
      <w:pPr>
        <w:shd w:val="clear" w:color="auto" w:fill="FFFFFF"/>
        <w:spacing w:after="0" w:line="240" w:lineRule="auto"/>
        <w:ind w:left="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a dopiero później winno nastąpić podjęcie prac nad nowym systemem,</w:t>
      </w:r>
    </w:p>
    <w:p w14:paraId="3373F58A" w14:textId="77777777" w:rsidR="003A39A9" w:rsidRPr="007D2684" w:rsidRDefault="003A39A9" w:rsidP="003A39A9">
      <w:pPr>
        <w:shd w:val="clear" w:color="auto" w:fill="FFFFFF"/>
        <w:spacing w:after="0" w:line="240" w:lineRule="auto"/>
        <w:ind w:left="567"/>
        <w:jc w:val="both"/>
        <w:rPr>
          <w:rFonts w:eastAsia="Times New Roman" w:cstheme="minorHAnsi"/>
          <w:kern w:val="0"/>
          <w:sz w:val="12"/>
          <w:szCs w:val="12"/>
          <w:lang w:eastAsia="pl-PL"/>
          <w14:ligatures w14:val="none"/>
        </w:rPr>
      </w:pPr>
    </w:p>
    <w:p w14:paraId="6A1A0DC8" w14:textId="77777777" w:rsidR="00C9384B" w:rsidRPr="007D2684" w:rsidRDefault="00C9384B" w:rsidP="000A08D7">
      <w:pPr>
        <w:numPr>
          <w:ilvl w:val="0"/>
          <w:numId w:val="9"/>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umożliwi to sprawdzenie, czy i kto sprosta temu pierwszemu, ważnemu i podstawowemu obowiązkowi oraz czy istnieje szansa, że podoła wykonaniu kolejnego zadania,</w:t>
      </w:r>
    </w:p>
    <w:p w14:paraId="048FA20D" w14:textId="77777777" w:rsidR="00C9384B" w:rsidRPr="007D2684" w:rsidRDefault="00C9384B" w:rsidP="000A08D7">
      <w:pPr>
        <w:numPr>
          <w:ilvl w:val="0"/>
          <w:numId w:val="9"/>
        </w:numPr>
        <w:shd w:val="clear" w:color="auto" w:fill="FFFFFF"/>
        <w:tabs>
          <w:tab w:val="clear" w:pos="720"/>
          <w:tab w:val="num" w:pos="851"/>
        </w:tabs>
        <w:spacing w:after="0" w:line="240" w:lineRule="auto"/>
        <w:ind w:left="851" w:hanging="284"/>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lastRenderedPageBreak/>
        <w:t>pomyślne osiągnięcie tego pierwszego celu - rokuje, że ten sam zespół autorów poradzi sobie także z tym drugim, ambitnym, docelowym zadaniem naprawienia polskiego systemu ochrony własności intelektualnej, w tym zwłaszcza chorego prawa własności przemysłowej,</w:t>
      </w:r>
    </w:p>
    <w:p w14:paraId="154891E2" w14:textId="77777777" w:rsidR="00C9384B" w:rsidRPr="00FC2C86" w:rsidRDefault="00C9384B" w:rsidP="00C9384B">
      <w:pPr>
        <w:shd w:val="clear" w:color="auto" w:fill="FFFFFF"/>
        <w:spacing w:after="0" w:line="240" w:lineRule="auto"/>
        <w:ind w:left="1080"/>
        <w:jc w:val="both"/>
        <w:rPr>
          <w:rFonts w:eastAsia="Times New Roman" w:cstheme="minorHAnsi"/>
          <w:kern w:val="0"/>
          <w:sz w:val="10"/>
          <w:szCs w:val="10"/>
          <w:lang w:eastAsia="pl-PL"/>
          <w14:ligatures w14:val="none"/>
        </w:rPr>
      </w:pPr>
    </w:p>
    <w:p w14:paraId="1C1157AE" w14:textId="6485EADE" w:rsidR="00C9384B" w:rsidRPr="007D2684" w:rsidRDefault="00C9384B" w:rsidP="001B6FC4">
      <w:pPr>
        <w:pStyle w:val="Akapitzlist"/>
        <w:numPr>
          <w:ilvl w:val="1"/>
          <w:numId w:val="3"/>
        </w:numPr>
        <w:shd w:val="clear" w:color="auto" w:fill="FFFFFF"/>
        <w:ind w:left="567" w:hanging="567"/>
        <w:jc w:val="both"/>
        <w:rPr>
          <w:rFonts w:eastAsia="Times New Roman" w:cstheme="minorHAnsi"/>
          <w:sz w:val="24"/>
          <w:szCs w:val="24"/>
          <w:lang w:eastAsia="pl-PL"/>
        </w:rPr>
      </w:pPr>
      <w:r w:rsidRPr="007D2684">
        <w:rPr>
          <w:rFonts w:eastAsia="Times New Roman" w:cstheme="minorHAnsi"/>
          <w:sz w:val="24"/>
          <w:szCs w:val="24"/>
          <w:lang w:eastAsia="pl-PL"/>
        </w:rPr>
        <w:t>bez wątpienia omawiany projekt UD263 nie eliminuje przedstawionych wyżej zagrożeń, przedstawia kontrowersyjne przepisy i nie zasługuje na prowadzenie prac nad nim także dlatego, że nie dopełniono w nim obowiązku wskazania alternatywnych rozwiązań prawnych (które zapobiegłyby demontowaniu systemu prawa własności przemysłowej w Polsce i układaniu w odmiennym porządku tych samych wadliwych przepisów uzupełnionych o nowe, błędne), choć - zgodnie z § 1 ust. 1 pkt. 3) Zasad techniki prawodawczej - ustalenie możliwości podjęcia środków interwencji, alternatywnych w stosunku do proponowanego uchwalenia nowej ustawy Prawo własności przemysłowej UD263 - było obowiązkiem inicjatorów.</w:t>
      </w:r>
    </w:p>
    <w:p w14:paraId="605D7A1D" w14:textId="77777777" w:rsidR="00C9384B" w:rsidRPr="00D06C0F" w:rsidRDefault="00C9384B" w:rsidP="00C9384B">
      <w:pPr>
        <w:shd w:val="clear" w:color="auto" w:fill="FFFFFF"/>
        <w:spacing w:after="0" w:line="240" w:lineRule="auto"/>
        <w:jc w:val="both"/>
        <w:rPr>
          <w:rFonts w:eastAsia="Times New Roman" w:cstheme="minorHAnsi"/>
          <w:kern w:val="0"/>
          <w:sz w:val="10"/>
          <w:szCs w:val="10"/>
          <w:lang w:eastAsia="pl-PL"/>
          <w14:ligatures w14:val="none"/>
        </w:rPr>
      </w:pPr>
    </w:p>
    <w:p w14:paraId="7D228472" w14:textId="77777777"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Kontynuowanie prac nad tak wadliwie i niekompletnie przygotowanym (i w sposób nieuprawniony afirmowanym przez projektodawców) projektem ustawy UD263 - potęguje stan niepewności i niepokój środowisk zainteresowanych poprawieniem stanu polskiego prawa własności przemysłowej i rozwojem naszej gospodarki. Błędy proponowanych rozwiązań UD263 z pewnością omówiono w nadsyłanych opiniach. Może dlatego nie zostały one dotychczas udostępnione na stronie Rządowego Centrum Legislacji.</w:t>
      </w:r>
    </w:p>
    <w:p w14:paraId="3040086B" w14:textId="77777777" w:rsidR="00C9384B" w:rsidRPr="00D06C0F" w:rsidRDefault="00C9384B" w:rsidP="003A39A9">
      <w:pPr>
        <w:shd w:val="clear" w:color="auto" w:fill="FFFFFF"/>
        <w:spacing w:after="0" w:line="240" w:lineRule="auto"/>
        <w:ind w:firstLine="567"/>
        <w:jc w:val="both"/>
        <w:rPr>
          <w:rFonts w:eastAsia="Times New Roman" w:cstheme="minorHAnsi"/>
          <w:kern w:val="0"/>
          <w:sz w:val="10"/>
          <w:szCs w:val="10"/>
          <w:lang w:eastAsia="pl-PL"/>
          <w14:ligatures w14:val="none"/>
        </w:rPr>
      </w:pPr>
    </w:p>
    <w:p w14:paraId="238FC637" w14:textId="77777777"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xml:space="preserve">W podsumowaniu uzasadnienia projektu ustawy UD263 przeczytać można: </w:t>
      </w:r>
      <w:r w:rsidRPr="007D2684">
        <w:rPr>
          <w:rFonts w:eastAsia="Times New Roman" w:cstheme="minorHAnsi"/>
          <w:i/>
          <w:kern w:val="0"/>
          <w:sz w:val="24"/>
          <w:szCs w:val="24"/>
          <w:lang w:eastAsia="pl-PL"/>
          <w14:ligatures w14:val="none"/>
        </w:rPr>
        <w:t>„Nie ma możliwości podjęcia alternatywnych w stosunku do uchwalenia projektowanej ustawy środków umożliwiających osiągnięcie zamierzonego celu.”</w:t>
      </w:r>
      <w:r w:rsidRPr="007D2684">
        <w:rPr>
          <w:rFonts w:eastAsia="Times New Roman" w:cstheme="minorHAnsi"/>
          <w:kern w:val="0"/>
          <w:sz w:val="24"/>
          <w:szCs w:val="24"/>
          <w:lang w:eastAsia="pl-PL"/>
          <w14:ligatures w14:val="none"/>
        </w:rPr>
        <w:t xml:space="preserve"> - epatuje się tu takimi stwierdzeniami bez przedstawienia uzasadnienia tego stanowiska.</w:t>
      </w:r>
    </w:p>
    <w:p w14:paraId="5DB4018C" w14:textId="77777777" w:rsidR="00C9384B" w:rsidRPr="00D06C0F" w:rsidRDefault="00C9384B" w:rsidP="003A39A9">
      <w:pPr>
        <w:shd w:val="clear" w:color="auto" w:fill="FFFFFF"/>
        <w:spacing w:after="0" w:line="240" w:lineRule="auto"/>
        <w:ind w:firstLine="567"/>
        <w:jc w:val="both"/>
        <w:rPr>
          <w:rFonts w:eastAsia="Times New Roman" w:cstheme="minorHAnsi"/>
          <w:kern w:val="0"/>
          <w:sz w:val="10"/>
          <w:szCs w:val="10"/>
          <w:lang w:eastAsia="pl-PL"/>
          <w14:ligatures w14:val="none"/>
        </w:rPr>
      </w:pPr>
    </w:p>
    <w:p w14:paraId="5DAC4255" w14:textId="77777777"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W wyniku dalszego prowadzenia prac nad projektem UD263 - rośnie skala zagrożeń dla bezpieczeństwa obrotu gospodarczego. Od lat doświadczamy niekorzystnych efektów eksperymentów legislacyjnych, których kolejny przykład stanowi projekt ustawy Prawo własności przemysłowej UD263.</w:t>
      </w:r>
    </w:p>
    <w:p w14:paraId="347994FD" w14:textId="77777777" w:rsidR="00C9384B" w:rsidRPr="00D06C0F" w:rsidRDefault="00C9384B" w:rsidP="003A39A9">
      <w:pPr>
        <w:shd w:val="clear" w:color="auto" w:fill="FFFFFF"/>
        <w:spacing w:after="0" w:line="240" w:lineRule="auto"/>
        <w:ind w:firstLine="567"/>
        <w:jc w:val="both"/>
        <w:rPr>
          <w:rFonts w:eastAsia="Times New Roman" w:cstheme="minorHAnsi"/>
          <w:kern w:val="0"/>
          <w:sz w:val="10"/>
          <w:szCs w:val="10"/>
          <w:lang w:eastAsia="pl-PL"/>
          <w14:ligatures w14:val="none"/>
        </w:rPr>
      </w:pPr>
    </w:p>
    <w:p w14:paraId="37558D25" w14:textId="39BA2F63"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xml:space="preserve">Niewątpliwie obecnie nie poradzono sobie nie tylko z poprawnym stosowaniem aktualnie obowiązujących aktów wykonawczych, ale nawet ze stosowaniem ustawy Kodeks postępowania administracyjnego. Nałożenie na regulację dotychczasową regulacji nowej (tak niedoskonałej </w:t>
      </w:r>
      <w:r w:rsidR="00EE11A9" w:rsidRPr="007D2684">
        <w:rPr>
          <w:rFonts w:eastAsia="Times New Roman" w:cstheme="minorHAnsi"/>
          <w:kern w:val="0"/>
          <w:sz w:val="24"/>
          <w:szCs w:val="24"/>
          <w:lang w:eastAsia="pl-PL"/>
          <w14:ligatures w14:val="none"/>
        </w:rPr>
        <w:br/>
      </w:r>
      <w:r w:rsidRPr="007D2684">
        <w:rPr>
          <w:rFonts w:eastAsia="Times New Roman" w:cstheme="minorHAnsi"/>
          <w:kern w:val="0"/>
          <w:sz w:val="24"/>
          <w:szCs w:val="24"/>
          <w:lang w:eastAsia="pl-PL"/>
          <w14:ligatures w14:val="none"/>
        </w:rPr>
        <w:t>i kontrowersyjnej) - pogłębi chaos już istniejący.</w:t>
      </w:r>
    </w:p>
    <w:p w14:paraId="6814991C" w14:textId="77777777" w:rsidR="00C9384B" w:rsidRPr="00D06C0F" w:rsidRDefault="00C9384B" w:rsidP="003A39A9">
      <w:pPr>
        <w:shd w:val="clear" w:color="auto" w:fill="FFFFFF"/>
        <w:spacing w:after="0" w:line="240" w:lineRule="auto"/>
        <w:ind w:firstLine="567"/>
        <w:jc w:val="both"/>
        <w:rPr>
          <w:rFonts w:eastAsia="Times New Roman" w:cstheme="minorHAnsi"/>
          <w:kern w:val="0"/>
          <w:sz w:val="12"/>
          <w:szCs w:val="12"/>
          <w:lang w:eastAsia="pl-PL"/>
          <w14:ligatures w14:val="none"/>
        </w:rPr>
      </w:pPr>
    </w:p>
    <w:p w14:paraId="7942AAC0" w14:textId="77777777"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Jeśli ktoś nie potrafił wykonać zadania - należy powierzyć je znawcom problematyki, którzy podołają temu wyzwaniu.</w:t>
      </w:r>
    </w:p>
    <w:p w14:paraId="0D9D70F4" w14:textId="77777777" w:rsidR="00C9384B" w:rsidRPr="00D06C0F" w:rsidRDefault="00C9384B" w:rsidP="003A39A9">
      <w:pPr>
        <w:shd w:val="clear" w:color="auto" w:fill="FFFFFF"/>
        <w:spacing w:after="0" w:line="240" w:lineRule="auto"/>
        <w:ind w:firstLine="567"/>
        <w:jc w:val="both"/>
        <w:rPr>
          <w:rFonts w:eastAsia="Times New Roman" w:cstheme="minorHAnsi"/>
          <w:kern w:val="0"/>
          <w:sz w:val="10"/>
          <w:szCs w:val="10"/>
          <w:lang w:eastAsia="pl-PL"/>
          <w14:ligatures w14:val="none"/>
        </w:rPr>
      </w:pPr>
    </w:p>
    <w:p w14:paraId="6C02F503" w14:textId="77777777"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Stanowczo wszyscy zainteresowani sukcesami polskiej gospodarki nie chcą sytuacji, w której do Sejmu Rzeczypospolitej Polskiej znów skierowany zostałby tak ważny dla gospodarki, lecz niedopracowany akt prawny, jakim jest projekt UD263 - zwłaszcza, że jego skorygowanie na tym zaawansowanym etapie procedowania nie będzie już możliwe.</w:t>
      </w:r>
    </w:p>
    <w:p w14:paraId="487E7305" w14:textId="77777777" w:rsidR="00C9384B" w:rsidRPr="00D06C0F" w:rsidRDefault="00C9384B" w:rsidP="003A39A9">
      <w:pPr>
        <w:shd w:val="clear" w:color="auto" w:fill="FFFFFF"/>
        <w:spacing w:after="0" w:line="240" w:lineRule="auto"/>
        <w:ind w:firstLine="567"/>
        <w:jc w:val="both"/>
        <w:rPr>
          <w:rFonts w:eastAsia="Times New Roman" w:cstheme="minorHAnsi"/>
          <w:kern w:val="0"/>
          <w:sz w:val="10"/>
          <w:szCs w:val="10"/>
          <w:lang w:eastAsia="pl-PL"/>
          <w14:ligatures w14:val="none"/>
        </w:rPr>
      </w:pPr>
    </w:p>
    <w:p w14:paraId="360F5544" w14:textId="77777777" w:rsidR="00C9384B" w:rsidRPr="007D2684" w:rsidRDefault="00C9384B" w:rsidP="003A39A9">
      <w:pPr>
        <w:shd w:val="clear" w:color="auto" w:fill="FFFFFF"/>
        <w:spacing w:after="0" w:line="240" w:lineRule="auto"/>
        <w:ind w:firstLine="567"/>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W związku z tym prosimy Pana Ministra o odpowiedź na następujące pytania:</w:t>
      </w:r>
    </w:p>
    <w:p w14:paraId="50652A61" w14:textId="77777777" w:rsidR="003A39A9" w:rsidRPr="00D06C0F" w:rsidRDefault="003A39A9" w:rsidP="003A39A9">
      <w:pPr>
        <w:shd w:val="clear" w:color="auto" w:fill="FFFFFF"/>
        <w:spacing w:after="0" w:line="240" w:lineRule="auto"/>
        <w:ind w:firstLine="567"/>
        <w:jc w:val="both"/>
        <w:rPr>
          <w:rFonts w:eastAsia="Times New Roman" w:cstheme="minorHAnsi"/>
          <w:kern w:val="0"/>
          <w:sz w:val="10"/>
          <w:szCs w:val="10"/>
          <w:lang w:eastAsia="pl-PL"/>
          <w14:ligatures w14:val="none"/>
        </w:rPr>
      </w:pPr>
    </w:p>
    <w:p w14:paraId="0546F25D" w14:textId="77777777" w:rsidR="00C9384B" w:rsidRPr="007D2684" w:rsidRDefault="00C9384B" w:rsidP="001B6FC4">
      <w:pPr>
        <w:numPr>
          <w:ilvl w:val="0"/>
          <w:numId w:val="10"/>
        </w:numPr>
        <w:shd w:val="clear" w:color="auto" w:fill="FFFFFF"/>
        <w:spacing w:after="0" w:line="240" w:lineRule="auto"/>
        <w:ind w:left="567" w:hanging="425"/>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Dlaczego dotychczas na stronie internetowej Rządowego Centrum Legislacji nie udostępniono opinii, uwag i innych materiałów na temat nowej ustawy Prawo własności przemysłowej UD263, które od 25 kwietnia 2022 r. są nadsyłane do Rządowego Centrum Legislacji (a z których znakomita większość jest krytyczna)?</w:t>
      </w:r>
    </w:p>
    <w:p w14:paraId="0DCC9967" w14:textId="36B8B8B1" w:rsidR="00C9384B" w:rsidRPr="007D2684" w:rsidRDefault="00C9384B" w:rsidP="001B6FC4">
      <w:pPr>
        <w:numPr>
          <w:ilvl w:val="0"/>
          <w:numId w:val="11"/>
        </w:numPr>
        <w:shd w:val="clear" w:color="auto" w:fill="FFFFFF"/>
        <w:spacing w:after="0" w:line="240" w:lineRule="auto"/>
        <w:ind w:left="567" w:hanging="425"/>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 xml:space="preserve">Kto, zdaniem Pana Ministra, osobiście ponosi odpowiedzialność za niepoinformowanie Pana Ministra </w:t>
      </w:r>
      <w:r w:rsidR="00EE11A9" w:rsidRPr="007D2684">
        <w:rPr>
          <w:rFonts w:eastAsia="Times New Roman" w:cstheme="minorHAnsi"/>
          <w:kern w:val="0"/>
          <w:sz w:val="24"/>
          <w:szCs w:val="24"/>
          <w:lang w:eastAsia="pl-PL"/>
          <w14:ligatures w14:val="none"/>
        </w:rPr>
        <w:br/>
      </w:r>
      <w:r w:rsidRPr="007D2684">
        <w:rPr>
          <w:rFonts w:eastAsia="Times New Roman" w:cstheme="minorHAnsi"/>
          <w:kern w:val="0"/>
          <w:sz w:val="24"/>
          <w:szCs w:val="24"/>
          <w:lang w:eastAsia="pl-PL"/>
          <w14:ligatures w14:val="none"/>
        </w:rPr>
        <w:lastRenderedPageBreak/>
        <w:t>o usterkach dyskwalifikujących projekt ustawy Prawo własności przemysłowej UD263, uniemożliwiających dalsze prace nad nim?</w:t>
      </w:r>
    </w:p>
    <w:p w14:paraId="7D25C00F" w14:textId="77777777" w:rsidR="00C9384B" w:rsidRPr="007D2684" w:rsidRDefault="00C9384B" w:rsidP="001B6FC4">
      <w:pPr>
        <w:numPr>
          <w:ilvl w:val="0"/>
          <w:numId w:val="12"/>
        </w:numPr>
        <w:shd w:val="clear" w:color="auto" w:fill="FFFFFF"/>
        <w:spacing w:after="0" w:line="240" w:lineRule="auto"/>
        <w:ind w:left="567" w:hanging="425"/>
        <w:jc w:val="both"/>
        <w:rPr>
          <w:rFonts w:eastAsia="Times New Roman" w:cstheme="minorHAnsi"/>
          <w:kern w:val="0"/>
          <w:sz w:val="24"/>
          <w:szCs w:val="24"/>
          <w:lang w:eastAsia="pl-PL"/>
          <w14:ligatures w14:val="none"/>
        </w:rPr>
      </w:pPr>
      <w:r w:rsidRPr="007D2684">
        <w:rPr>
          <w:rFonts w:eastAsia="Times New Roman" w:cstheme="minorHAnsi"/>
          <w:kern w:val="0"/>
          <w:sz w:val="24"/>
          <w:szCs w:val="24"/>
          <w:lang w:eastAsia="pl-PL"/>
          <w14:ligatures w14:val="none"/>
        </w:rPr>
        <w:t>Z jakich przyczyn dotychczas nie wstrzymano prowadzenia prac nad projektem ustawy UD263 zawierającym zapisy sprzeczne z obowiązującymi polskimi regulacjami prawnymi, a także z dyrektywami unijnymi, czemu niepotrzebnie poświęcany jest mu czas i marnotrawione na ten cel środki publiczne?</w:t>
      </w:r>
    </w:p>
    <w:p w14:paraId="2C45EFC5" w14:textId="77777777" w:rsidR="00C9384B" w:rsidRPr="001F6E7F" w:rsidRDefault="00C9384B" w:rsidP="00C9384B">
      <w:pPr>
        <w:shd w:val="clear" w:color="auto" w:fill="FFFFFF"/>
        <w:spacing w:after="0" w:line="240" w:lineRule="auto"/>
        <w:ind w:left="1080"/>
        <w:jc w:val="both"/>
        <w:rPr>
          <w:rFonts w:eastAsia="Times New Roman" w:cstheme="minorHAnsi"/>
          <w:kern w:val="0"/>
          <w:sz w:val="10"/>
          <w:szCs w:val="10"/>
          <w:lang w:eastAsia="pl-PL"/>
          <w14:ligatures w14:val="none"/>
        </w:rPr>
      </w:pPr>
    </w:p>
    <w:p w14:paraId="2D1CC4C2" w14:textId="6F6FB64A" w:rsidR="00EC4F25" w:rsidRPr="007D2684" w:rsidRDefault="00C9384B" w:rsidP="00E34871">
      <w:pPr>
        <w:shd w:val="clear" w:color="auto" w:fill="FFFFFF"/>
        <w:spacing w:after="0" w:line="240" w:lineRule="auto"/>
        <w:ind w:left="4956"/>
        <w:jc w:val="both"/>
        <w:rPr>
          <w:rFonts w:eastAsia="Times New Roman" w:cstheme="minorHAnsi"/>
          <w:i/>
          <w:iCs/>
          <w:kern w:val="0"/>
          <w:sz w:val="24"/>
          <w:szCs w:val="24"/>
          <w:lang w:eastAsia="pl-PL"/>
          <w14:ligatures w14:val="none"/>
        </w:rPr>
      </w:pPr>
      <w:r w:rsidRPr="007D2684">
        <w:rPr>
          <w:rFonts w:eastAsia="Times New Roman" w:cstheme="minorHAnsi"/>
          <w:i/>
          <w:iCs/>
          <w:kern w:val="0"/>
          <w:sz w:val="24"/>
          <w:szCs w:val="24"/>
          <w:lang w:eastAsia="pl-PL"/>
          <w14:ligatures w14:val="none"/>
        </w:rPr>
        <w:t>Z wyrazami szacunku</w:t>
      </w:r>
      <w:r w:rsidR="003A39A9" w:rsidRPr="007D2684">
        <w:rPr>
          <w:rFonts w:eastAsia="Times New Roman" w:cstheme="minorHAnsi"/>
          <w:i/>
          <w:iCs/>
          <w:kern w:val="0"/>
          <w:sz w:val="24"/>
          <w:szCs w:val="24"/>
          <w:lang w:eastAsia="pl-PL"/>
          <w14:ligatures w14:val="none"/>
        </w:rPr>
        <w:t xml:space="preserve"> -</w:t>
      </w:r>
    </w:p>
    <w:p w14:paraId="7F55ABF5" w14:textId="77777777" w:rsidR="00827519" w:rsidRDefault="00827519" w:rsidP="000362CA">
      <w:pPr>
        <w:spacing w:after="0"/>
        <w:rPr>
          <w:b/>
          <w:bCs/>
        </w:rPr>
      </w:pPr>
    </w:p>
    <w:p w14:paraId="060530BB" w14:textId="77777777" w:rsidR="00FA39D7" w:rsidRDefault="00FA39D7" w:rsidP="00FA39D7">
      <w:pPr>
        <w:spacing w:after="0" w:line="240" w:lineRule="auto"/>
        <w:jc w:val="center"/>
        <w:rPr>
          <w:b/>
          <w:bCs/>
          <w:kern w:val="0"/>
          <w:sz w:val="24"/>
          <w:szCs w:val="24"/>
        </w:rPr>
      </w:pPr>
      <w:r>
        <w:rPr>
          <w:b/>
          <w:bCs/>
          <w:kern w:val="0"/>
          <w:sz w:val="24"/>
          <w:szCs w:val="24"/>
        </w:rPr>
        <w:t>* * *</w:t>
      </w:r>
    </w:p>
    <w:p w14:paraId="6C9FF637" w14:textId="355FECBD" w:rsidR="00772D6F" w:rsidRPr="00772D6F" w:rsidRDefault="00772D6F" w:rsidP="00A6640E">
      <w:pPr>
        <w:spacing w:after="0"/>
        <w:jc w:val="both"/>
        <w:rPr>
          <w:b/>
          <w:bCs/>
          <w:kern w:val="0"/>
          <w:sz w:val="24"/>
          <w:szCs w:val="24"/>
        </w:rPr>
      </w:pPr>
      <w:bookmarkStart w:id="23" w:name="_Hlk169201791"/>
      <w:bookmarkStart w:id="24" w:name="_Hlk169198051"/>
      <w:bookmarkStart w:id="25" w:name="_Hlk169201374"/>
      <w:r w:rsidRPr="00772D6F">
        <w:rPr>
          <w:b/>
          <w:bCs/>
          <w:kern w:val="0"/>
          <w:sz w:val="24"/>
          <w:szCs w:val="24"/>
        </w:rPr>
        <w:t xml:space="preserve">Uwaga </w:t>
      </w:r>
      <w:r w:rsidR="008F3813">
        <w:rPr>
          <w:b/>
          <w:bCs/>
          <w:kern w:val="0"/>
          <w:sz w:val="24"/>
          <w:szCs w:val="24"/>
        </w:rPr>
        <w:t>R</w:t>
      </w:r>
      <w:r w:rsidRPr="00772D6F">
        <w:rPr>
          <w:b/>
          <w:bCs/>
          <w:kern w:val="0"/>
          <w:sz w:val="24"/>
          <w:szCs w:val="24"/>
        </w:rPr>
        <w:t xml:space="preserve">edakcji: </w:t>
      </w:r>
      <w:bookmarkEnd w:id="23"/>
    </w:p>
    <w:p w14:paraId="4A8AC095" w14:textId="0C246E16" w:rsidR="00F37C59" w:rsidRDefault="0051049D" w:rsidP="00A6640E">
      <w:pPr>
        <w:spacing w:after="0"/>
        <w:jc w:val="both"/>
        <w:rPr>
          <w:rFonts w:eastAsia="Times New Roman" w:cstheme="minorHAnsi"/>
          <w:kern w:val="0"/>
          <w:sz w:val="24"/>
          <w:szCs w:val="24"/>
          <w:lang w:eastAsia="pl-PL"/>
          <w14:ligatures w14:val="none"/>
        </w:rPr>
      </w:pPr>
      <w:r w:rsidRPr="00C566AC">
        <w:rPr>
          <w:kern w:val="0"/>
          <w:sz w:val="24"/>
          <w:szCs w:val="24"/>
        </w:rPr>
        <w:t xml:space="preserve">Redakcja </w:t>
      </w:r>
      <w:r w:rsidR="00A6640E" w:rsidRPr="00C566AC">
        <w:rPr>
          <w:kern w:val="0"/>
          <w:sz w:val="24"/>
          <w:szCs w:val="24"/>
        </w:rPr>
        <w:t xml:space="preserve">wyraża </w:t>
      </w:r>
      <w:r w:rsidR="00A6640E">
        <w:rPr>
          <w:b/>
          <w:bCs/>
          <w:kern w:val="0"/>
          <w:sz w:val="24"/>
          <w:szCs w:val="24"/>
        </w:rPr>
        <w:t xml:space="preserve">szacunek </w:t>
      </w:r>
      <w:r w:rsidR="00B827C8">
        <w:rPr>
          <w:b/>
          <w:bCs/>
          <w:kern w:val="0"/>
          <w:sz w:val="24"/>
          <w:szCs w:val="24"/>
        </w:rPr>
        <w:t>grupie 130 Parlamentarzystów</w:t>
      </w:r>
      <w:r w:rsidR="00A6640E">
        <w:rPr>
          <w:b/>
          <w:bCs/>
          <w:kern w:val="0"/>
          <w:sz w:val="24"/>
          <w:szCs w:val="24"/>
        </w:rPr>
        <w:t xml:space="preserve">, </w:t>
      </w:r>
      <w:r w:rsidR="00F37C59">
        <w:rPr>
          <w:b/>
          <w:bCs/>
          <w:kern w:val="0"/>
          <w:sz w:val="24"/>
          <w:szCs w:val="24"/>
        </w:rPr>
        <w:t xml:space="preserve">którzy </w:t>
      </w:r>
      <w:r w:rsidR="00A6640E">
        <w:rPr>
          <w:b/>
          <w:bCs/>
          <w:kern w:val="0"/>
          <w:sz w:val="24"/>
          <w:szCs w:val="24"/>
        </w:rPr>
        <w:t xml:space="preserve">dostrzegli problemy użytkowników systemu własności intelektualnej </w:t>
      </w:r>
      <w:r w:rsidR="00F37C59">
        <w:rPr>
          <w:b/>
          <w:bCs/>
          <w:kern w:val="0"/>
          <w:sz w:val="24"/>
          <w:szCs w:val="24"/>
        </w:rPr>
        <w:t xml:space="preserve">w Polsce </w:t>
      </w:r>
      <w:r w:rsidR="00A6640E">
        <w:rPr>
          <w:b/>
          <w:bCs/>
          <w:kern w:val="0"/>
          <w:sz w:val="24"/>
          <w:szCs w:val="24"/>
        </w:rPr>
        <w:t xml:space="preserve">i </w:t>
      </w:r>
      <w:r w:rsidRPr="00613CBC">
        <w:rPr>
          <w:b/>
          <w:bCs/>
          <w:kern w:val="0"/>
          <w:sz w:val="24"/>
          <w:szCs w:val="24"/>
        </w:rPr>
        <w:t>złoż</w:t>
      </w:r>
      <w:r w:rsidR="00A6640E">
        <w:rPr>
          <w:b/>
          <w:bCs/>
          <w:kern w:val="0"/>
          <w:sz w:val="24"/>
          <w:szCs w:val="24"/>
        </w:rPr>
        <w:t>yli</w:t>
      </w:r>
      <w:r w:rsidRPr="00613CBC">
        <w:rPr>
          <w:b/>
          <w:bCs/>
          <w:kern w:val="0"/>
          <w:sz w:val="24"/>
          <w:szCs w:val="24"/>
        </w:rPr>
        <w:t xml:space="preserve"> w 2022 r. interpelacj</w:t>
      </w:r>
      <w:r w:rsidR="00A6640E">
        <w:rPr>
          <w:b/>
          <w:bCs/>
          <w:kern w:val="0"/>
          <w:sz w:val="24"/>
          <w:szCs w:val="24"/>
        </w:rPr>
        <w:t>ę</w:t>
      </w:r>
      <w:r w:rsidRPr="00613CBC">
        <w:rPr>
          <w:b/>
          <w:bCs/>
          <w:kern w:val="0"/>
          <w:sz w:val="24"/>
          <w:szCs w:val="24"/>
        </w:rPr>
        <w:t xml:space="preserve"> poselsk</w:t>
      </w:r>
      <w:r w:rsidR="00A6640E">
        <w:rPr>
          <w:b/>
          <w:bCs/>
          <w:kern w:val="0"/>
          <w:sz w:val="24"/>
          <w:szCs w:val="24"/>
        </w:rPr>
        <w:t>ą</w:t>
      </w:r>
      <w:r w:rsidRPr="00613CBC">
        <w:rPr>
          <w:b/>
          <w:bCs/>
          <w:kern w:val="0"/>
          <w:sz w:val="24"/>
          <w:szCs w:val="24"/>
        </w:rPr>
        <w:t xml:space="preserve"> nr 37332</w:t>
      </w:r>
      <w:r w:rsidR="00C372AA" w:rsidRPr="00F37C59">
        <w:rPr>
          <w:kern w:val="0"/>
          <w:sz w:val="24"/>
          <w:szCs w:val="24"/>
        </w:rPr>
        <w:t>, w której</w:t>
      </w:r>
      <w:r w:rsidR="00A6640E" w:rsidRPr="00F37C59">
        <w:rPr>
          <w:kern w:val="0"/>
          <w:sz w:val="24"/>
          <w:szCs w:val="24"/>
        </w:rPr>
        <w:t xml:space="preserve"> </w:t>
      </w:r>
      <w:r w:rsidR="00F37C59" w:rsidRPr="00F37C59">
        <w:rPr>
          <w:kern w:val="0"/>
          <w:sz w:val="24"/>
          <w:szCs w:val="24"/>
        </w:rPr>
        <w:t>w</w:t>
      </w:r>
      <w:r w:rsidR="00A6640E" w:rsidRPr="00BB6DF4">
        <w:rPr>
          <w:rFonts w:eastAsia="Times New Roman" w:cstheme="minorHAnsi"/>
          <w:kern w:val="0"/>
          <w:sz w:val="24"/>
          <w:szCs w:val="24"/>
          <w:lang w:eastAsia="pl-PL"/>
          <w14:ligatures w14:val="none"/>
        </w:rPr>
        <w:t>skazano nieprawidłowości w projekcie</w:t>
      </w:r>
      <w:r w:rsidR="00F37C59">
        <w:rPr>
          <w:rFonts w:eastAsia="Times New Roman" w:cstheme="minorHAnsi"/>
          <w:kern w:val="0"/>
          <w:sz w:val="24"/>
          <w:szCs w:val="24"/>
          <w:lang w:eastAsia="pl-PL"/>
          <w14:ligatures w14:val="none"/>
        </w:rPr>
        <w:t xml:space="preserve"> UD263:</w:t>
      </w:r>
    </w:p>
    <w:p w14:paraId="48EEF29E" w14:textId="3724ED18" w:rsidR="00F37C59" w:rsidRPr="00F37C59" w:rsidRDefault="00A6640E" w:rsidP="00355D81">
      <w:pPr>
        <w:pStyle w:val="Akapitzlist"/>
        <w:numPr>
          <w:ilvl w:val="0"/>
          <w:numId w:val="56"/>
        </w:numPr>
        <w:ind w:left="567" w:hanging="425"/>
        <w:jc w:val="both"/>
        <w:rPr>
          <w:rFonts w:eastAsia="Times New Roman" w:cstheme="minorHAnsi"/>
          <w:sz w:val="24"/>
          <w:szCs w:val="24"/>
          <w:lang w:eastAsia="pl-PL"/>
        </w:rPr>
      </w:pPr>
      <w:r w:rsidRPr="00F37C59">
        <w:rPr>
          <w:rFonts w:eastAsia="Times New Roman" w:cstheme="minorHAnsi"/>
          <w:b/>
          <w:bCs/>
          <w:sz w:val="24"/>
          <w:szCs w:val="24"/>
          <w:lang w:eastAsia="pl-PL"/>
        </w:rPr>
        <w:t>błędną implementację dyrektyw</w:t>
      </w:r>
      <w:r w:rsidRPr="00F37C59">
        <w:rPr>
          <w:rFonts w:eastAsia="Times New Roman" w:cstheme="minorHAnsi"/>
          <w:sz w:val="24"/>
          <w:szCs w:val="24"/>
          <w:lang w:eastAsia="pl-PL"/>
        </w:rPr>
        <w:t xml:space="preserve"> unijnych, </w:t>
      </w:r>
    </w:p>
    <w:p w14:paraId="3BCFC08E" w14:textId="1EA89513" w:rsidR="00F37C59" w:rsidRPr="00F37C59" w:rsidRDefault="00A6640E" w:rsidP="00355D81">
      <w:pPr>
        <w:pStyle w:val="Akapitzlist"/>
        <w:numPr>
          <w:ilvl w:val="0"/>
          <w:numId w:val="56"/>
        </w:numPr>
        <w:ind w:left="567" w:hanging="425"/>
        <w:jc w:val="both"/>
        <w:rPr>
          <w:rFonts w:eastAsia="Times New Roman" w:cstheme="minorHAnsi"/>
          <w:sz w:val="24"/>
          <w:szCs w:val="24"/>
          <w:lang w:eastAsia="pl-PL"/>
        </w:rPr>
      </w:pPr>
      <w:r w:rsidRPr="00F37C59">
        <w:rPr>
          <w:rFonts w:eastAsia="Times New Roman" w:cstheme="minorHAnsi"/>
          <w:b/>
          <w:bCs/>
          <w:sz w:val="24"/>
          <w:szCs w:val="24"/>
          <w:lang w:eastAsia="pl-PL"/>
        </w:rPr>
        <w:t>sprzeczność z obowiązującymi, polskimi regulacjami</w:t>
      </w:r>
      <w:r w:rsidRPr="00F37C59">
        <w:rPr>
          <w:rFonts w:eastAsia="Times New Roman" w:cstheme="minorHAnsi"/>
          <w:sz w:val="24"/>
          <w:szCs w:val="24"/>
          <w:lang w:eastAsia="pl-PL"/>
        </w:rPr>
        <w:t xml:space="preserve"> prawnymi, </w:t>
      </w:r>
    </w:p>
    <w:p w14:paraId="655FFADE" w14:textId="459F3887" w:rsidR="00A6640E" w:rsidRPr="00F37C59" w:rsidRDefault="00A6640E" w:rsidP="00355D81">
      <w:pPr>
        <w:pStyle w:val="Akapitzlist"/>
        <w:numPr>
          <w:ilvl w:val="0"/>
          <w:numId w:val="56"/>
        </w:numPr>
        <w:ind w:left="567" w:hanging="425"/>
        <w:jc w:val="both"/>
        <w:rPr>
          <w:rFonts w:eastAsiaTheme="minorHAnsi" w:cstheme="minorBidi"/>
          <w:b/>
          <w:bCs/>
          <w:sz w:val="24"/>
          <w:szCs w:val="24"/>
          <w14:ligatures w14:val="standardContextual"/>
        </w:rPr>
      </w:pPr>
      <w:r w:rsidRPr="00F37C59">
        <w:rPr>
          <w:rFonts w:eastAsia="Times New Roman" w:cstheme="minorHAnsi"/>
          <w:b/>
          <w:bCs/>
          <w:sz w:val="24"/>
          <w:szCs w:val="24"/>
          <w:lang w:eastAsia="pl-PL"/>
        </w:rPr>
        <w:t>komplikacj</w:t>
      </w:r>
      <w:r w:rsidR="00D86D1D">
        <w:rPr>
          <w:rFonts w:eastAsia="Times New Roman" w:cstheme="minorHAnsi"/>
          <w:b/>
          <w:bCs/>
          <w:sz w:val="24"/>
          <w:szCs w:val="24"/>
          <w:lang w:eastAsia="pl-PL"/>
        </w:rPr>
        <w:t>e</w:t>
      </w:r>
      <w:r w:rsidRPr="00F37C59">
        <w:rPr>
          <w:rFonts w:eastAsia="Times New Roman" w:cstheme="minorHAnsi"/>
          <w:b/>
          <w:bCs/>
          <w:sz w:val="24"/>
          <w:szCs w:val="24"/>
          <w:lang w:eastAsia="pl-PL"/>
        </w:rPr>
        <w:t xml:space="preserve"> procedur</w:t>
      </w:r>
      <w:r w:rsidRPr="00F37C59">
        <w:rPr>
          <w:rFonts w:eastAsia="Times New Roman" w:cstheme="minorHAnsi"/>
          <w:sz w:val="24"/>
          <w:szCs w:val="24"/>
          <w:lang w:eastAsia="pl-PL"/>
        </w:rPr>
        <w:t xml:space="preserve"> oraz </w:t>
      </w:r>
      <w:r w:rsidRPr="00F37C59">
        <w:rPr>
          <w:rFonts w:eastAsia="Times New Roman" w:cstheme="minorHAnsi"/>
          <w:b/>
          <w:bCs/>
          <w:sz w:val="24"/>
          <w:szCs w:val="24"/>
          <w:lang w:eastAsia="pl-PL"/>
        </w:rPr>
        <w:t>inne liczne powody</w:t>
      </w:r>
      <w:r w:rsidRPr="00F37C59">
        <w:rPr>
          <w:rFonts w:eastAsia="Times New Roman" w:cstheme="minorHAnsi"/>
          <w:sz w:val="24"/>
          <w:szCs w:val="24"/>
          <w:lang w:eastAsia="pl-PL"/>
        </w:rPr>
        <w:t>, dla których projekt ten nie powinien być procedowany.</w:t>
      </w:r>
    </w:p>
    <w:p w14:paraId="2C7B96F4" w14:textId="4CBA0131" w:rsidR="0051049D" w:rsidRDefault="00A6640E" w:rsidP="0051049D">
      <w:pPr>
        <w:spacing w:after="0"/>
        <w:jc w:val="both"/>
        <w:rPr>
          <w:kern w:val="0"/>
          <w:sz w:val="24"/>
          <w:szCs w:val="24"/>
        </w:rPr>
      </w:pPr>
      <w:r>
        <w:rPr>
          <w:b/>
          <w:bCs/>
          <w:kern w:val="0"/>
          <w:sz w:val="24"/>
          <w:szCs w:val="24"/>
        </w:rPr>
        <w:t>P</w:t>
      </w:r>
      <w:r w:rsidR="0051049D" w:rsidRPr="00613CBC">
        <w:rPr>
          <w:b/>
          <w:bCs/>
          <w:kern w:val="0"/>
          <w:sz w:val="24"/>
          <w:szCs w:val="24"/>
        </w:rPr>
        <w:t>odjęty</w:t>
      </w:r>
      <w:r w:rsidR="0051049D">
        <w:rPr>
          <w:kern w:val="0"/>
          <w:sz w:val="24"/>
          <w:szCs w:val="24"/>
        </w:rPr>
        <w:t xml:space="preserve"> wówczas </w:t>
      </w:r>
      <w:r w:rsidR="0051049D" w:rsidRPr="00613CBC">
        <w:rPr>
          <w:b/>
          <w:bCs/>
          <w:kern w:val="0"/>
          <w:sz w:val="24"/>
          <w:szCs w:val="24"/>
        </w:rPr>
        <w:t>trud</w:t>
      </w:r>
      <w:r>
        <w:rPr>
          <w:kern w:val="0"/>
          <w:sz w:val="24"/>
          <w:szCs w:val="24"/>
        </w:rPr>
        <w:t xml:space="preserve"> </w:t>
      </w:r>
      <w:r w:rsidR="0051049D" w:rsidRPr="00613CBC">
        <w:rPr>
          <w:kern w:val="0"/>
          <w:sz w:val="24"/>
          <w:szCs w:val="24"/>
        </w:rPr>
        <w:t>doprowadził w 2024 r. do zamknięcia prac</w:t>
      </w:r>
      <w:r w:rsidR="0051049D">
        <w:rPr>
          <w:kern w:val="0"/>
          <w:sz w:val="24"/>
          <w:szCs w:val="24"/>
        </w:rPr>
        <w:t xml:space="preserve"> nad zawstydzająco słabym projektem nowej ustawy Prawo własności przemysłowej UD263 i </w:t>
      </w:r>
      <w:r w:rsidR="0051049D" w:rsidRPr="00613CBC">
        <w:rPr>
          <w:b/>
          <w:bCs/>
          <w:kern w:val="0"/>
          <w:sz w:val="24"/>
          <w:szCs w:val="24"/>
        </w:rPr>
        <w:t>ocalił nas przed chaosem</w:t>
      </w:r>
      <w:r w:rsidR="0051049D" w:rsidRPr="000762A2">
        <w:rPr>
          <w:kern w:val="0"/>
          <w:sz w:val="24"/>
          <w:szCs w:val="24"/>
        </w:rPr>
        <w:t xml:space="preserve"> </w:t>
      </w:r>
      <w:r w:rsidR="0051049D" w:rsidRPr="00AF4CD7">
        <w:rPr>
          <w:b/>
          <w:bCs/>
          <w:kern w:val="0"/>
          <w:sz w:val="24"/>
          <w:szCs w:val="24"/>
        </w:rPr>
        <w:t>w prawie IP</w:t>
      </w:r>
      <w:r w:rsidR="0051049D" w:rsidRPr="000762A2">
        <w:rPr>
          <w:kern w:val="0"/>
          <w:sz w:val="24"/>
          <w:szCs w:val="24"/>
        </w:rPr>
        <w:t xml:space="preserve"> (</w:t>
      </w:r>
      <w:r w:rsidR="0051049D" w:rsidRPr="00F37C59">
        <w:rPr>
          <w:i/>
          <w:iCs/>
          <w:kern w:val="0"/>
          <w:sz w:val="24"/>
          <w:szCs w:val="24"/>
        </w:rPr>
        <w:t>intellectual property</w:t>
      </w:r>
      <w:r w:rsidR="00F37C59">
        <w:rPr>
          <w:kern w:val="0"/>
          <w:sz w:val="24"/>
          <w:szCs w:val="24"/>
        </w:rPr>
        <w:t xml:space="preserve"> </w:t>
      </w:r>
      <w:r w:rsidR="0051049D" w:rsidRPr="000762A2">
        <w:rPr>
          <w:kern w:val="0"/>
          <w:sz w:val="24"/>
          <w:szCs w:val="24"/>
        </w:rPr>
        <w:t>- własności intelektualnej) w Polsce.</w:t>
      </w:r>
    </w:p>
    <w:p w14:paraId="38076DD7" w14:textId="1964D831" w:rsidR="00D102CD" w:rsidRDefault="00D102CD" w:rsidP="00D102CD">
      <w:pPr>
        <w:spacing w:after="0"/>
        <w:rPr>
          <w:sz w:val="24"/>
          <w:szCs w:val="24"/>
        </w:rPr>
      </w:pPr>
      <w:r>
        <w:rPr>
          <w:sz w:val="24"/>
          <w:szCs w:val="24"/>
        </w:rPr>
        <w:t xml:space="preserve">Jak się wydaje, w jej wyniku </w:t>
      </w:r>
      <w:r w:rsidRPr="007D11E5">
        <w:rPr>
          <w:b/>
          <w:bCs/>
          <w:sz w:val="24"/>
          <w:szCs w:val="24"/>
        </w:rPr>
        <w:t>pierwsza refleksja inicjatorów</w:t>
      </w:r>
      <w:r>
        <w:rPr>
          <w:sz w:val="24"/>
          <w:szCs w:val="24"/>
        </w:rPr>
        <w:t xml:space="preserve"> </w:t>
      </w:r>
      <w:r w:rsidRPr="007D11E5">
        <w:rPr>
          <w:b/>
          <w:bCs/>
          <w:sz w:val="24"/>
          <w:szCs w:val="24"/>
        </w:rPr>
        <w:t>projektu UD263</w:t>
      </w:r>
      <w:r>
        <w:rPr>
          <w:sz w:val="24"/>
          <w:szCs w:val="24"/>
        </w:rPr>
        <w:t xml:space="preserve"> sprowadziła się do rozpoczęcia, czasochłonnych i kosztownych procesów tworzenia projektów aktów wykonawczych. </w:t>
      </w:r>
      <w:r w:rsidRPr="001F6E7F">
        <w:rPr>
          <w:sz w:val="24"/>
          <w:szCs w:val="24"/>
        </w:rPr>
        <w:t>Ostatecznie</w:t>
      </w:r>
      <w:r>
        <w:rPr>
          <w:sz w:val="24"/>
          <w:szCs w:val="24"/>
        </w:rPr>
        <w:t xml:space="preserve"> jednak, </w:t>
      </w:r>
      <w:r w:rsidRPr="007D11E5">
        <w:rPr>
          <w:b/>
          <w:bCs/>
          <w:sz w:val="24"/>
          <w:szCs w:val="24"/>
        </w:rPr>
        <w:t>dzień 15 października 2023 r. przesądził o losach terminacji</w:t>
      </w:r>
      <w:r>
        <w:rPr>
          <w:sz w:val="24"/>
          <w:szCs w:val="24"/>
        </w:rPr>
        <w:t xml:space="preserve"> </w:t>
      </w:r>
      <w:r w:rsidRPr="007D11E5">
        <w:rPr>
          <w:b/>
          <w:bCs/>
          <w:sz w:val="24"/>
          <w:szCs w:val="24"/>
        </w:rPr>
        <w:t>kompromitującego projektu UD263</w:t>
      </w:r>
      <w:r>
        <w:rPr>
          <w:sz w:val="24"/>
          <w:szCs w:val="24"/>
        </w:rPr>
        <w:t>.</w:t>
      </w:r>
    </w:p>
    <w:p w14:paraId="50A2D695" w14:textId="77777777" w:rsidR="001F6E7F" w:rsidRPr="001F6E7F" w:rsidRDefault="001F6E7F" w:rsidP="00D102CD">
      <w:pPr>
        <w:spacing w:after="0"/>
        <w:rPr>
          <w:sz w:val="10"/>
          <w:szCs w:val="10"/>
        </w:rPr>
      </w:pPr>
    </w:p>
    <w:p w14:paraId="5387646C" w14:textId="58B3BE30" w:rsidR="00772D6F" w:rsidRPr="00017FFD" w:rsidRDefault="00772D6F" w:rsidP="00772D6F">
      <w:pPr>
        <w:spacing w:after="0"/>
        <w:jc w:val="both"/>
        <w:rPr>
          <w:b/>
          <w:bCs/>
          <w:color w:val="2E74B5" w:themeColor="accent5" w:themeShade="BF"/>
          <w:kern w:val="0"/>
          <w:sz w:val="24"/>
          <w:szCs w:val="24"/>
          <w:lang w:val="en-US"/>
        </w:rPr>
      </w:pPr>
      <w:bookmarkStart w:id="26" w:name="_Hlk169207464"/>
      <w:bookmarkStart w:id="27" w:name="_Hlk169198077"/>
      <w:bookmarkEnd w:id="24"/>
      <w:r w:rsidRPr="00017FFD">
        <w:rPr>
          <w:b/>
          <w:bCs/>
          <w:color w:val="2E74B5" w:themeColor="accent5" w:themeShade="BF"/>
          <w:kern w:val="0"/>
          <w:sz w:val="24"/>
          <w:szCs w:val="24"/>
          <w:lang w:val="en-US"/>
        </w:rPr>
        <w:t xml:space="preserve">Editor's note: </w:t>
      </w:r>
    </w:p>
    <w:bookmarkEnd w:id="26"/>
    <w:p w14:paraId="764BF7BE" w14:textId="67EA79B7" w:rsidR="00772D6F" w:rsidRPr="00017FFD" w:rsidRDefault="00772D6F" w:rsidP="00772D6F">
      <w:pPr>
        <w:spacing w:after="0"/>
        <w:jc w:val="both"/>
        <w:rPr>
          <w:color w:val="2E74B5" w:themeColor="accent5" w:themeShade="BF"/>
          <w:kern w:val="0"/>
          <w:sz w:val="24"/>
          <w:szCs w:val="24"/>
          <w:lang w:val="en-US"/>
        </w:rPr>
      </w:pPr>
      <w:r w:rsidRPr="00017FFD">
        <w:rPr>
          <w:b/>
          <w:bCs/>
          <w:color w:val="2E74B5" w:themeColor="accent5" w:themeShade="BF"/>
          <w:kern w:val="0"/>
          <w:sz w:val="24"/>
          <w:szCs w:val="24"/>
          <w:lang w:val="en-US"/>
        </w:rPr>
        <w:t>The editorial team expresses respect to the</w:t>
      </w:r>
      <w:r w:rsidR="00734FCC" w:rsidRPr="00017FFD">
        <w:rPr>
          <w:b/>
          <w:bCs/>
          <w:color w:val="2E74B5" w:themeColor="accent5" w:themeShade="BF"/>
          <w:kern w:val="0"/>
          <w:sz w:val="24"/>
          <w:szCs w:val="24"/>
          <w:lang w:val="en-US"/>
        </w:rPr>
        <w:t xml:space="preserve"> 130</w:t>
      </w:r>
      <w:r w:rsidRPr="00017FFD">
        <w:rPr>
          <w:color w:val="2E74B5" w:themeColor="accent5" w:themeShade="BF"/>
          <w:kern w:val="0"/>
          <w:sz w:val="24"/>
          <w:szCs w:val="24"/>
          <w:lang w:val="en-US"/>
        </w:rPr>
        <w:t xml:space="preserve"> </w:t>
      </w:r>
      <w:r w:rsidRPr="00017FFD">
        <w:rPr>
          <w:b/>
          <w:bCs/>
          <w:color w:val="2E74B5" w:themeColor="accent5" w:themeShade="BF"/>
          <w:kern w:val="0"/>
          <w:sz w:val="24"/>
          <w:szCs w:val="24"/>
          <w:lang w:val="en-US"/>
        </w:rPr>
        <w:t>Parliamentarians</w:t>
      </w:r>
      <w:r w:rsidRPr="00017FFD">
        <w:rPr>
          <w:color w:val="2E74B5" w:themeColor="accent5" w:themeShade="BF"/>
          <w:kern w:val="0"/>
          <w:sz w:val="24"/>
          <w:szCs w:val="24"/>
          <w:lang w:val="en-US"/>
        </w:rPr>
        <w:t xml:space="preserve"> </w:t>
      </w:r>
      <w:r w:rsidRPr="00017FFD">
        <w:rPr>
          <w:b/>
          <w:bCs/>
          <w:color w:val="2E74B5" w:themeColor="accent5" w:themeShade="BF"/>
          <w:kern w:val="0"/>
          <w:sz w:val="24"/>
          <w:szCs w:val="24"/>
          <w:lang w:val="en-US"/>
        </w:rPr>
        <w:t>who recognized the issues faced by users of the intellectual property system in Poland and submitted</w:t>
      </w:r>
      <w:r w:rsidRPr="00017FFD">
        <w:rPr>
          <w:color w:val="2E74B5" w:themeColor="accent5" w:themeShade="BF"/>
          <w:kern w:val="0"/>
          <w:sz w:val="24"/>
          <w:szCs w:val="24"/>
          <w:lang w:val="en-US"/>
        </w:rPr>
        <w:t xml:space="preserve"> </w:t>
      </w:r>
      <w:r w:rsidRPr="00017FFD">
        <w:rPr>
          <w:b/>
          <w:bCs/>
          <w:color w:val="2E74B5" w:themeColor="accent5" w:themeShade="BF"/>
          <w:kern w:val="0"/>
          <w:sz w:val="24"/>
          <w:szCs w:val="24"/>
          <w:lang w:val="en-US"/>
        </w:rPr>
        <w:t>parliamentary interpellation no. 37332</w:t>
      </w:r>
      <w:r w:rsidRPr="00017FFD">
        <w:rPr>
          <w:color w:val="2E74B5" w:themeColor="accent5" w:themeShade="BF"/>
          <w:kern w:val="0"/>
          <w:sz w:val="24"/>
          <w:szCs w:val="24"/>
          <w:lang w:val="en-US"/>
        </w:rPr>
        <w:t xml:space="preserve"> in </w:t>
      </w:r>
      <w:r w:rsidRPr="00017FFD">
        <w:rPr>
          <w:b/>
          <w:bCs/>
          <w:color w:val="2E74B5" w:themeColor="accent5" w:themeShade="BF"/>
          <w:kern w:val="0"/>
          <w:sz w:val="24"/>
          <w:szCs w:val="24"/>
          <w:lang w:val="en-US"/>
        </w:rPr>
        <w:t>2022</w:t>
      </w:r>
      <w:r w:rsidRPr="00017FFD">
        <w:rPr>
          <w:color w:val="2E74B5" w:themeColor="accent5" w:themeShade="BF"/>
          <w:kern w:val="0"/>
          <w:sz w:val="24"/>
          <w:szCs w:val="24"/>
          <w:lang w:val="en-US"/>
        </w:rPr>
        <w:t>, highlighting the following irregularities in the UD263 project:</w:t>
      </w:r>
    </w:p>
    <w:p w14:paraId="5B6C3DF7" w14:textId="2025F6A0" w:rsidR="00772D6F" w:rsidRPr="00017FFD" w:rsidRDefault="00AD024F" w:rsidP="00355D81">
      <w:pPr>
        <w:pStyle w:val="Akapitzlist"/>
        <w:numPr>
          <w:ilvl w:val="0"/>
          <w:numId w:val="57"/>
        </w:numPr>
        <w:tabs>
          <w:tab w:val="left" w:pos="567"/>
        </w:tabs>
        <w:ind w:left="567" w:hanging="425"/>
        <w:jc w:val="both"/>
        <w:rPr>
          <w:color w:val="2E74B5" w:themeColor="accent5" w:themeShade="BF"/>
          <w:sz w:val="24"/>
          <w:szCs w:val="24"/>
          <w:lang w:val="en-US"/>
        </w:rPr>
      </w:pPr>
      <w:r w:rsidRPr="00017FFD">
        <w:rPr>
          <w:b/>
          <w:bCs/>
          <w:color w:val="2E74B5" w:themeColor="accent5" w:themeShade="BF"/>
          <w:sz w:val="24"/>
          <w:szCs w:val="24"/>
          <w:lang w:val="en-US"/>
        </w:rPr>
        <w:t>i</w:t>
      </w:r>
      <w:r w:rsidR="00772D6F" w:rsidRPr="00017FFD">
        <w:rPr>
          <w:b/>
          <w:bCs/>
          <w:color w:val="2E74B5" w:themeColor="accent5" w:themeShade="BF"/>
          <w:sz w:val="24"/>
          <w:szCs w:val="24"/>
          <w:lang w:val="en-US"/>
        </w:rPr>
        <w:t>ncorrect implementation of EU directives</w:t>
      </w:r>
      <w:r w:rsidR="00772D6F" w:rsidRPr="00017FFD">
        <w:rPr>
          <w:color w:val="2E74B5" w:themeColor="accent5" w:themeShade="BF"/>
          <w:sz w:val="24"/>
          <w:szCs w:val="24"/>
          <w:lang w:val="en-US"/>
        </w:rPr>
        <w:t>,</w:t>
      </w:r>
    </w:p>
    <w:p w14:paraId="62921601" w14:textId="388539A0" w:rsidR="00772D6F" w:rsidRPr="00017FFD" w:rsidRDefault="00AD024F" w:rsidP="00355D81">
      <w:pPr>
        <w:pStyle w:val="Akapitzlist"/>
        <w:numPr>
          <w:ilvl w:val="0"/>
          <w:numId w:val="57"/>
        </w:numPr>
        <w:tabs>
          <w:tab w:val="left" w:pos="567"/>
        </w:tabs>
        <w:ind w:left="567" w:hanging="425"/>
        <w:jc w:val="both"/>
        <w:rPr>
          <w:color w:val="2E74B5" w:themeColor="accent5" w:themeShade="BF"/>
          <w:sz w:val="24"/>
          <w:szCs w:val="24"/>
          <w:lang w:val="en-US"/>
        </w:rPr>
      </w:pPr>
      <w:r w:rsidRPr="00017FFD">
        <w:rPr>
          <w:b/>
          <w:bCs/>
          <w:color w:val="2E74B5" w:themeColor="accent5" w:themeShade="BF"/>
          <w:sz w:val="24"/>
          <w:szCs w:val="24"/>
          <w:lang w:val="en-US"/>
        </w:rPr>
        <w:t>c</w:t>
      </w:r>
      <w:r w:rsidR="00772D6F" w:rsidRPr="00017FFD">
        <w:rPr>
          <w:b/>
          <w:bCs/>
          <w:color w:val="2E74B5" w:themeColor="accent5" w:themeShade="BF"/>
          <w:sz w:val="24"/>
          <w:szCs w:val="24"/>
          <w:lang w:val="en-US"/>
        </w:rPr>
        <w:t>ontradiction with existing Polish</w:t>
      </w:r>
      <w:r w:rsidR="00772D6F" w:rsidRPr="00017FFD">
        <w:rPr>
          <w:color w:val="2E74B5" w:themeColor="accent5" w:themeShade="BF"/>
          <w:sz w:val="24"/>
          <w:szCs w:val="24"/>
          <w:lang w:val="en-US"/>
        </w:rPr>
        <w:t xml:space="preserve"> legal </w:t>
      </w:r>
      <w:r w:rsidR="00772D6F" w:rsidRPr="00017FFD">
        <w:rPr>
          <w:b/>
          <w:bCs/>
          <w:color w:val="2E74B5" w:themeColor="accent5" w:themeShade="BF"/>
          <w:sz w:val="24"/>
          <w:szCs w:val="24"/>
          <w:lang w:val="en-US"/>
        </w:rPr>
        <w:t>regulations</w:t>
      </w:r>
      <w:r w:rsidR="00772D6F" w:rsidRPr="00017FFD">
        <w:rPr>
          <w:color w:val="2E74B5" w:themeColor="accent5" w:themeShade="BF"/>
          <w:sz w:val="24"/>
          <w:szCs w:val="24"/>
          <w:lang w:val="en-US"/>
        </w:rPr>
        <w:t>,</w:t>
      </w:r>
    </w:p>
    <w:p w14:paraId="19630613" w14:textId="10775A6A" w:rsidR="00772D6F" w:rsidRPr="00017FFD" w:rsidRDefault="00AD024F" w:rsidP="00355D81">
      <w:pPr>
        <w:pStyle w:val="Akapitzlist"/>
        <w:numPr>
          <w:ilvl w:val="0"/>
          <w:numId w:val="57"/>
        </w:numPr>
        <w:tabs>
          <w:tab w:val="left" w:pos="567"/>
        </w:tabs>
        <w:ind w:left="567" w:hanging="425"/>
        <w:jc w:val="both"/>
        <w:rPr>
          <w:color w:val="2E74B5" w:themeColor="accent5" w:themeShade="BF"/>
          <w:sz w:val="24"/>
          <w:szCs w:val="24"/>
          <w:lang w:val="en-US"/>
        </w:rPr>
      </w:pPr>
      <w:r w:rsidRPr="00017FFD">
        <w:rPr>
          <w:b/>
          <w:bCs/>
          <w:color w:val="2E74B5" w:themeColor="accent5" w:themeShade="BF"/>
          <w:sz w:val="24"/>
          <w:szCs w:val="24"/>
          <w:lang w:val="en-US"/>
        </w:rPr>
        <w:t>c</w:t>
      </w:r>
      <w:r w:rsidR="00772D6F" w:rsidRPr="00017FFD">
        <w:rPr>
          <w:b/>
          <w:bCs/>
          <w:color w:val="2E74B5" w:themeColor="accent5" w:themeShade="BF"/>
          <w:sz w:val="24"/>
          <w:szCs w:val="24"/>
          <w:lang w:val="en-US"/>
        </w:rPr>
        <w:t>omplication of procedures</w:t>
      </w:r>
      <w:r w:rsidR="00772D6F" w:rsidRPr="00017FFD">
        <w:rPr>
          <w:color w:val="2E74B5" w:themeColor="accent5" w:themeShade="BF"/>
          <w:sz w:val="24"/>
          <w:szCs w:val="24"/>
          <w:lang w:val="en-US"/>
        </w:rPr>
        <w:t xml:space="preserve"> and </w:t>
      </w:r>
      <w:r w:rsidR="00772D6F" w:rsidRPr="00017FFD">
        <w:rPr>
          <w:b/>
          <w:bCs/>
          <w:color w:val="2E74B5" w:themeColor="accent5" w:themeShade="BF"/>
          <w:sz w:val="24"/>
          <w:szCs w:val="24"/>
          <w:lang w:val="en-US"/>
        </w:rPr>
        <w:t>numerous other reasons</w:t>
      </w:r>
      <w:r w:rsidR="00772D6F" w:rsidRPr="00017FFD">
        <w:rPr>
          <w:color w:val="2E74B5" w:themeColor="accent5" w:themeShade="BF"/>
          <w:sz w:val="24"/>
          <w:szCs w:val="24"/>
          <w:lang w:val="en-US"/>
        </w:rPr>
        <w:t xml:space="preserve"> why this project should not be proceeded with.</w:t>
      </w:r>
    </w:p>
    <w:p w14:paraId="41E7F639" w14:textId="77777777" w:rsidR="00772D6F" w:rsidRPr="00017FFD" w:rsidRDefault="00772D6F" w:rsidP="00772D6F">
      <w:pPr>
        <w:spacing w:after="0"/>
        <w:jc w:val="both"/>
        <w:rPr>
          <w:color w:val="2E74B5" w:themeColor="accent5" w:themeShade="BF"/>
          <w:kern w:val="0"/>
          <w:sz w:val="24"/>
          <w:szCs w:val="24"/>
          <w:lang w:val="en-US"/>
        </w:rPr>
      </w:pPr>
      <w:r w:rsidRPr="00017FFD">
        <w:rPr>
          <w:b/>
          <w:bCs/>
          <w:color w:val="2E74B5" w:themeColor="accent5" w:themeShade="BF"/>
          <w:kern w:val="0"/>
          <w:sz w:val="24"/>
          <w:szCs w:val="24"/>
          <w:lang w:val="en-US"/>
        </w:rPr>
        <w:t>The efforts made at that time</w:t>
      </w:r>
      <w:r w:rsidRPr="00017FFD">
        <w:rPr>
          <w:color w:val="2E74B5" w:themeColor="accent5" w:themeShade="BF"/>
          <w:kern w:val="0"/>
          <w:sz w:val="24"/>
          <w:szCs w:val="24"/>
          <w:lang w:val="en-US"/>
        </w:rPr>
        <w:t xml:space="preserve"> led to the termination of work on the embarrassingly weak draft of the new Industrial Property Law UD263 in 2024, saving us from chaos in IP law in Poland.</w:t>
      </w:r>
    </w:p>
    <w:p w14:paraId="607AD05D" w14:textId="5FAF11A7" w:rsidR="00772D6F" w:rsidRPr="00017FFD" w:rsidRDefault="00772D6F" w:rsidP="00772D6F">
      <w:pPr>
        <w:spacing w:after="0"/>
        <w:jc w:val="both"/>
        <w:rPr>
          <w:color w:val="2E74B5" w:themeColor="accent5" w:themeShade="BF"/>
          <w:kern w:val="0"/>
          <w:sz w:val="24"/>
          <w:szCs w:val="24"/>
          <w:lang w:val="en-US"/>
        </w:rPr>
      </w:pPr>
      <w:r w:rsidRPr="00017FFD">
        <w:rPr>
          <w:color w:val="2E74B5" w:themeColor="accent5" w:themeShade="BF"/>
          <w:kern w:val="0"/>
          <w:sz w:val="24"/>
          <w:szCs w:val="24"/>
          <w:lang w:val="en-US"/>
        </w:rPr>
        <w:t xml:space="preserve">It appears that the initial reflection of the initiators of the UD263 project resulted in the commencement of time-consuming and costly processes of drafting executive acts. Ultimately, however, </w:t>
      </w:r>
      <w:r w:rsidR="00D86D1D" w:rsidRPr="00017FFD">
        <w:rPr>
          <w:color w:val="2E74B5" w:themeColor="accent5" w:themeShade="BF"/>
          <w:kern w:val="0"/>
          <w:sz w:val="24"/>
          <w:szCs w:val="24"/>
          <w:lang w:val="en-US"/>
        </w:rPr>
        <w:t xml:space="preserve">on </w:t>
      </w:r>
      <w:r w:rsidRPr="00017FFD">
        <w:rPr>
          <w:b/>
          <w:bCs/>
          <w:color w:val="2E74B5" w:themeColor="accent5" w:themeShade="BF"/>
          <w:kern w:val="0"/>
          <w:sz w:val="24"/>
          <w:szCs w:val="24"/>
          <w:lang w:val="en-US"/>
        </w:rPr>
        <w:t>October 15, 2023</w:t>
      </w:r>
      <w:r w:rsidRPr="00017FFD">
        <w:rPr>
          <w:color w:val="2E74B5" w:themeColor="accent5" w:themeShade="BF"/>
          <w:kern w:val="0"/>
          <w:sz w:val="24"/>
          <w:szCs w:val="24"/>
          <w:lang w:val="en-US"/>
        </w:rPr>
        <w:t xml:space="preserve">, the </w:t>
      </w:r>
      <w:r w:rsidRPr="00017FFD">
        <w:rPr>
          <w:b/>
          <w:bCs/>
          <w:color w:val="2E74B5" w:themeColor="accent5" w:themeShade="BF"/>
          <w:kern w:val="0"/>
          <w:sz w:val="24"/>
          <w:szCs w:val="24"/>
          <w:lang w:val="en-US"/>
        </w:rPr>
        <w:t>compromised UD263 project was terminated</w:t>
      </w:r>
      <w:r w:rsidRPr="00017FFD">
        <w:rPr>
          <w:color w:val="2E74B5" w:themeColor="accent5" w:themeShade="BF"/>
          <w:kern w:val="0"/>
          <w:sz w:val="24"/>
          <w:szCs w:val="24"/>
          <w:lang w:val="en-US"/>
        </w:rPr>
        <w:t>.</w:t>
      </w:r>
    </w:p>
    <w:bookmarkEnd w:id="25"/>
    <w:bookmarkEnd w:id="27"/>
    <w:p w14:paraId="6821502B" w14:textId="77777777" w:rsidR="00C566AC" w:rsidRPr="00017FFD" w:rsidRDefault="00C566AC" w:rsidP="00750F8F">
      <w:pPr>
        <w:spacing w:after="0"/>
        <w:rPr>
          <w:b/>
          <w:bCs/>
          <w:color w:val="2E74B5" w:themeColor="accent5" w:themeShade="BF"/>
          <w:kern w:val="0"/>
          <w:sz w:val="10"/>
          <w:szCs w:val="10"/>
          <w:lang w:val="en-US"/>
        </w:rPr>
      </w:pPr>
    </w:p>
    <w:p w14:paraId="0A1FCBA0" w14:textId="77777777" w:rsidR="000058B7" w:rsidRDefault="00293074" w:rsidP="00750F8F">
      <w:pPr>
        <w:spacing w:after="0"/>
        <w:rPr>
          <w:sz w:val="24"/>
          <w:szCs w:val="24"/>
        </w:rPr>
      </w:pPr>
      <w:r>
        <w:rPr>
          <w:b/>
          <w:bCs/>
          <w:kern w:val="0"/>
          <w:sz w:val="24"/>
          <w:szCs w:val="24"/>
        </w:rPr>
        <w:t>P</w:t>
      </w:r>
      <w:r w:rsidRPr="00BB6DF4">
        <w:rPr>
          <w:b/>
          <w:bCs/>
          <w:kern w:val="0"/>
          <w:sz w:val="24"/>
          <w:szCs w:val="24"/>
        </w:rPr>
        <w:t>ojęcia kluczowe</w:t>
      </w:r>
      <w:r w:rsidRPr="00BB6DF4">
        <w:rPr>
          <w:kern w:val="0"/>
          <w:sz w:val="24"/>
          <w:szCs w:val="24"/>
        </w:rPr>
        <w:t>:</w:t>
      </w:r>
      <w:r w:rsidR="00075650" w:rsidRPr="00BB6DF4">
        <w:rPr>
          <w:b/>
          <w:bCs/>
          <w:sz w:val="24"/>
          <w:szCs w:val="24"/>
        </w:rPr>
        <w:t xml:space="preserve"> </w:t>
      </w:r>
      <w:r w:rsidR="00E00E0B" w:rsidRPr="00E00E0B">
        <w:rPr>
          <w:sz w:val="24"/>
          <w:szCs w:val="24"/>
        </w:rPr>
        <w:t>NIEPRAWIDŁOWOŚCI I NIEKOMPLETNOŚĆ PROJEKTU USTAWY UD263, BŁĘDNA IMPLEMENTACJA DYREKTYW UNIJNYCH, SPRZECZNOŚĆ Z REGULACJAMI PRAWNYMI</w:t>
      </w:r>
    </w:p>
    <w:p w14:paraId="30FC5233" w14:textId="20FFA313" w:rsidR="00361D89" w:rsidRPr="00F1043D" w:rsidRDefault="00E00E0B" w:rsidP="00750F8F">
      <w:pPr>
        <w:spacing w:after="0"/>
        <w:rPr>
          <w:color w:val="2E74B5" w:themeColor="accent5" w:themeShade="BF"/>
        </w:rPr>
      </w:pPr>
      <w:r w:rsidRPr="000058B7">
        <w:rPr>
          <w:sz w:val="10"/>
          <w:szCs w:val="10"/>
        </w:rPr>
        <w:br/>
      </w:r>
      <w:r w:rsidR="000362CA" w:rsidRPr="00BB6DF4">
        <w:rPr>
          <w:b/>
          <w:bCs/>
          <w:sz w:val="24"/>
          <w:szCs w:val="24"/>
        </w:rPr>
        <w:t xml:space="preserve">Miejsce publikacji: </w:t>
      </w:r>
      <w:r w:rsidR="000362CA" w:rsidRPr="00F1043D">
        <w:rPr>
          <w:color w:val="2E74B5" w:themeColor="accent5" w:themeShade="BF"/>
          <w:sz w:val="24"/>
          <w:szCs w:val="24"/>
        </w:rPr>
        <w:t>sejm.gov.pl</w:t>
      </w:r>
      <w:r w:rsidR="0047547E" w:rsidRPr="00F1043D">
        <w:rPr>
          <w:color w:val="2E74B5" w:themeColor="accent5" w:themeShade="BF"/>
          <w:sz w:val="24"/>
          <w:szCs w:val="24"/>
        </w:rPr>
        <w:t xml:space="preserve">   </w:t>
      </w:r>
      <w:hyperlink r:id="rId32" w:history="1">
        <w:r w:rsidR="000362CA" w:rsidRPr="00F1043D">
          <w:rPr>
            <w:rStyle w:val="Hipercze"/>
            <w:rFonts w:cstheme="minorHAnsi"/>
            <w:color w:val="2E74B5" w:themeColor="accent5" w:themeShade="BF"/>
            <w:sz w:val="24"/>
            <w:szCs w:val="24"/>
            <w:u w:val="none"/>
          </w:rPr>
          <w:t>Interpelacja nr 37332 - Sejm Rzeczypospolitej Polskiej</w:t>
        </w:r>
      </w:hyperlink>
      <w:r w:rsidR="000362CA" w:rsidRPr="00F1043D">
        <w:rPr>
          <w:color w:val="2E74B5" w:themeColor="accent5" w:themeShade="BF"/>
          <w:sz w:val="24"/>
          <w:szCs w:val="24"/>
        </w:rPr>
        <w:t xml:space="preserve"> </w:t>
      </w:r>
      <w:hyperlink r:id="rId33" w:history="1">
        <w:r w:rsidR="000362CA" w:rsidRPr="00F1043D">
          <w:rPr>
            <w:rStyle w:val="Hipercze"/>
            <w:rFonts w:cstheme="minorHAnsi"/>
            <w:color w:val="2E74B5" w:themeColor="accent5" w:themeShade="BF"/>
            <w:sz w:val="24"/>
            <w:szCs w:val="24"/>
            <w:u w:val="none"/>
          </w:rPr>
          <w:t>Interpelacja nr 37331 – nieprawidłowości działania Urzędu Patentowego RP – StoWI</w:t>
        </w:r>
      </w:hyperlink>
    </w:p>
    <w:bookmarkStart w:id="28" w:name="_Toc170117970"/>
    <w:p w14:paraId="1F21F5D6" w14:textId="7518E37D" w:rsidR="005F7EAC" w:rsidRPr="00361D89" w:rsidRDefault="0098587E" w:rsidP="00361D89">
      <w:pPr>
        <w:pStyle w:val="Nagwek1"/>
        <w:sectPr w:rsidR="005F7EAC" w:rsidRPr="00361D89" w:rsidSect="002169D5">
          <w:pgSz w:w="11906" w:h="16838" w:code="9"/>
          <w:pgMar w:top="1440" w:right="1133" w:bottom="1440" w:left="1077" w:header="0" w:footer="0" w:gutter="0"/>
          <w:cols w:space="708"/>
          <w:docGrid w:linePitch="360"/>
        </w:sectPr>
      </w:pPr>
      <w:r w:rsidRPr="000F34C7">
        <w:rPr>
          <w:noProof/>
        </w:rPr>
        <w:lastRenderedPageBreak/>
        <mc:AlternateContent>
          <mc:Choice Requires="wps">
            <w:drawing>
              <wp:anchor distT="0" distB="0" distL="114300" distR="114300" simplePos="0" relativeHeight="252148736" behindDoc="1" locked="0" layoutInCell="1" allowOverlap="1" wp14:anchorId="2C8E5FD7" wp14:editId="572C2273">
                <wp:simplePos x="0" y="0"/>
                <wp:positionH relativeFrom="margin">
                  <wp:posOffset>-776649</wp:posOffset>
                </wp:positionH>
                <wp:positionV relativeFrom="paragraph">
                  <wp:posOffset>-982030</wp:posOffset>
                </wp:positionV>
                <wp:extent cx="7591425" cy="10770235"/>
                <wp:effectExtent l="0" t="0" r="28575" b="12065"/>
                <wp:wrapNone/>
                <wp:docPr id="1257368503" name="Prostokąt 1257368503"/>
                <wp:cNvGraphicFramePr/>
                <a:graphic xmlns:a="http://schemas.openxmlformats.org/drawingml/2006/main">
                  <a:graphicData uri="http://schemas.microsoft.com/office/word/2010/wordprocessingShape">
                    <wps:wsp>
                      <wps:cNvSpPr/>
                      <wps:spPr>
                        <a:xfrm>
                          <a:off x="0" y="0"/>
                          <a:ext cx="7591425" cy="10770235"/>
                        </a:xfrm>
                        <a:prstGeom prst="rect">
                          <a:avLst/>
                        </a:prstGeom>
                        <a:solidFill>
                          <a:srgbClr val="1E2D4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2BEBA" id="Prostokąt 1257368503" o:spid="_x0000_s1026" style="position:absolute;margin-left:-61.15pt;margin-top:-77.35pt;width:597.75pt;height:848.05pt;z-index:-25116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" fillcolor="#1e2d40" strokecolor="#1f3763 [1604]" strokeweight="1pt">
                <w10:wrap anchorx="margin"/>
              </v:rect>
            </w:pict>
          </mc:Fallback>
        </mc:AlternateContent>
      </w:r>
      <w:r w:rsidR="00156AF9" w:rsidRPr="009331F8">
        <w:t xml:space="preserve">   </w:t>
      </w:r>
      <w:r w:rsidRPr="009331F8">
        <w:br/>
      </w:r>
      <w:r w:rsidRPr="009331F8">
        <w:br/>
      </w:r>
      <w:r w:rsidRPr="009331F8">
        <w:br/>
      </w:r>
      <w:r w:rsidRPr="009331F8">
        <w:br/>
      </w:r>
      <w:r w:rsidR="005F7EAC" w:rsidRPr="00AD7053">
        <w:t>PRAWO</w:t>
      </w:r>
      <w:r w:rsidR="00294EA5">
        <w:br/>
      </w:r>
      <w:r w:rsidR="009D4B90">
        <w:t xml:space="preserve"> </w:t>
      </w:r>
      <w:r w:rsidR="00F65C6C">
        <w:t xml:space="preserve">- </w:t>
      </w:r>
      <w:r w:rsidR="005F7EAC" w:rsidRPr="00AD7053">
        <w:t>LISTY OTWART</w:t>
      </w:r>
      <w:r w:rsidR="00F83B59">
        <w:t>E</w:t>
      </w:r>
      <w:bookmarkEnd w:id="28"/>
    </w:p>
    <w:p w14:paraId="1E554A9F" w14:textId="00CB9C84" w:rsidR="00C24C4A" w:rsidRPr="00F83B59" w:rsidRDefault="00C24C4A" w:rsidP="000F017A">
      <w:pPr>
        <w:spacing w:after="0" w:line="240" w:lineRule="auto"/>
        <w:jc w:val="both"/>
      </w:pPr>
    </w:p>
    <w:p w14:paraId="3B3A65B0" w14:textId="4BA0A6DA" w:rsidR="009D60F9" w:rsidRPr="00E76D44" w:rsidRDefault="00E76D44" w:rsidP="003F6CA0">
      <w:pPr>
        <w:pStyle w:val="Nagwek2"/>
      </w:pPr>
      <w:r>
        <w:rPr>
          <w:noProof/>
          <w:lang w:eastAsia="pl-PL"/>
        </w:rPr>
        <w:br/>
      </w:r>
      <w:bookmarkStart w:id="29" w:name="_Toc170117971"/>
      <w:r w:rsidRPr="00E76D44">
        <w:rPr>
          <w:noProof/>
          <w:lang w:eastAsia="pl-PL"/>
        </w:rPr>
        <w:drawing>
          <wp:anchor distT="0" distB="0" distL="114300" distR="114300" simplePos="0" relativeHeight="251803648" behindDoc="0" locked="0" layoutInCell="1" allowOverlap="1" wp14:anchorId="1809C473" wp14:editId="06DC26CE">
            <wp:simplePos x="0" y="0"/>
            <wp:positionH relativeFrom="margin">
              <wp:align>left</wp:align>
            </wp:positionH>
            <wp:positionV relativeFrom="paragraph">
              <wp:posOffset>8255</wp:posOffset>
            </wp:positionV>
            <wp:extent cx="1980000" cy="1080000"/>
            <wp:effectExtent l="0" t="0" r="1270" b="6350"/>
            <wp:wrapThrough wrapText="bothSides">
              <wp:wrapPolygon edited="0">
                <wp:start x="0" y="0"/>
                <wp:lineTo x="0" y="21346"/>
                <wp:lineTo x="21406" y="21346"/>
                <wp:lineTo x="21406" y="0"/>
                <wp:lineTo x="0" y="0"/>
              </wp:wrapPolygon>
            </wp:wrapThrough>
            <wp:docPr id="1569868944" name="Obraz 5" descr="Obraz zawierający osoba, ubrania, skóra, głowa&#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9868944" name="Obraz 5" descr="Obraz zawierający osoba, ubrania, skóra, głowa&#10;&#10;Opis wygenerowany automatyczn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60F9" w:rsidRPr="00E76D44">
        <w:rPr>
          <w:noProof/>
          <w:color w:val="C00000"/>
          <w:lang w:eastAsia="pl-PL"/>
        </w:rPr>
        <mc:AlternateContent>
          <mc:Choice Requires="wps">
            <w:drawing>
              <wp:anchor distT="0" distB="0" distL="114300" distR="114300" simplePos="0" relativeHeight="251802624" behindDoc="0" locked="0" layoutInCell="1" allowOverlap="1" wp14:anchorId="30EF99A5" wp14:editId="4CBE6875">
                <wp:simplePos x="0" y="0"/>
                <wp:positionH relativeFrom="margin">
                  <wp:posOffset>-98755</wp:posOffset>
                </wp:positionH>
                <wp:positionV relativeFrom="paragraph">
                  <wp:posOffset>-383540</wp:posOffset>
                </wp:positionV>
                <wp:extent cx="527050" cy="372745"/>
                <wp:effectExtent l="0" t="0" r="6350" b="8255"/>
                <wp:wrapNone/>
                <wp:docPr id="1249170692"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572F8708" w14:textId="3FE78802" w:rsidR="00541DD6" w:rsidRPr="00FA4053" w:rsidRDefault="00A17C3C" w:rsidP="00E7224D">
                            <w:pPr>
                              <w:pStyle w:val="NumeracjaRozdzial"/>
                            </w:pPr>
                            <w:r>
                              <w:t>1</w:t>
                            </w:r>
                            <w:r w:rsidR="00541DD6" w:rsidRPr="00FA4053">
                              <w:t>.</w:t>
                            </w:r>
                          </w:p>
                          <w:p w14:paraId="555C1F63" w14:textId="77777777" w:rsidR="00541DD6" w:rsidRDefault="00541DD6" w:rsidP="009D60F9">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EF99A5" id="_x0000_s1029" type="#_x0000_t202" style="position:absolute;margin-left:-7.8pt;margin-top:-30.2pt;width:41.5pt;height:29.35pt;z-index:251802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" fillcolor="white [3201]" stroked="f" strokeweight=".5pt">
                <v:textbox>
                  <w:txbxContent>
                    <w:p w14:paraId="572F8708" w14:textId="3FE78802" w:rsidR="00541DD6" w:rsidRPr="00FA4053" w:rsidRDefault="00A17C3C" w:rsidP="00E7224D">
                      <w:pPr>
                        <w:pStyle w:val="NumeracjaRozdzial"/>
                      </w:pPr>
                      <w:r>
                        <w:t>1</w:t>
                      </w:r>
                      <w:r w:rsidR="00541DD6" w:rsidRPr="00FA4053">
                        <w:t>.</w:t>
                      </w:r>
                    </w:p>
                    <w:p w14:paraId="555C1F63" w14:textId="77777777" w:rsidR="00541DD6" w:rsidRDefault="00541DD6" w:rsidP="009D60F9">
                      <w:pPr>
                        <w:spacing w:after="144"/>
                      </w:pPr>
                    </w:p>
                  </w:txbxContent>
                </v:textbox>
                <w10:wrap anchorx="margin"/>
              </v:shape>
            </w:pict>
          </mc:Fallback>
        </mc:AlternateContent>
      </w:r>
      <w:r w:rsidR="009D60F9" w:rsidRPr="00E76D44">
        <w:rPr>
          <w:noProof/>
          <w:lang w:eastAsia="pl-PL"/>
        </w:rPr>
        <w:t xml:space="preserve">LIST </w:t>
      </w:r>
      <w:r w:rsidR="009D60F9" w:rsidRPr="00E76D44">
        <w:t>OTWARTY</w:t>
      </w:r>
      <w:r w:rsidR="009D60F9" w:rsidRPr="00E76D44">
        <w:rPr>
          <w:noProof/>
          <w:lang w:eastAsia="pl-PL"/>
        </w:rPr>
        <w:t xml:space="preserve"> </w:t>
      </w:r>
      <w:r w:rsidR="00812440">
        <w:rPr>
          <w:noProof/>
          <w:lang w:eastAsia="pl-PL"/>
        </w:rPr>
        <w:t>-</w:t>
      </w:r>
      <w:r w:rsidR="009D60F9" w:rsidRPr="00E76D44">
        <w:rPr>
          <w:noProof/>
          <w:lang w:eastAsia="pl-PL"/>
        </w:rPr>
        <w:t xml:space="preserve"> apel o udostęp</w:t>
      </w:r>
      <w:r w:rsidR="00D45C97" w:rsidRPr="00E76D44">
        <w:rPr>
          <w:noProof/>
          <w:lang w:eastAsia="pl-PL"/>
        </w:rPr>
        <w:t xml:space="preserve">nianie prawidłowych </w:t>
      </w:r>
      <w:r w:rsidR="009D60F9" w:rsidRPr="00E76D44">
        <w:rPr>
          <w:noProof/>
          <w:lang w:eastAsia="pl-PL"/>
        </w:rPr>
        <w:t>informacji o prawach udzie</w:t>
      </w:r>
      <w:r w:rsidR="00D45C97" w:rsidRPr="00E76D44">
        <w:rPr>
          <w:noProof/>
          <w:lang w:eastAsia="pl-PL"/>
        </w:rPr>
        <w:t>lonych przez Urząd Patentowy RP</w:t>
      </w:r>
      <w:bookmarkEnd w:id="29"/>
    </w:p>
    <w:p w14:paraId="4A5BDF03" w14:textId="04EBD979" w:rsidR="009D60F9" w:rsidRPr="00EC4F25" w:rsidRDefault="009D60F9" w:rsidP="009D60F9">
      <w:pPr>
        <w:spacing w:after="0"/>
        <w:jc w:val="center"/>
        <w:rPr>
          <w:sz w:val="20"/>
          <w:szCs w:val="20"/>
        </w:rPr>
      </w:pPr>
    </w:p>
    <w:p w14:paraId="0B0C66AA" w14:textId="5A002392" w:rsidR="00A4081F" w:rsidRDefault="00A4081F">
      <w:pPr>
        <w:rPr>
          <w:sz w:val="20"/>
          <w:szCs w:val="20"/>
        </w:rPr>
      </w:pPr>
    </w:p>
    <w:p w14:paraId="52618D27" w14:textId="3BF34200" w:rsidR="00A4081F" w:rsidRDefault="00A4081F">
      <w:pPr>
        <w:rPr>
          <w:sz w:val="20"/>
          <w:szCs w:val="20"/>
        </w:rPr>
      </w:pPr>
    </w:p>
    <w:tbl>
      <w:tblPr>
        <w:tblStyle w:val="Tabela-Siatk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222"/>
      </w:tblGrid>
      <w:tr w:rsidR="00E94E2E" w14:paraId="7357AA66" w14:textId="77777777" w:rsidTr="002169D5">
        <w:tc>
          <w:tcPr>
            <w:tcW w:w="1276" w:type="dxa"/>
          </w:tcPr>
          <w:p w14:paraId="28D9D05B" w14:textId="77777777" w:rsidR="001237AA" w:rsidRPr="00EC4F25" w:rsidRDefault="001237AA" w:rsidP="00C346B4">
            <w:pPr>
              <w:rPr>
                <w:rFonts w:cstheme="minorHAnsi"/>
                <w:b/>
                <w:bCs/>
                <w:noProof/>
                <w:sz w:val="18"/>
                <w:szCs w:val="18"/>
              </w:rPr>
            </w:pPr>
          </w:p>
        </w:tc>
        <w:tc>
          <w:tcPr>
            <w:tcW w:w="8222" w:type="dxa"/>
          </w:tcPr>
          <w:p w14:paraId="471B09E6" w14:textId="77777777" w:rsidR="00E94E2E" w:rsidRPr="006A1234" w:rsidRDefault="00E94E2E" w:rsidP="00C346B4">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E94E2E" w14:paraId="4E42CE45" w14:textId="77777777" w:rsidTr="002169D5">
        <w:tc>
          <w:tcPr>
            <w:tcW w:w="1276" w:type="dxa"/>
          </w:tcPr>
          <w:p w14:paraId="3CBBF1EB" w14:textId="77777777" w:rsidR="001237AA" w:rsidRPr="001237AA" w:rsidRDefault="001237AA" w:rsidP="00C346B4">
            <w:pPr>
              <w:rPr>
                <w:rFonts w:cstheme="minorHAnsi"/>
                <w:b/>
                <w:bCs/>
                <w:color w:val="000000"/>
                <w:sz w:val="6"/>
                <w:szCs w:val="6"/>
              </w:rPr>
            </w:pPr>
          </w:p>
          <w:p w14:paraId="0530EFD6" w14:textId="28F0E633" w:rsidR="00E94E2E" w:rsidRDefault="002D7609" w:rsidP="00C346B4">
            <w:pPr>
              <w:rPr>
                <w:rFonts w:cstheme="minorHAnsi"/>
                <w:b/>
                <w:bCs/>
                <w:color w:val="000000"/>
                <w:sz w:val="26"/>
                <w:szCs w:val="26"/>
              </w:rPr>
            </w:pPr>
            <w:r>
              <w:rPr>
                <w:noProof/>
              </w:rPr>
              <w:drawing>
                <wp:inline distT="0" distB="0" distL="0" distR="0" wp14:anchorId="30AC6BD9" wp14:editId="691E0D7F">
                  <wp:extent cx="662400" cy="900000"/>
                  <wp:effectExtent l="0" t="0" r="4445" b="0"/>
                  <wp:docPr id="87115261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52616" name="Obraz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222" w:type="dxa"/>
          </w:tcPr>
          <w:p w14:paraId="416DA40F" w14:textId="77777777" w:rsidR="00E94E2E" w:rsidRPr="001D7639" w:rsidRDefault="00E94E2E" w:rsidP="00C346B4">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Marek BESLER</w:t>
            </w:r>
          </w:p>
          <w:p w14:paraId="4AEA2B1D" w14:textId="31A31E0F" w:rsidR="0034262F" w:rsidRDefault="00A209E5" w:rsidP="001F6BE3">
            <w:pPr>
              <w:pStyle w:val="Akapitzlist"/>
              <w:numPr>
                <w:ilvl w:val="0"/>
                <w:numId w:val="47"/>
              </w:numPr>
              <w:ind w:left="320" w:hanging="334"/>
              <w:rPr>
                <w:rFonts w:eastAsia="Times New Roman" w:cstheme="minorHAnsi"/>
                <w:bCs/>
                <w:color w:val="000000"/>
              </w:rPr>
            </w:pPr>
            <w:r>
              <w:rPr>
                <w:rFonts w:eastAsia="Times New Roman" w:cstheme="minorHAnsi"/>
                <w:bCs/>
                <w:color w:val="000000"/>
              </w:rPr>
              <w:t>współorz</w:t>
            </w:r>
            <w:r w:rsidR="00123357">
              <w:rPr>
                <w:rFonts w:eastAsia="Times New Roman" w:cstheme="minorHAnsi"/>
                <w:bCs/>
                <w:color w:val="000000"/>
              </w:rPr>
              <w:t>e</w:t>
            </w:r>
            <w:r w:rsidR="00765A57">
              <w:rPr>
                <w:rFonts w:eastAsia="Times New Roman" w:cstheme="minorHAnsi"/>
                <w:bCs/>
                <w:color w:val="000000"/>
              </w:rPr>
              <w:t>kający</w:t>
            </w:r>
            <w:r>
              <w:rPr>
                <w:rFonts w:eastAsia="Times New Roman" w:cstheme="minorHAnsi"/>
                <w:bCs/>
                <w:color w:val="000000"/>
              </w:rPr>
              <w:t xml:space="preserve"> w Komisji Odwoławczej przy Urzędzie Patentowym</w:t>
            </w:r>
            <w:r w:rsidR="00123357">
              <w:rPr>
                <w:rFonts w:eastAsia="Times New Roman" w:cstheme="minorHAnsi"/>
                <w:bCs/>
                <w:color w:val="000000"/>
              </w:rPr>
              <w:t xml:space="preserve"> w sprawach własności przemysłowej</w:t>
            </w:r>
            <w:r w:rsidR="00C03056">
              <w:rPr>
                <w:rFonts w:eastAsia="Times New Roman" w:cstheme="minorHAnsi"/>
                <w:bCs/>
                <w:color w:val="000000"/>
              </w:rPr>
              <w:t>,</w:t>
            </w:r>
            <w:r w:rsidR="00FE5970">
              <w:rPr>
                <w:rFonts w:eastAsia="Times New Roman" w:cstheme="minorHAnsi"/>
                <w:bCs/>
                <w:color w:val="000000"/>
              </w:rPr>
              <w:t xml:space="preserve"> </w:t>
            </w:r>
            <w:r w:rsidR="0034262F">
              <w:rPr>
                <w:rFonts w:eastAsia="Times New Roman" w:cstheme="minorHAnsi"/>
                <w:bCs/>
                <w:color w:val="000000"/>
              </w:rPr>
              <w:t>skład</w:t>
            </w:r>
            <w:r w:rsidR="00C03056">
              <w:rPr>
                <w:rFonts w:eastAsia="Times New Roman" w:cstheme="minorHAnsi"/>
                <w:bCs/>
                <w:color w:val="000000"/>
              </w:rPr>
              <w:t>om</w:t>
            </w:r>
            <w:r w:rsidR="0034262F">
              <w:rPr>
                <w:rFonts w:eastAsia="Times New Roman" w:cstheme="minorHAnsi"/>
                <w:bCs/>
                <w:color w:val="000000"/>
              </w:rPr>
              <w:t xml:space="preserve"> któr</w:t>
            </w:r>
            <w:r w:rsidR="00C03056">
              <w:rPr>
                <w:rFonts w:eastAsia="Times New Roman" w:cstheme="minorHAnsi"/>
                <w:bCs/>
                <w:color w:val="000000"/>
              </w:rPr>
              <w:t xml:space="preserve">ej </w:t>
            </w:r>
            <w:r w:rsidR="0034262F">
              <w:rPr>
                <w:rFonts w:eastAsia="Times New Roman" w:cstheme="minorHAnsi"/>
                <w:bCs/>
                <w:color w:val="000000"/>
              </w:rPr>
              <w:t>przewodnicz</w:t>
            </w:r>
            <w:r w:rsidR="00D000F0">
              <w:rPr>
                <w:rFonts w:eastAsia="Times New Roman" w:cstheme="minorHAnsi"/>
                <w:bCs/>
                <w:color w:val="000000"/>
              </w:rPr>
              <w:t xml:space="preserve">yli </w:t>
            </w:r>
            <w:r w:rsidR="0034262F">
              <w:rPr>
                <w:rFonts w:eastAsia="Times New Roman" w:cstheme="minorHAnsi"/>
                <w:bCs/>
                <w:color w:val="000000"/>
              </w:rPr>
              <w:t>sędziowie Sądu Najwyższego</w:t>
            </w:r>
            <w:r w:rsidR="00123357">
              <w:rPr>
                <w:rFonts w:eastAsia="Times New Roman" w:cstheme="minorHAnsi"/>
                <w:bCs/>
                <w:color w:val="000000"/>
              </w:rPr>
              <w:t>,</w:t>
            </w:r>
            <w:r w:rsidR="006C6CFB">
              <w:rPr>
                <w:rFonts w:eastAsia="Times New Roman" w:cstheme="minorHAnsi"/>
                <w:bCs/>
                <w:color w:val="000000"/>
              </w:rPr>
              <w:t xml:space="preserve"> </w:t>
            </w:r>
            <w:r w:rsidR="00D000F0">
              <w:rPr>
                <w:rFonts w:eastAsia="Times New Roman" w:cstheme="minorHAnsi"/>
                <w:bCs/>
                <w:color w:val="000000"/>
              </w:rPr>
              <w:t>w latach 1979 -2001</w:t>
            </w:r>
            <w:r w:rsidR="006C6CFB">
              <w:rPr>
                <w:rFonts w:eastAsia="Times New Roman" w:cstheme="minorHAnsi"/>
                <w:bCs/>
                <w:color w:val="000000"/>
              </w:rPr>
              <w:t xml:space="preserve"> </w:t>
            </w:r>
          </w:p>
          <w:p w14:paraId="577FC391" w14:textId="7A55DC1D" w:rsidR="00E94E2E" w:rsidRPr="007A6BB7" w:rsidRDefault="00E94E2E" w:rsidP="001F6BE3">
            <w:pPr>
              <w:pStyle w:val="Akapitzlist"/>
              <w:numPr>
                <w:ilvl w:val="0"/>
                <w:numId w:val="47"/>
              </w:numPr>
              <w:ind w:left="320" w:hanging="334"/>
              <w:rPr>
                <w:rFonts w:eastAsia="Times New Roman" w:cstheme="minorHAnsi"/>
                <w:bCs/>
                <w:color w:val="000000"/>
              </w:rPr>
            </w:pPr>
            <w:r w:rsidRPr="009265CF">
              <w:rPr>
                <w:rFonts w:eastAsia="Times New Roman" w:cstheme="minorHAnsi"/>
                <w:bCs/>
                <w:color w:val="000000"/>
              </w:rPr>
              <w:t>rzecznik patentowy nr 1571</w:t>
            </w:r>
          </w:p>
          <w:p w14:paraId="5B7E74BB" w14:textId="77777777" w:rsidR="00E94E2E" w:rsidRPr="007A6BB7" w:rsidRDefault="00E94E2E" w:rsidP="001F6BE3">
            <w:pPr>
              <w:pStyle w:val="Akapitzlist"/>
              <w:numPr>
                <w:ilvl w:val="0"/>
                <w:numId w:val="47"/>
              </w:numPr>
              <w:ind w:left="320" w:hanging="334"/>
              <w:rPr>
                <w:rFonts w:eastAsia="Times New Roman" w:cstheme="minorHAnsi"/>
                <w:bCs/>
                <w:color w:val="000000"/>
              </w:rPr>
            </w:pPr>
            <w:r w:rsidRPr="009265CF">
              <w:rPr>
                <w:rFonts w:eastAsia="Times New Roman" w:cstheme="minorHAnsi"/>
                <w:bCs/>
                <w:color w:val="000000"/>
              </w:rPr>
              <w:t>profesjonalny pełnomocnik przed EUIPO (</w:t>
            </w:r>
            <w:r w:rsidRPr="00D01A42">
              <w:rPr>
                <w:rFonts w:eastAsia="Times New Roman" w:cstheme="minorHAnsi"/>
                <w:bCs/>
                <w:i/>
                <w:color w:val="000000"/>
              </w:rPr>
              <w:t>European Union Intellectual Property Office</w:t>
            </w:r>
            <w:r w:rsidRPr="009265CF">
              <w:rPr>
                <w:rFonts w:eastAsia="Times New Roman" w:cstheme="minorHAnsi"/>
                <w:bCs/>
                <w:color w:val="000000"/>
              </w:rPr>
              <w:t xml:space="preserve"> – Urząd Unii Europejskiej ds. Własności Intelektualnej), nr 27177</w:t>
            </w:r>
          </w:p>
          <w:p w14:paraId="1D5108B8" w14:textId="77777777" w:rsidR="00E94E2E" w:rsidRPr="009265CF" w:rsidRDefault="00E94E2E" w:rsidP="001F6BE3">
            <w:pPr>
              <w:pStyle w:val="Akapitzlist"/>
              <w:numPr>
                <w:ilvl w:val="0"/>
                <w:numId w:val="47"/>
              </w:numPr>
              <w:ind w:left="320" w:hanging="334"/>
              <w:rPr>
                <w:rFonts w:eastAsia="Times New Roman" w:cstheme="minorHAnsi"/>
                <w:bCs/>
                <w:color w:val="000000"/>
              </w:rPr>
            </w:pPr>
            <w:r w:rsidRPr="009265CF">
              <w:rPr>
                <w:rFonts w:eastAsia="Times New Roman" w:cstheme="minorHAnsi"/>
                <w:bCs/>
                <w:color w:val="000000"/>
              </w:rPr>
              <w:t>Europejski Rzecznik Patentowy nr 138820</w:t>
            </w:r>
          </w:p>
          <w:p w14:paraId="48C84C11" w14:textId="77777777" w:rsidR="00E94E2E" w:rsidRDefault="00E94E2E" w:rsidP="001F6BE3">
            <w:pPr>
              <w:pStyle w:val="Akapitzlist"/>
              <w:numPr>
                <w:ilvl w:val="0"/>
                <w:numId w:val="47"/>
              </w:numPr>
              <w:ind w:left="320" w:hanging="334"/>
              <w:rPr>
                <w:rFonts w:eastAsia="Times New Roman" w:cstheme="minorHAnsi"/>
                <w:bCs/>
                <w:color w:val="000000"/>
              </w:rPr>
            </w:pPr>
            <w:r w:rsidRPr="009265CF">
              <w:rPr>
                <w:rFonts w:eastAsia="Times New Roman" w:cstheme="minorHAnsi"/>
                <w:bCs/>
                <w:color w:val="000000"/>
              </w:rPr>
              <w:t>Prezes Polskiej Izby Rzeczników Patentowych w latach 2002-2005</w:t>
            </w:r>
          </w:p>
          <w:p w14:paraId="4AC54717" w14:textId="3AA90C63" w:rsidR="002D7609" w:rsidRDefault="002D7609" w:rsidP="001F6BE3">
            <w:pPr>
              <w:pStyle w:val="Akapitzlist"/>
              <w:numPr>
                <w:ilvl w:val="0"/>
                <w:numId w:val="47"/>
              </w:numPr>
              <w:ind w:left="320" w:hanging="334"/>
              <w:rPr>
                <w:rFonts w:eastAsia="Times New Roman" w:cstheme="minorHAnsi"/>
                <w:bCs/>
                <w:color w:val="000000"/>
              </w:rPr>
            </w:pPr>
            <w:r>
              <w:rPr>
                <w:rFonts w:eastAsia="Times New Roman" w:cstheme="minorHAnsi"/>
                <w:bCs/>
                <w:color w:val="000000"/>
              </w:rPr>
              <w:t>Wiceprezes Zarządu StoWI od 2023 r.</w:t>
            </w:r>
          </w:p>
          <w:p w14:paraId="5E694AEC" w14:textId="762CFE5E" w:rsidR="002D7609" w:rsidRDefault="002D7609" w:rsidP="001F6BE3">
            <w:pPr>
              <w:pStyle w:val="Akapitzlist"/>
              <w:numPr>
                <w:ilvl w:val="0"/>
                <w:numId w:val="47"/>
              </w:numPr>
              <w:ind w:left="320" w:hanging="334"/>
              <w:rPr>
                <w:rFonts w:eastAsia="Times New Roman" w:cstheme="minorHAnsi"/>
                <w:bCs/>
                <w:color w:val="000000"/>
              </w:rPr>
            </w:pPr>
            <w:r>
              <w:rPr>
                <w:rFonts w:eastAsia="Times New Roman" w:cstheme="minorHAnsi"/>
                <w:bCs/>
                <w:color w:val="000000"/>
              </w:rPr>
              <w:t>Redaktor naczelny Kwartalnika „THINK-TANK WSZY</w:t>
            </w:r>
            <w:r w:rsidR="00670256">
              <w:rPr>
                <w:rFonts w:eastAsia="Times New Roman" w:cstheme="minorHAnsi"/>
                <w:bCs/>
                <w:color w:val="000000"/>
              </w:rPr>
              <w:t>S</w:t>
            </w:r>
            <w:r>
              <w:rPr>
                <w:rFonts w:eastAsia="Times New Roman" w:cstheme="minorHAnsi"/>
                <w:bCs/>
                <w:color w:val="000000"/>
              </w:rPr>
              <w:t>TKO o IP w PL” od listopada 2023 r.</w:t>
            </w:r>
          </w:p>
          <w:p w14:paraId="23109577" w14:textId="77777777" w:rsidR="00E94E2E" w:rsidRPr="00765A57" w:rsidRDefault="00E94E2E" w:rsidP="00375E11">
            <w:pPr>
              <w:ind w:left="658"/>
              <w:rPr>
                <w:rFonts w:cstheme="minorHAnsi"/>
                <w:bCs/>
                <w:color w:val="000000"/>
                <w:sz w:val="6"/>
                <w:szCs w:val="6"/>
              </w:rPr>
            </w:pPr>
          </w:p>
        </w:tc>
      </w:tr>
      <w:tr w:rsidR="00E94E2E" w14:paraId="4A3C5FE2" w14:textId="77777777" w:rsidTr="002169D5">
        <w:tc>
          <w:tcPr>
            <w:tcW w:w="1276" w:type="dxa"/>
          </w:tcPr>
          <w:p w14:paraId="0DFB4D5F" w14:textId="77777777" w:rsidR="001237AA" w:rsidRPr="001237AA" w:rsidRDefault="001237AA" w:rsidP="00C346B4">
            <w:pPr>
              <w:rPr>
                <w:rFonts w:cstheme="minorHAnsi"/>
                <w:b/>
                <w:bCs/>
                <w:color w:val="000000"/>
                <w:sz w:val="6"/>
                <w:szCs w:val="6"/>
              </w:rPr>
            </w:pPr>
          </w:p>
          <w:p w14:paraId="73F01750" w14:textId="118748AA" w:rsidR="00E94E2E" w:rsidRDefault="0084018E" w:rsidP="00C346B4">
            <w:pPr>
              <w:rPr>
                <w:rFonts w:cstheme="minorHAnsi"/>
                <w:b/>
                <w:bCs/>
                <w:color w:val="000000"/>
                <w:sz w:val="26"/>
                <w:szCs w:val="26"/>
              </w:rPr>
            </w:pPr>
            <w:r>
              <w:rPr>
                <w:noProof/>
              </w:rPr>
              <w:drawing>
                <wp:inline distT="0" distB="0" distL="0" distR="0" wp14:anchorId="43A57807" wp14:editId="62D16305">
                  <wp:extent cx="669600" cy="900000"/>
                  <wp:effectExtent l="0" t="0" r="0" b="0"/>
                  <wp:docPr id="837956375" name="Obraz 13" descr="Obraz zawierający ubrania, osoba, krawat, Ubiór form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56375" name="Obraz 13" descr="Obraz zawierający ubrania, osoba, krawat, Ubiór formalny&#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600" cy="900000"/>
                          </a:xfrm>
                          <a:prstGeom prst="rect">
                            <a:avLst/>
                          </a:prstGeom>
                          <a:noFill/>
                          <a:ln>
                            <a:noFill/>
                          </a:ln>
                        </pic:spPr>
                      </pic:pic>
                    </a:graphicData>
                  </a:graphic>
                </wp:inline>
              </w:drawing>
            </w:r>
          </w:p>
        </w:tc>
        <w:tc>
          <w:tcPr>
            <w:tcW w:w="8222" w:type="dxa"/>
          </w:tcPr>
          <w:p w14:paraId="5CBB47A1" w14:textId="77777777" w:rsidR="00E94E2E" w:rsidRDefault="00E94E2E" w:rsidP="00C346B4">
            <w:pPr>
              <w:rPr>
                <w:rFonts w:asciiTheme="minorHAnsi" w:hAnsiTheme="minorHAnsi" w:cstheme="minorHAnsi"/>
                <w:bCs/>
                <w:color w:val="000000"/>
                <w:sz w:val="22"/>
                <w:szCs w:val="22"/>
              </w:rPr>
            </w:pPr>
            <w:r w:rsidRPr="00505C05">
              <w:rPr>
                <w:rFonts w:asciiTheme="minorHAnsi" w:hAnsiTheme="minorHAnsi" w:cstheme="minorHAnsi"/>
                <w:bCs/>
                <w:color w:val="000000"/>
                <w:sz w:val="22"/>
                <w:szCs w:val="22"/>
              </w:rPr>
              <w:t>Tadeusz KACHNIC</w:t>
            </w:r>
          </w:p>
          <w:p w14:paraId="02C61A69" w14:textId="77777777" w:rsidR="00E94E2E" w:rsidRPr="007A6BB7" w:rsidRDefault="00E94E2E" w:rsidP="001F6BE3">
            <w:pPr>
              <w:pStyle w:val="Akapitzlist"/>
              <w:numPr>
                <w:ilvl w:val="0"/>
                <w:numId w:val="46"/>
              </w:numPr>
              <w:ind w:left="320" w:hanging="334"/>
              <w:rPr>
                <w:rFonts w:eastAsia="Times New Roman" w:cstheme="minorHAnsi"/>
                <w:bCs/>
                <w:color w:val="000000"/>
              </w:rPr>
            </w:pPr>
            <w:r w:rsidRPr="009265CF">
              <w:rPr>
                <w:rFonts w:eastAsia="Times New Roman" w:cstheme="minorHAnsi"/>
                <w:bCs/>
                <w:color w:val="000000"/>
              </w:rPr>
              <w:t>rzecznik patentowy</w:t>
            </w:r>
          </w:p>
          <w:p w14:paraId="04EFF1CF" w14:textId="77777777" w:rsidR="00E94E2E" w:rsidRPr="009265CF" w:rsidRDefault="00E94E2E" w:rsidP="001F6BE3">
            <w:pPr>
              <w:pStyle w:val="Akapitzlist"/>
              <w:numPr>
                <w:ilvl w:val="0"/>
                <w:numId w:val="46"/>
              </w:numPr>
              <w:ind w:left="320" w:hanging="334"/>
              <w:rPr>
                <w:rFonts w:eastAsia="Times New Roman" w:cstheme="minorHAnsi"/>
                <w:bCs/>
                <w:color w:val="000000"/>
              </w:rPr>
            </w:pPr>
            <w:r w:rsidRPr="009265CF">
              <w:rPr>
                <w:rFonts w:eastAsia="Times New Roman" w:cstheme="minorHAnsi"/>
                <w:bCs/>
                <w:color w:val="000000"/>
              </w:rPr>
              <w:t>współzałożyciel Polskiej Izby Rzeczników Patentowych</w:t>
            </w:r>
          </w:p>
          <w:p w14:paraId="041C4681" w14:textId="77777777" w:rsidR="00E94E2E" w:rsidRPr="009265CF" w:rsidRDefault="00E94E2E" w:rsidP="001F6BE3">
            <w:pPr>
              <w:pStyle w:val="Akapitzlist"/>
              <w:numPr>
                <w:ilvl w:val="0"/>
                <w:numId w:val="46"/>
              </w:numPr>
              <w:ind w:left="320" w:hanging="334"/>
              <w:rPr>
                <w:rFonts w:eastAsia="Times New Roman" w:cstheme="minorHAnsi"/>
                <w:bCs/>
                <w:color w:val="000000"/>
              </w:rPr>
            </w:pPr>
            <w:r w:rsidRPr="009265CF">
              <w:rPr>
                <w:rFonts w:eastAsia="Times New Roman" w:cstheme="minorHAnsi"/>
                <w:bCs/>
                <w:color w:val="000000"/>
              </w:rPr>
              <w:t>uczestnik I Krajowego Zjazdu w dniu 28.08.1993 r.</w:t>
            </w:r>
          </w:p>
          <w:p w14:paraId="4BC98517" w14:textId="77777777" w:rsidR="00E94E2E" w:rsidRPr="009265CF" w:rsidRDefault="00E94E2E" w:rsidP="001F6BE3">
            <w:pPr>
              <w:pStyle w:val="Akapitzlist"/>
              <w:numPr>
                <w:ilvl w:val="0"/>
                <w:numId w:val="46"/>
              </w:numPr>
              <w:ind w:left="320" w:hanging="334"/>
              <w:rPr>
                <w:rFonts w:eastAsia="Times New Roman" w:cstheme="minorHAnsi"/>
                <w:bCs/>
                <w:color w:val="000000"/>
              </w:rPr>
            </w:pPr>
            <w:r w:rsidRPr="009265CF">
              <w:rPr>
                <w:rFonts w:eastAsia="Times New Roman" w:cstheme="minorHAnsi"/>
                <w:bCs/>
                <w:color w:val="000000"/>
              </w:rPr>
              <w:t>Wiceprezes PIRP od 1993 r. do 05.11.2017 r.</w:t>
            </w:r>
          </w:p>
          <w:p w14:paraId="0D03A3D2" w14:textId="77777777" w:rsidR="00E94E2E" w:rsidRPr="00765A57" w:rsidRDefault="00E94E2E" w:rsidP="00C346B4">
            <w:pPr>
              <w:rPr>
                <w:rFonts w:asciiTheme="minorHAnsi" w:hAnsiTheme="minorHAnsi" w:cstheme="minorHAnsi"/>
                <w:bCs/>
                <w:color w:val="000000"/>
                <w:sz w:val="10"/>
                <w:szCs w:val="10"/>
              </w:rPr>
            </w:pPr>
          </w:p>
          <w:p w14:paraId="5A42A838" w14:textId="77777777" w:rsidR="00375E11" w:rsidRPr="00D06C0F" w:rsidRDefault="00375E11" w:rsidP="00C346B4">
            <w:pPr>
              <w:rPr>
                <w:rFonts w:asciiTheme="minorHAnsi" w:hAnsiTheme="minorHAnsi" w:cstheme="minorHAnsi"/>
                <w:bCs/>
                <w:color w:val="000000"/>
                <w:sz w:val="2"/>
                <w:szCs w:val="2"/>
              </w:rPr>
            </w:pPr>
          </w:p>
        </w:tc>
      </w:tr>
      <w:tr w:rsidR="00E94E2E" w14:paraId="2B8947C7" w14:textId="77777777" w:rsidTr="002169D5">
        <w:tc>
          <w:tcPr>
            <w:tcW w:w="1276" w:type="dxa"/>
          </w:tcPr>
          <w:p w14:paraId="66FA5676" w14:textId="77777777" w:rsidR="001237AA" w:rsidRPr="001237AA" w:rsidRDefault="001237AA" w:rsidP="00C346B4">
            <w:pPr>
              <w:tabs>
                <w:tab w:val="left" w:pos="2261"/>
              </w:tabs>
              <w:rPr>
                <w:rFonts w:cstheme="minorHAnsi"/>
                <w:b/>
                <w:bCs/>
                <w:color w:val="000000"/>
                <w:sz w:val="6"/>
                <w:szCs w:val="6"/>
              </w:rPr>
            </w:pPr>
          </w:p>
          <w:p w14:paraId="09373E64" w14:textId="7CD3DE0B" w:rsidR="00E94E2E" w:rsidRDefault="002D7609" w:rsidP="00C346B4">
            <w:pPr>
              <w:tabs>
                <w:tab w:val="left" w:pos="2261"/>
              </w:tabs>
              <w:rPr>
                <w:rFonts w:cstheme="minorHAnsi"/>
                <w:b/>
                <w:bCs/>
                <w:color w:val="000000"/>
                <w:sz w:val="26"/>
                <w:szCs w:val="26"/>
              </w:rPr>
            </w:pPr>
            <w:r>
              <w:rPr>
                <w:noProof/>
              </w:rPr>
              <w:drawing>
                <wp:inline distT="0" distB="0" distL="0" distR="0" wp14:anchorId="2B69391C" wp14:editId="7B182A5C">
                  <wp:extent cx="658800" cy="900000"/>
                  <wp:effectExtent l="0" t="0" r="8255" b="0"/>
                  <wp:docPr id="92457535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75354" name="Obraz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222" w:type="dxa"/>
          </w:tcPr>
          <w:p w14:paraId="582BC811" w14:textId="77777777" w:rsidR="00E94E2E" w:rsidRDefault="00E94E2E" w:rsidP="00C346B4">
            <w:pPr>
              <w:rPr>
                <w:rFonts w:asciiTheme="minorHAnsi" w:hAnsiTheme="minorHAnsi" w:cstheme="minorHAnsi"/>
                <w:bCs/>
                <w:color w:val="000000"/>
                <w:sz w:val="22"/>
                <w:szCs w:val="22"/>
              </w:rPr>
            </w:pPr>
            <w:r w:rsidRPr="00882209">
              <w:rPr>
                <w:rFonts w:asciiTheme="minorHAnsi" w:hAnsiTheme="minorHAnsi" w:cstheme="minorHAnsi"/>
                <w:bCs/>
                <w:color w:val="000000"/>
                <w:sz w:val="22"/>
                <w:szCs w:val="22"/>
              </w:rPr>
              <w:t>Anna KORBELA</w:t>
            </w:r>
          </w:p>
          <w:p w14:paraId="41DD24AA" w14:textId="1952D252" w:rsidR="00755F82" w:rsidRDefault="00E86418" w:rsidP="001F6BE3">
            <w:pPr>
              <w:pStyle w:val="Akapitzlist"/>
              <w:numPr>
                <w:ilvl w:val="0"/>
                <w:numId w:val="45"/>
              </w:numPr>
              <w:ind w:left="320" w:hanging="334"/>
              <w:rPr>
                <w:rFonts w:eastAsia="Times New Roman" w:cstheme="minorHAnsi"/>
                <w:bCs/>
                <w:color w:val="000000"/>
              </w:rPr>
            </w:pPr>
            <w:r w:rsidRPr="00755F82">
              <w:rPr>
                <w:rFonts w:eastAsia="Times New Roman" w:cstheme="minorHAnsi"/>
                <w:bCs/>
                <w:color w:val="000000"/>
              </w:rPr>
              <w:t xml:space="preserve">w 1994 r. </w:t>
            </w:r>
            <w:r w:rsidR="00FE4722">
              <w:rPr>
                <w:rFonts w:cstheme="minorHAnsi"/>
                <w:bCs/>
                <w:color w:val="000000"/>
              </w:rPr>
              <w:t xml:space="preserve">zdała </w:t>
            </w:r>
            <w:r w:rsidR="00755F82" w:rsidRPr="00755F82">
              <w:rPr>
                <w:rFonts w:eastAsia="Times New Roman" w:cstheme="minorHAnsi"/>
                <w:bCs/>
                <w:color w:val="000000"/>
              </w:rPr>
              <w:t xml:space="preserve">egzamin sędziowski poprzedzony etatową aplikacją sędziowską (złożony z </w:t>
            </w:r>
            <w:r w:rsidR="00123357" w:rsidRPr="00755F82">
              <w:rPr>
                <w:rFonts w:eastAsia="Times New Roman" w:cstheme="minorHAnsi"/>
                <w:bCs/>
                <w:color w:val="000000"/>
              </w:rPr>
              <w:t xml:space="preserve">dobrym </w:t>
            </w:r>
            <w:r w:rsidR="00755F82" w:rsidRPr="00755F82">
              <w:rPr>
                <w:rFonts w:eastAsia="Times New Roman" w:cstheme="minorHAnsi"/>
                <w:bCs/>
                <w:color w:val="000000"/>
              </w:rPr>
              <w:t>wynikiem, umożliwiającym podjęcie kariery sędziowskiej</w:t>
            </w:r>
            <w:r w:rsidR="00D76DA8">
              <w:rPr>
                <w:rFonts w:eastAsia="Times New Roman" w:cstheme="minorHAnsi"/>
                <w:bCs/>
                <w:color w:val="000000"/>
              </w:rPr>
              <w:t>)</w:t>
            </w:r>
          </w:p>
          <w:p w14:paraId="7EA9176C" w14:textId="31D7E0F0" w:rsidR="00E94E2E" w:rsidRPr="009265CF" w:rsidRDefault="00E94E2E" w:rsidP="001F6BE3">
            <w:pPr>
              <w:pStyle w:val="Akapitzlist"/>
              <w:numPr>
                <w:ilvl w:val="0"/>
                <w:numId w:val="45"/>
              </w:numPr>
              <w:ind w:left="320" w:hanging="334"/>
              <w:rPr>
                <w:rFonts w:eastAsia="Times New Roman" w:cstheme="minorHAnsi"/>
                <w:bCs/>
                <w:color w:val="000000"/>
              </w:rPr>
            </w:pPr>
            <w:r w:rsidRPr="009265CF">
              <w:rPr>
                <w:rFonts w:eastAsia="Times New Roman" w:cstheme="minorHAnsi"/>
                <w:bCs/>
                <w:color w:val="000000"/>
              </w:rPr>
              <w:t>rzecznik patentowy nr 3040</w:t>
            </w:r>
          </w:p>
          <w:p w14:paraId="37F487D1" w14:textId="77777777" w:rsidR="00E94E2E" w:rsidRPr="009265CF" w:rsidRDefault="00E94E2E" w:rsidP="001F6BE3">
            <w:pPr>
              <w:pStyle w:val="Akapitzlist"/>
              <w:numPr>
                <w:ilvl w:val="0"/>
                <w:numId w:val="45"/>
              </w:numPr>
              <w:ind w:left="320" w:hanging="334"/>
              <w:rPr>
                <w:rFonts w:eastAsia="Times New Roman" w:cstheme="minorHAnsi"/>
                <w:bCs/>
                <w:color w:val="000000"/>
              </w:rPr>
            </w:pPr>
            <w:r w:rsidRPr="009265CF">
              <w:rPr>
                <w:rFonts w:eastAsia="Times New Roman" w:cstheme="minorHAnsi"/>
                <w:bCs/>
                <w:color w:val="000000"/>
              </w:rPr>
              <w:t>radca prawny nr 364/96</w:t>
            </w:r>
          </w:p>
          <w:p w14:paraId="3B0B20E3" w14:textId="7502E171" w:rsidR="00E94E2E" w:rsidRPr="009265CF" w:rsidRDefault="00E94E2E" w:rsidP="001F6BE3">
            <w:pPr>
              <w:pStyle w:val="Akapitzlist"/>
              <w:numPr>
                <w:ilvl w:val="0"/>
                <w:numId w:val="45"/>
              </w:numPr>
              <w:ind w:left="320" w:hanging="334"/>
              <w:rPr>
                <w:rFonts w:eastAsia="Times New Roman" w:cstheme="minorHAnsi"/>
                <w:bCs/>
                <w:color w:val="000000"/>
              </w:rPr>
            </w:pPr>
            <w:r w:rsidRPr="009265CF">
              <w:rPr>
                <w:rFonts w:eastAsia="Times New Roman" w:cstheme="minorHAnsi"/>
                <w:bCs/>
                <w:color w:val="000000"/>
              </w:rPr>
              <w:t>profesjonalny pełnomocnik przed EUIPO (</w:t>
            </w:r>
            <w:r w:rsidRPr="007A6BB7">
              <w:rPr>
                <w:rFonts w:eastAsia="Times New Roman" w:cstheme="minorHAnsi"/>
                <w:bCs/>
                <w:i/>
                <w:color w:val="000000"/>
              </w:rPr>
              <w:t>European Union Intellectual Property Office</w:t>
            </w:r>
            <w:r w:rsidRPr="009265CF">
              <w:rPr>
                <w:rFonts w:eastAsia="Times New Roman" w:cstheme="minorHAnsi"/>
                <w:bCs/>
                <w:color w:val="000000"/>
              </w:rPr>
              <w:t xml:space="preserve"> </w:t>
            </w:r>
            <w:r w:rsidR="006E2F4F">
              <w:rPr>
                <w:rFonts w:eastAsia="Times New Roman" w:cstheme="minorHAnsi"/>
                <w:bCs/>
                <w:color w:val="000000"/>
              </w:rPr>
              <w:t>-</w:t>
            </w:r>
            <w:r w:rsidRPr="009265CF">
              <w:rPr>
                <w:rFonts w:eastAsia="Times New Roman" w:cstheme="minorHAnsi"/>
                <w:bCs/>
                <w:color w:val="000000"/>
              </w:rPr>
              <w:t xml:space="preserve"> Urz</w:t>
            </w:r>
            <w:r w:rsidR="003A208A">
              <w:rPr>
                <w:rFonts w:eastAsia="Times New Roman" w:cstheme="minorHAnsi"/>
                <w:bCs/>
                <w:color w:val="000000"/>
              </w:rPr>
              <w:t>ę</w:t>
            </w:r>
            <w:r w:rsidRPr="009265CF">
              <w:rPr>
                <w:rFonts w:eastAsia="Times New Roman" w:cstheme="minorHAnsi"/>
                <w:bCs/>
                <w:color w:val="000000"/>
              </w:rPr>
              <w:t>d</w:t>
            </w:r>
            <w:r w:rsidR="003A208A">
              <w:rPr>
                <w:rFonts w:eastAsia="Times New Roman" w:cstheme="minorHAnsi"/>
                <w:bCs/>
                <w:color w:val="000000"/>
              </w:rPr>
              <w:t>em</w:t>
            </w:r>
            <w:r w:rsidRPr="009265CF">
              <w:rPr>
                <w:rFonts w:eastAsia="Times New Roman" w:cstheme="minorHAnsi"/>
                <w:bCs/>
                <w:color w:val="000000"/>
              </w:rPr>
              <w:t xml:space="preserve"> Unii Europejskiej ds. Własności Intelektualnej), nr 27595</w:t>
            </w:r>
          </w:p>
          <w:p w14:paraId="34F974A4" w14:textId="77777777" w:rsidR="00E94E2E" w:rsidRPr="009265CF" w:rsidRDefault="00E94E2E" w:rsidP="001F6BE3">
            <w:pPr>
              <w:pStyle w:val="Akapitzlist"/>
              <w:numPr>
                <w:ilvl w:val="0"/>
                <w:numId w:val="45"/>
              </w:numPr>
              <w:ind w:left="320" w:hanging="334"/>
              <w:rPr>
                <w:rFonts w:eastAsia="Times New Roman" w:cstheme="minorHAnsi"/>
                <w:bCs/>
                <w:color w:val="000000"/>
              </w:rPr>
            </w:pPr>
            <w:r w:rsidRPr="009265CF">
              <w:rPr>
                <w:rFonts w:eastAsia="Times New Roman" w:cstheme="minorHAnsi"/>
                <w:bCs/>
                <w:color w:val="000000"/>
              </w:rPr>
              <w:t>Europejski Rzecznik Patentowy nr 137760</w:t>
            </w:r>
          </w:p>
          <w:p w14:paraId="60FC78B0" w14:textId="21EA4873" w:rsidR="00E94E2E" w:rsidRPr="009265CF" w:rsidRDefault="00E94E2E" w:rsidP="006E2F4F">
            <w:pPr>
              <w:pStyle w:val="Akapitzlist"/>
              <w:numPr>
                <w:ilvl w:val="0"/>
                <w:numId w:val="45"/>
              </w:numPr>
              <w:ind w:left="320" w:hanging="334"/>
              <w:rPr>
                <w:rFonts w:eastAsia="Times New Roman" w:cstheme="minorHAnsi"/>
                <w:bCs/>
                <w:color w:val="000000"/>
              </w:rPr>
            </w:pPr>
            <w:r w:rsidRPr="009265CF">
              <w:rPr>
                <w:rFonts w:eastAsia="Times New Roman" w:cstheme="minorHAnsi"/>
                <w:bCs/>
                <w:color w:val="000000"/>
              </w:rPr>
              <w:t>pełnomocnik uprawniony do działania przed DPMA (</w:t>
            </w:r>
            <w:proofErr w:type="spellStart"/>
            <w:r w:rsidRPr="007A6BB7">
              <w:rPr>
                <w:rFonts w:eastAsia="Times New Roman" w:cstheme="minorHAnsi"/>
                <w:bCs/>
                <w:i/>
                <w:color w:val="000000"/>
              </w:rPr>
              <w:t>Deutsches</w:t>
            </w:r>
            <w:proofErr w:type="spellEnd"/>
            <w:r w:rsidRPr="007A6BB7">
              <w:rPr>
                <w:rFonts w:eastAsia="Times New Roman" w:cstheme="minorHAnsi"/>
                <w:bCs/>
                <w:i/>
                <w:color w:val="000000"/>
              </w:rPr>
              <w:t xml:space="preserve"> Patent- </w:t>
            </w:r>
            <w:proofErr w:type="spellStart"/>
            <w:r w:rsidRPr="007A6BB7">
              <w:rPr>
                <w:rFonts w:eastAsia="Times New Roman" w:cstheme="minorHAnsi"/>
                <w:bCs/>
                <w:i/>
                <w:color w:val="000000"/>
              </w:rPr>
              <w:t>und</w:t>
            </w:r>
            <w:proofErr w:type="spellEnd"/>
            <w:r w:rsidRPr="007A6BB7">
              <w:rPr>
                <w:rFonts w:eastAsia="Times New Roman" w:cstheme="minorHAnsi"/>
                <w:bCs/>
                <w:i/>
                <w:color w:val="000000"/>
              </w:rPr>
              <w:t xml:space="preserve"> </w:t>
            </w:r>
            <w:proofErr w:type="spellStart"/>
            <w:r w:rsidRPr="007A6BB7">
              <w:rPr>
                <w:rFonts w:eastAsia="Times New Roman" w:cstheme="minorHAnsi"/>
                <w:bCs/>
                <w:i/>
                <w:color w:val="000000"/>
              </w:rPr>
              <w:t>Markenamt</w:t>
            </w:r>
            <w:proofErr w:type="spellEnd"/>
            <w:r w:rsidRPr="007A6BB7">
              <w:rPr>
                <w:rFonts w:eastAsia="Times New Roman" w:cstheme="minorHAnsi"/>
                <w:bCs/>
                <w:i/>
                <w:color w:val="000000"/>
              </w:rPr>
              <w:t xml:space="preserve"> </w:t>
            </w:r>
            <w:r w:rsidR="00812440">
              <w:rPr>
                <w:rFonts w:eastAsia="Times New Roman" w:cstheme="minorHAnsi"/>
                <w:bCs/>
                <w:i/>
                <w:color w:val="000000"/>
              </w:rPr>
              <w:t>-</w:t>
            </w:r>
            <w:r w:rsidR="006E2F4F">
              <w:rPr>
                <w:rFonts w:eastAsia="Times New Roman" w:cstheme="minorHAnsi"/>
                <w:bCs/>
                <w:i/>
                <w:color w:val="000000"/>
              </w:rPr>
              <w:t xml:space="preserve"> </w:t>
            </w:r>
            <w:r w:rsidR="006E2F4F" w:rsidRPr="009265CF">
              <w:rPr>
                <w:rFonts w:eastAsia="Times New Roman" w:cstheme="minorHAnsi"/>
                <w:bCs/>
                <w:color w:val="000000"/>
              </w:rPr>
              <w:t>Niemiecki</w:t>
            </w:r>
            <w:r w:rsidR="006E2F4F">
              <w:rPr>
                <w:rFonts w:eastAsia="Times New Roman" w:cstheme="minorHAnsi"/>
                <w:bCs/>
                <w:color w:val="000000"/>
              </w:rPr>
              <w:t>m</w:t>
            </w:r>
            <w:r w:rsidR="006E2F4F" w:rsidRPr="009265CF">
              <w:rPr>
                <w:rFonts w:eastAsia="Times New Roman" w:cstheme="minorHAnsi"/>
                <w:bCs/>
                <w:color w:val="000000"/>
              </w:rPr>
              <w:t xml:space="preserve"> Urz</w:t>
            </w:r>
            <w:r w:rsidR="006E2F4F">
              <w:rPr>
                <w:rFonts w:eastAsia="Times New Roman" w:cstheme="minorHAnsi"/>
                <w:bCs/>
                <w:color w:val="000000"/>
              </w:rPr>
              <w:t>ę</w:t>
            </w:r>
            <w:r w:rsidR="006E2F4F" w:rsidRPr="009265CF">
              <w:rPr>
                <w:rFonts w:eastAsia="Times New Roman" w:cstheme="minorHAnsi"/>
                <w:bCs/>
                <w:color w:val="000000"/>
              </w:rPr>
              <w:t>d</w:t>
            </w:r>
            <w:r w:rsidR="006E2F4F">
              <w:rPr>
                <w:rFonts w:eastAsia="Times New Roman" w:cstheme="minorHAnsi"/>
                <w:bCs/>
                <w:color w:val="000000"/>
              </w:rPr>
              <w:t>em</w:t>
            </w:r>
            <w:r w:rsidR="006E2F4F" w:rsidRPr="009265CF">
              <w:rPr>
                <w:rFonts w:eastAsia="Times New Roman" w:cstheme="minorHAnsi"/>
                <w:bCs/>
                <w:color w:val="000000"/>
              </w:rPr>
              <w:t xml:space="preserve"> ds. Patentów </w:t>
            </w:r>
            <w:r w:rsidRPr="009265CF">
              <w:rPr>
                <w:rFonts w:eastAsia="Times New Roman" w:cstheme="minorHAnsi"/>
                <w:bCs/>
                <w:color w:val="000000"/>
              </w:rPr>
              <w:t>i Znaków Towarowych) nr 38701324</w:t>
            </w:r>
          </w:p>
          <w:p w14:paraId="79EE5ACB" w14:textId="1E2EFC15" w:rsidR="00D22DA2" w:rsidRDefault="00E94E2E" w:rsidP="00812440">
            <w:pPr>
              <w:pStyle w:val="Akapitzlist"/>
              <w:numPr>
                <w:ilvl w:val="0"/>
                <w:numId w:val="45"/>
              </w:numPr>
              <w:ind w:left="324" w:right="-540" w:hanging="335"/>
              <w:rPr>
                <w:rFonts w:eastAsia="Times New Roman" w:cstheme="minorHAnsi"/>
                <w:bCs/>
                <w:color w:val="000000"/>
              </w:rPr>
            </w:pPr>
            <w:r w:rsidRPr="009265CF">
              <w:rPr>
                <w:rFonts w:eastAsia="Times New Roman" w:cstheme="minorHAnsi"/>
                <w:bCs/>
                <w:color w:val="000000"/>
              </w:rPr>
              <w:t>pełnomocnik przed UPC (</w:t>
            </w:r>
            <w:proofErr w:type="spellStart"/>
            <w:r w:rsidRPr="00BF14F3">
              <w:rPr>
                <w:rFonts w:eastAsia="Times New Roman" w:cstheme="minorHAnsi"/>
                <w:bCs/>
                <w:color w:val="000000"/>
              </w:rPr>
              <w:t>Unitary</w:t>
            </w:r>
            <w:proofErr w:type="spellEnd"/>
            <w:r w:rsidRPr="00BF14F3">
              <w:rPr>
                <w:rFonts w:eastAsia="Times New Roman" w:cstheme="minorHAnsi"/>
                <w:bCs/>
                <w:color w:val="000000"/>
              </w:rPr>
              <w:t xml:space="preserve"> Patent Court</w:t>
            </w:r>
            <w:r w:rsidRPr="009265CF">
              <w:rPr>
                <w:rFonts w:eastAsia="Times New Roman" w:cstheme="minorHAnsi"/>
                <w:bCs/>
                <w:color w:val="000000"/>
              </w:rPr>
              <w:t xml:space="preserve"> </w:t>
            </w:r>
            <w:r w:rsidR="003A208A">
              <w:rPr>
                <w:rFonts w:eastAsia="Times New Roman" w:cstheme="minorHAnsi"/>
                <w:bCs/>
                <w:color w:val="000000"/>
              </w:rPr>
              <w:t>-</w:t>
            </w:r>
            <w:r w:rsidRPr="009265CF">
              <w:rPr>
                <w:rFonts w:eastAsia="Times New Roman" w:cstheme="minorHAnsi"/>
                <w:bCs/>
                <w:color w:val="000000"/>
              </w:rPr>
              <w:t xml:space="preserve"> Jednolitym Sądem Patentowym) AUTH_525119/2023</w:t>
            </w:r>
          </w:p>
          <w:p w14:paraId="75F6AB05" w14:textId="77777777" w:rsidR="00D22DA2" w:rsidRPr="00BF14F3" w:rsidRDefault="00E94E2E" w:rsidP="001F6BE3">
            <w:pPr>
              <w:pStyle w:val="Akapitzlist"/>
              <w:numPr>
                <w:ilvl w:val="0"/>
                <w:numId w:val="45"/>
              </w:numPr>
              <w:ind w:left="324" w:hanging="335"/>
              <w:rPr>
                <w:rFonts w:eastAsia="Times New Roman" w:cstheme="minorHAnsi"/>
                <w:bCs/>
                <w:color w:val="000000"/>
              </w:rPr>
            </w:pPr>
            <w:r w:rsidRPr="00BF14F3">
              <w:rPr>
                <w:rFonts w:eastAsia="Times New Roman" w:cstheme="minorHAnsi"/>
                <w:bCs/>
                <w:color w:val="000000"/>
              </w:rPr>
              <w:t>Prezes Polskiej Izby Rzeczników Patentowych w latach 2009-2013 i 2013-2017</w:t>
            </w:r>
          </w:p>
          <w:p w14:paraId="45705752" w14:textId="16FFFF6D" w:rsidR="002D7609" w:rsidRPr="00BF14F3" w:rsidRDefault="002D7609" w:rsidP="001F6BE3">
            <w:pPr>
              <w:pStyle w:val="Akapitzlist"/>
              <w:numPr>
                <w:ilvl w:val="0"/>
                <w:numId w:val="45"/>
              </w:numPr>
              <w:ind w:left="324" w:hanging="335"/>
              <w:rPr>
                <w:rFonts w:eastAsia="Times New Roman" w:cstheme="minorHAnsi"/>
                <w:bCs/>
                <w:color w:val="000000"/>
              </w:rPr>
            </w:pPr>
            <w:r w:rsidRPr="00BF14F3">
              <w:rPr>
                <w:rFonts w:eastAsia="Times New Roman" w:cstheme="minorHAnsi"/>
                <w:bCs/>
                <w:color w:val="000000"/>
              </w:rPr>
              <w:t>Prezes StoWI od 2023 r.</w:t>
            </w:r>
          </w:p>
          <w:p w14:paraId="628F38F7" w14:textId="77777777" w:rsidR="002D7609" w:rsidRPr="00765A57" w:rsidRDefault="002D7609" w:rsidP="002D7609">
            <w:pPr>
              <w:pStyle w:val="Akapitzlist"/>
              <w:ind w:left="669"/>
              <w:rPr>
                <w:rFonts w:ascii="Times New Roman" w:eastAsia="Times New Roman" w:hAnsi="Times New Roman" w:cstheme="minorHAnsi"/>
                <w:b/>
                <w:bCs/>
                <w:color w:val="000000"/>
                <w:sz w:val="6"/>
                <w:szCs w:val="6"/>
              </w:rPr>
            </w:pPr>
          </w:p>
        </w:tc>
      </w:tr>
      <w:tr w:rsidR="00E94E2E" w14:paraId="6F22FAB7" w14:textId="77777777" w:rsidTr="002169D5">
        <w:trPr>
          <w:trHeight w:val="2285"/>
        </w:trPr>
        <w:tc>
          <w:tcPr>
            <w:tcW w:w="1276" w:type="dxa"/>
          </w:tcPr>
          <w:p w14:paraId="03E76062" w14:textId="77777777" w:rsidR="001237AA" w:rsidRPr="001237AA" w:rsidRDefault="001237AA" w:rsidP="00C346B4">
            <w:pPr>
              <w:rPr>
                <w:noProof/>
                <w:sz w:val="6"/>
                <w:szCs w:val="6"/>
                <w:vertAlign w:val="subscript"/>
              </w:rPr>
            </w:pPr>
          </w:p>
          <w:p w14:paraId="4C937449" w14:textId="2F023CE8" w:rsidR="00E94E2E" w:rsidRPr="000E4A08" w:rsidRDefault="00E94E2E" w:rsidP="00C346B4">
            <w:pPr>
              <w:rPr>
                <w:rFonts w:cstheme="minorHAnsi"/>
                <w:b/>
                <w:bCs/>
                <w:color w:val="000000"/>
                <w:sz w:val="26"/>
                <w:szCs w:val="26"/>
                <w:vertAlign w:val="subscript"/>
              </w:rPr>
            </w:pPr>
            <w:r>
              <w:rPr>
                <w:noProof/>
                <w:sz w:val="18"/>
                <w:szCs w:val="18"/>
                <w:vertAlign w:val="subscript"/>
              </w:rPr>
              <w:softHyphen/>
            </w:r>
            <w:r>
              <w:rPr>
                <w:noProof/>
                <w:sz w:val="18"/>
                <w:szCs w:val="18"/>
                <w:vertAlign w:val="subscript"/>
              </w:rPr>
              <w:softHyphen/>
            </w:r>
            <w:r>
              <w:rPr>
                <w:noProof/>
                <w:sz w:val="18"/>
                <w:szCs w:val="18"/>
                <w:vertAlign w:val="subscript"/>
              </w:rPr>
              <w:softHyphen/>
            </w:r>
            <w:r>
              <w:rPr>
                <w:noProof/>
                <w:sz w:val="18"/>
                <w:szCs w:val="18"/>
                <w:vertAlign w:val="subscript"/>
              </w:rPr>
              <w:softHyphen/>
            </w:r>
            <w:r>
              <w:rPr>
                <w:noProof/>
                <w:sz w:val="18"/>
                <w:szCs w:val="18"/>
                <w:vertAlign w:val="subscript"/>
              </w:rPr>
              <w:softHyphen/>
            </w:r>
            <w:r>
              <w:rPr>
                <w:noProof/>
                <w:sz w:val="18"/>
                <w:szCs w:val="18"/>
                <w:vertAlign w:val="subscript"/>
              </w:rPr>
              <w:softHyphen/>
            </w:r>
            <w:r w:rsidR="002D7609">
              <w:rPr>
                <w:noProof/>
              </w:rPr>
              <w:drawing>
                <wp:inline distT="0" distB="0" distL="0" distR="0" wp14:anchorId="609BFE1D" wp14:editId="4F11DB55">
                  <wp:extent cx="662400" cy="900000"/>
                  <wp:effectExtent l="0" t="0" r="4445" b="0"/>
                  <wp:docPr id="182858030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80301" name="Obraz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222" w:type="dxa"/>
          </w:tcPr>
          <w:p w14:paraId="4FE0E9F0" w14:textId="77777777" w:rsidR="00E94E2E" w:rsidRDefault="00E94E2E" w:rsidP="00C346B4">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 xml:space="preserve">Ryszard MATUSIAK </w:t>
            </w:r>
          </w:p>
          <w:p w14:paraId="12B7910B"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rzecznik patentowy w latach 1978-97</w:t>
            </w:r>
          </w:p>
          <w:p w14:paraId="274408B9"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 xml:space="preserve">współzałożyciel Polskiej Izby Rzeczników Patentowych </w:t>
            </w:r>
          </w:p>
          <w:p w14:paraId="780F5DBF"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uczestnik I Krajowego Zjazdu w dniu 28.08.1993 r.</w:t>
            </w:r>
          </w:p>
          <w:p w14:paraId="008C5F9A"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Przewodniczący Głównej Komisji Rewizyjnej SIMP 28.06.2002-26.11.2022</w:t>
            </w:r>
          </w:p>
          <w:p w14:paraId="243C4A20"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 xml:space="preserve">Ekspert Urzędu Marszałkowskiego Województwa Wielkopolskiego </w:t>
            </w:r>
          </w:p>
          <w:p w14:paraId="37F4636D"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 xml:space="preserve">Wpisany przez Urząd Marszałkowski Województwa Wielkopolskiego na Listę Krajową Ekspertów </w:t>
            </w:r>
          </w:p>
          <w:p w14:paraId="35971B9C" w14:textId="77777777" w:rsidR="00CC15EE" w:rsidRPr="00CC15EE"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 xml:space="preserve">Przewodniczący </w:t>
            </w:r>
            <w:proofErr w:type="spellStart"/>
            <w:r w:rsidRPr="00CC15EE">
              <w:rPr>
                <w:rFonts w:eastAsia="Times New Roman" w:cstheme="minorHAnsi"/>
                <w:bCs/>
                <w:color w:val="000000"/>
              </w:rPr>
              <w:t>WKTiR</w:t>
            </w:r>
            <w:proofErr w:type="spellEnd"/>
            <w:r w:rsidRPr="00CC15EE">
              <w:rPr>
                <w:rFonts w:eastAsia="Times New Roman" w:cstheme="minorHAnsi"/>
                <w:bCs/>
                <w:color w:val="000000"/>
              </w:rPr>
              <w:t xml:space="preserve"> w Poznaniu (1981-1985) </w:t>
            </w:r>
          </w:p>
          <w:p w14:paraId="2E7C3C53" w14:textId="010B0B17" w:rsidR="009B7268" w:rsidRPr="00E43AE1" w:rsidRDefault="00CC15EE" w:rsidP="00CC15EE">
            <w:pPr>
              <w:pStyle w:val="Akapitzlist"/>
              <w:numPr>
                <w:ilvl w:val="0"/>
                <w:numId w:val="48"/>
              </w:numPr>
              <w:ind w:left="317" w:hanging="317"/>
              <w:rPr>
                <w:rFonts w:eastAsia="Times New Roman" w:cstheme="minorHAnsi"/>
                <w:bCs/>
                <w:color w:val="000000"/>
              </w:rPr>
            </w:pPr>
            <w:r w:rsidRPr="00CC15EE">
              <w:rPr>
                <w:rFonts w:eastAsia="Times New Roman" w:cstheme="minorHAnsi"/>
                <w:bCs/>
                <w:color w:val="000000"/>
              </w:rPr>
              <w:t>Rzeczoznawca SIMP</w:t>
            </w:r>
          </w:p>
        </w:tc>
      </w:tr>
    </w:tbl>
    <w:p w14:paraId="5C63C31D" w14:textId="77777777" w:rsidR="006E2F4F" w:rsidRDefault="006E2F4F" w:rsidP="00FE03BB">
      <w:pPr>
        <w:spacing w:after="0" w:line="240" w:lineRule="auto"/>
        <w:rPr>
          <w:b/>
          <w:bCs/>
          <w:kern w:val="0"/>
          <w:sz w:val="8"/>
          <w:szCs w:val="8"/>
        </w:rPr>
      </w:pPr>
    </w:p>
    <w:p w14:paraId="74C2D3A8" w14:textId="77777777" w:rsidR="00F1043D" w:rsidRDefault="00F1043D" w:rsidP="00FE03BB">
      <w:pPr>
        <w:spacing w:after="0" w:line="240" w:lineRule="auto"/>
        <w:rPr>
          <w:b/>
          <w:bCs/>
          <w:kern w:val="0"/>
          <w:sz w:val="8"/>
          <w:szCs w:val="8"/>
        </w:rPr>
      </w:pPr>
    </w:p>
    <w:p w14:paraId="08319D90" w14:textId="77777777" w:rsidR="00F1043D" w:rsidRDefault="00F1043D" w:rsidP="00F1043D">
      <w:pPr>
        <w:spacing w:after="0" w:line="240" w:lineRule="auto"/>
        <w:jc w:val="center"/>
        <w:rPr>
          <w:b/>
          <w:bCs/>
          <w:kern w:val="0"/>
          <w:sz w:val="24"/>
          <w:szCs w:val="24"/>
        </w:rPr>
      </w:pPr>
    </w:p>
    <w:p w14:paraId="29A3AA0F" w14:textId="77777777" w:rsidR="00F1043D" w:rsidRDefault="00F1043D" w:rsidP="00F1043D">
      <w:pPr>
        <w:spacing w:after="0" w:line="240" w:lineRule="auto"/>
        <w:jc w:val="center"/>
        <w:rPr>
          <w:b/>
          <w:bCs/>
          <w:kern w:val="0"/>
          <w:sz w:val="24"/>
          <w:szCs w:val="24"/>
        </w:rPr>
      </w:pPr>
    </w:p>
    <w:p w14:paraId="04BA8C32" w14:textId="77777777" w:rsidR="00F1043D" w:rsidRDefault="00F1043D" w:rsidP="00F1043D">
      <w:pPr>
        <w:spacing w:after="0" w:line="240" w:lineRule="auto"/>
        <w:jc w:val="center"/>
        <w:rPr>
          <w:b/>
          <w:bCs/>
          <w:kern w:val="0"/>
          <w:sz w:val="24"/>
          <w:szCs w:val="24"/>
        </w:rPr>
      </w:pPr>
    </w:p>
    <w:p w14:paraId="401A4626" w14:textId="0992DED4" w:rsidR="00F1043D" w:rsidRPr="00F1043D" w:rsidRDefault="00F1043D" w:rsidP="00F1043D">
      <w:pPr>
        <w:spacing w:after="0" w:line="240" w:lineRule="auto"/>
        <w:jc w:val="center"/>
        <w:rPr>
          <w:b/>
          <w:bCs/>
          <w:kern w:val="0"/>
          <w:sz w:val="24"/>
          <w:szCs w:val="24"/>
        </w:rPr>
      </w:pPr>
      <w:r>
        <w:rPr>
          <w:b/>
          <w:bCs/>
          <w:kern w:val="0"/>
          <w:sz w:val="24"/>
          <w:szCs w:val="24"/>
        </w:rPr>
        <w:lastRenderedPageBreak/>
        <w:t xml:space="preserve">* * * </w:t>
      </w:r>
    </w:p>
    <w:p w14:paraId="3A53D1DF" w14:textId="77777777" w:rsidR="00F1043D" w:rsidRPr="006E2F4F" w:rsidRDefault="00F1043D" w:rsidP="00FE03BB">
      <w:pPr>
        <w:spacing w:after="0" w:line="240" w:lineRule="auto"/>
        <w:rPr>
          <w:b/>
          <w:bCs/>
          <w:kern w:val="0"/>
          <w:sz w:val="8"/>
          <w:szCs w:val="8"/>
        </w:rPr>
      </w:pPr>
    </w:p>
    <w:p w14:paraId="5F27C8B2" w14:textId="2B7E18AA" w:rsidR="008038B3" w:rsidRDefault="00252DC6" w:rsidP="00252DC6">
      <w:pPr>
        <w:spacing w:after="0"/>
        <w:rPr>
          <w:sz w:val="20"/>
          <w:szCs w:val="20"/>
        </w:rPr>
      </w:pPr>
      <w:bookmarkStart w:id="30" w:name="_Hlk169168292"/>
      <w:r>
        <w:rPr>
          <w:noProof/>
          <w:sz w:val="20"/>
          <w:szCs w:val="20"/>
          <w:lang w:eastAsia="pl-PL"/>
        </w:rPr>
        <w:drawing>
          <wp:inline distT="0" distB="0" distL="0" distR="0" wp14:anchorId="1440D906" wp14:editId="22415159">
            <wp:extent cx="6186805" cy="2814320"/>
            <wp:effectExtent l="0" t="0" r="4445" b="5080"/>
            <wp:docPr id="1848271521" name="Obraz 184827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6805" cy="2814320"/>
                    </a:xfrm>
                    <a:prstGeom prst="rect">
                      <a:avLst/>
                    </a:prstGeom>
                    <a:noFill/>
                    <a:ln>
                      <a:noFill/>
                    </a:ln>
                  </pic:spPr>
                </pic:pic>
              </a:graphicData>
            </a:graphic>
          </wp:inline>
        </w:drawing>
      </w:r>
    </w:p>
    <w:bookmarkEnd w:id="30"/>
    <w:p w14:paraId="406C076B" w14:textId="77777777" w:rsidR="00D06C0F" w:rsidRPr="00252DC6" w:rsidRDefault="00D06C0F" w:rsidP="00252DC6">
      <w:pPr>
        <w:spacing w:after="0"/>
        <w:rPr>
          <w:sz w:val="20"/>
          <w:szCs w:val="20"/>
        </w:rPr>
      </w:pPr>
    </w:p>
    <w:p w14:paraId="10BDEBA9" w14:textId="77777777" w:rsidR="000A08D7" w:rsidRPr="005C4681" w:rsidRDefault="00FE03BB" w:rsidP="00D06C0F">
      <w:pPr>
        <w:spacing w:after="0" w:line="264" w:lineRule="auto"/>
        <w:ind w:left="113" w:right="62" w:hanging="11"/>
        <w:jc w:val="both"/>
        <w:rPr>
          <w:rFonts w:ascii="Times New Roman" w:eastAsia="Calibri" w:hAnsi="Times New Roman" w:cs="Times New Roman"/>
          <w:sz w:val="24"/>
          <w:szCs w:val="24"/>
        </w:rPr>
      </w:pPr>
      <w:r w:rsidRPr="005C4681">
        <w:rPr>
          <w:rFonts w:ascii="Times New Roman" w:eastAsia="Calibri" w:hAnsi="Times New Roman" w:cs="Times New Roman"/>
          <w:sz w:val="24"/>
          <w:szCs w:val="24"/>
        </w:rPr>
        <w:t>W liście otwartym z 24.11.2021 r. prosiliśmy o to, by Urząd Patentowy RP udo</w:t>
      </w:r>
      <w:r w:rsidR="00252DC6" w:rsidRPr="005C4681">
        <w:rPr>
          <w:rFonts w:ascii="Times New Roman" w:eastAsia="Calibri" w:hAnsi="Times New Roman" w:cs="Times New Roman"/>
          <w:sz w:val="24"/>
          <w:szCs w:val="24"/>
        </w:rPr>
        <w:t>stępniał informacje o stanie pra</w:t>
      </w:r>
      <w:r w:rsidRPr="005C4681">
        <w:rPr>
          <w:rFonts w:ascii="Times New Roman" w:eastAsia="Calibri" w:hAnsi="Times New Roman" w:cs="Times New Roman"/>
          <w:sz w:val="24"/>
          <w:szCs w:val="24"/>
        </w:rPr>
        <w:t>w:</w:t>
      </w:r>
    </w:p>
    <w:p w14:paraId="1A09B789" w14:textId="0D9998ED" w:rsidR="00D06C0F" w:rsidRPr="00C03056" w:rsidRDefault="00B82931" w:rsidP="00D06C0F">
      <w:pPr>
        <w:spacing w:after="0" w:line="264" w:lineRule="auto"/>
        <w:ind w:left="113" w:right="62" w:hanging="11"/>
        <w:jc w:val="both"/>
        <w:rPr>
          <w:rFonts w:ascii="Times New Roman" w:hAnsi="Times New Roman" w:cs="Times New Roman"/>
          <w:color w:val="2E74B5" w:themeColor="accent5" w:themeShade="BF"/>
          <w:sz w:val="24"/>
          <w:szCs w:val="24"/>
          <w:u w:val="single" w:color="000000"/>
        </w:rPr>
      </w:pPr>
      <w:hyperlink r:id="rId40" w:history="1">
        <w:r w:rsidR="000A08D7" w:rsidRPr="00C03056">
          <w:rPr>
            <w:rStyle w:val="Hipercze"/>
            <w:rFonts w:ascii="Times New Roman" w:hAnsi="Times New Roman" w:cs="Times New Roman"/>
            <w:color w:val="2E74B5" w:themeColor="accent5" w:themeShade="BF"/>
            <w:sz w:val="24"/>
            <w:szCs w:val="24"/>
          </w:rPr>
          <w:t>https://stowi.pl/list-otwarty-w-sprawie-braku-istotnych-informacji-dot-aktualnego-stanu-praw/</w:t>
        </w:r>
      </w:hyperlink>
      <w:r w:rsidR="00FE03BB" w:rsidRPr="00C03056">
        <w:rPr>
          <w:rFonts w:ascii="Times New Roman" w:hAnsi="Times New Roman" w:cs="Times New Roman"/>
          <w:color w:val="2E74B5" w:themeColor="accent5" w:themeShade="BF"/>
          <w:sz w:val="24"/>
          <w:szCs w:val="24"/>
          <w:u w:val="single" w:color="000000"/>
        </w:rPr>
        <w:t xml:space="preserve"> </w:t>
      </w:r>
    </w:p>
    <w:p w14:paraId="06A368DC" w14:textId="0C259D21" w:rsidR="00FE03BB" w:rsidRPr="005C4681" w:rsidRDefault="00FE03BB" w:rsidP="00D6180A">
      <w:pPr>
        <w:spacing w:after="0" w:line="264" w:lineRule="auto"/>
        <w:ind w:left="113" w:right="62" w:hanging="11"/>
        <w:jc w:val="both"/>
        <w:rPr>
          <w:rFonts w:ascii="Times New Roman" w:eastAsia="Calibri" w:hAnsi="Times New Roman" w:cs="Times New Roman"/>
          <w:sz w:val="24"/>
          <w:szCs w:val="24"/>
        </w:rPr>
      </w:pPr>
      <w:r w:rsidRPr="005C4681">
        <w:rPr>
          <w:rFonts w:ascii="Times New Roman" w:eastAsia="Calibri" w:hAnsi="Times New Roman" w:cs="Times New Roman"/>
          <w:sz w:val="24"/>
          <w:szCs w:val="24"/>
        </w:rPr>
        <w:t>Cel ten nieste</w:t>
      </w:r>
      <w:r w:rsidR="00252DC6" w:rsidRPr="005C4681">
        <w:rPr>
          <w:rFonts w:ascii="Times New Roman" w:eastAsia="Calibri" w:hAnsi="Times New Roman" w:cs="Times New Roman"/>
          <w:sz w:val="24"/>
          <w:szCs w:val="24"/>
        </w:rPr>
        <w:t>ty wciąż nie został osiągnięty.</w:t>
      </w:r>
    </w:p>
    <w:p w14:paraId="31AD5BDA" w14:textId="77777777" w:rsidR="005C4681" w:rsidRDefault="005C4681" w:rsidP="00D6180A">
      <w:pPr>
        <w:spacing w:after="0" w:line="216" w:lineRule="auto"/>
        <w:ind w:left="142" w:right="-6"/>
        <w:jc w:val="both"/>
        <w:rPr>
          <w:rFonts w:ascii="Times New Roman" w:hAnsi="Times New Roman" w:cs="Times New Roman"/>
          <w:i/>
          <w:iCs/>
          <w:sz w:val="2"/>
          <w:szCs w:val="2"/>
        </w:rPr>
      </w:pPr>
    </w:p>
    <w:p w14:paraId="3C970A02" w14:textId="77777777" w:rsidR="00D6180A" w:rsidRDefault="00D6180A" w:rsidP="00D6180A">
      <w:pPr>
        <w:spacing w:after="0" w:line="216" w:lineRule="auto"/>
        <w:ind w:left="142" w:right="-6"/>
        <w:jc w:val="both"/>
        <w:rPr>
          <w:rFonts w:ascii="Times New Roman" w:hAnsi="Times New Roman" w:cs="Times New Roman"/>
          <w:i/>
          <w:iCs/>
          <w:sz w:val="2"/>
          <w:szCs w:val="2"/>
        </w:rPr>
      </w:pPr>
    </w:p>
    <w:p w14:paraId="69F6FD57" w14:textId="77777777" w:rsidR="00D6180A" w:rsidRPr="005C4681" w:rsidRDefault="00D6180A" w:rsidP="00D6180A">
      <w:pPr>
        <w:spacing w:after="0" w:line="216" w:lineRule="auto"/>
        <w:ind w:left="142" w:right="-6"/>
        <w:jc w:val="both"/>
        <w:rPr>
          <w:rFonts w:ascii="Times New Roman" w:hAnsi="Times New Roman" w:cs="Times New Roman"/>
          <w:i/>
          <w:iCs/>
          <w:sz w:val="2"/>
          <w:szCs w:val="2"/>
        </w:rPr>
      </w:pPr>
    </w:p>
    <w:p w14:paraId="45FA6875" w14:textId="0F119C7F" w:rsidR="00FE03BB" w:rsidRPr="005C4681" w:rsidRDefault="000A08D7" w:rsidP="00D6180A">
      <w:pPr>
        <w:spacing w:after="0" w:line="216" w:lineRule="auto"/>
        <w:ind w:left="142" w:right="-6"/>
        <w:jc w:val="both"/>
        <w:rPr>
          <w:rFonts w:ascii="Times New Roman" w:hAnsi="Times New Roman" w:cs="Times New Roman"/>
          <w:i/>
          <w:iCs/>
          <w:sz w:val="24"/>
          <w:szCs w:val="24"/>
        </w:rPr>
      </w:pPr>
      <w:r w:rsidRPr="005C4681">
        <w:rPr>
          <w:rFonts w:ascii="Times New Roman" w:hAnsi="Times New Roman" w:cs="Times New Roman"/>
          <w:i/>
          <w:iCs/>
          <w:sz w:val="24"/>
          <w:szCs w:val="24"/>
        </w:rPr>
        <w:t xml:space="preserve">3. </w:t>
      </w:r>
      <w:r w:rsidR="00FE03BB" w:rsidRPr="005C4681">
        <w:rPr>
          <w:rFonts w:ascii="Times New Roman" w:hAnsi="Times New Roman" w:cs="Times New Roman"/>
          <w:i/>
          <w:iCs/>
          <w:sz w:val="24"/>
          <w:szCs w:val="24"/>
        </w:rPr>
        <w:t>Pozostajemy z poważaniem i pozostajemy do dyspozycji Państwa, jeśli życzyć sobie będziecie pomocy w opracowaniu rozwiązań pranych usprawniających pracę tej jakże ważne instytucji, jaką jest urząd Patentowy Rzeczpospolitej Polskiej.</w:t>
      </w:r>
    </w:p>
    <w:p w14:paraId="3286349C" w14:textId="19A7C884" w:rsidR="00FE03BB" w:rsidRPr="00252DC6" w:rsidRDefault="00252DC6" w:rsidP="00252DC6">
      <w:pPr>
        <w:spacing w:line="216" w:lineRule="auto"/>
        <w:ind w:right="-6"/>
        <w:jc w:val="both"/>
        <w:rPr>
          <w:sz w:val="14"/>
          <w:szCs w:val="20"/>
        </w:rPr>
      </w:pPr>
      <w:r>
        <w:rPr>
          <w:noProof/>
          <w:sz w:val="14"/>
          <w:szCs w:val="20"/>
          <w:lang w:eastAsia="pl-PL"/>
        </w:rPr>
        <w:drawing>
          <wp:inline distT="0" distB="0" distL="0" distR="0" wp14:anchorId="67C5FA7D" wp14:editId="7D435F21">
            <wp:extent cx="6186805" cy="1959610"/>
            <wp:effectExtent l="0" t="0" r="4445" b="2540"/>
            <wp:docPr id="1848271523" name="Obraz 184827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6805" cy="1959610"/>
                    </a:xfrm>
                    <a:prstGeom prst="rect">
                      <a:avLst/>
                    </a:prstGeom>
                    <a:noFill/>
                    <a:ln>
                      <a:noFill/>
                    </a:ln>
                  </pic:spPr>
                </pic:pic>
              </a:graphicData>
            </a:graphic>
          </wp:inline>
        </w:drawing>
      </w:r>
    </w:p>
    <w:p w14:paraId="50DBA482" w14:textId="72913D76" w:rsidR="00252DC6" w:rsidRDefault="00252DC6" w:rsidP="00FE03BB">
      <w:pPr>
        <w:spacing w:after="0"/>
        <w:rPr>
          <w:b/>
          <w:bCs/>
        </w:rPr>
      </w:pPr>
      <w:bookmarkStart w:id="31" w:name="_Hlk156314310"/>
    </w:p>
    <w:p w14:paraId="3DBBF197" w14:textId="77777777" w:rsidR="00F1043D" w:rsidRPr="00F1043D" w:rsidRDefault="00F1043D" w:rsidP="00F1043D">
      <w:pPr>
        <w:spacing w:after="0" w:line="240" w:lineRule="auto"/>
        <w:jc w:val="center"/>
        <w:rPr>
          <w:b/>
          <w:bCs/>
          <w:kern w:val="0"/>
          <w:sz w:val="24"/>
          <w:szCs w:val="24"/>
        </w:rPr>
      </w:pPr>
      <w:bookmarkStart w:id="32" w:name="_Hlk169207534"/>
      <w:r>
        <w:rPr>
          <w:b/>
          <w:bCs/>
          <w:kern w:val="0"/>
          <w:sz w:val="24"/>
          <w:szCs w:val="24"/>
        </w:rPr>
        <w:t xml:space="preserve">* * * </w:t>
      </w:r>
    </w:p>
    <w:p w14:paraId="48BAB4EE" w14:textId="77777777" w:rsidR="00F1043D" w:rsidRDefault="00F1043D" w:rsidP="00FE03BB">
      <w:pPr>
        <w:spacing w:after="0"/>
        <w:rPr>
          <w:b/>
          <w:bCs/>
          <w:sz w:val="24"/>
          <w:szCs w:val="24"/>
        </w:rPr>
      </w:pPr>
    </w:p>
    <w:p w14:paraId="19365BCD" w14:textId="52E8D185" w:rsidR="00A65523" w:rsidRPr="005C745D" w:rsidRDefault="005C745D" w:rsidP="00FE03BB">
      <w:pPr>
        <w:spacing w:after="0"/>
        <w:rPr>
          <w:b/>
          <w:bCs/>
          <w:sz w:val="24"/>
          <w:szCs w:val="24"/>
        </w:rPr>
      </w:pPr>
      <w:r w:rsidRPr="005C745D">
        <w:rPr>
          <w:b/>
          <w:bCs/>
          <w:sz w:val="24"/>
          <w:szCs w:val="24"/>
        </w:rPr>
        <w:t>Uwaga Redakcji:</w:t>
      </w:r>
    </w:p>
    <w:bookmarkEnd w:id="32"/>
    <w:p w14:paraId="28A7D8FE" w14:textId="51A1C9A0" w:rsidR="00E94E2E" w:rsidRPr="00C01756" w:rsidRDefault="006779E4" w:rsidP="006779E4">
      <w:pPr>
        <w:spacing w:after="0"/>
        <w:jc w:val="both"/>
        <w:rPr>
          <w:sz w:val="24"/>
          <w:szCs w:val="24"/>
        </w:rPr>
      </w:pPr>
      <w:r w:rsidRPr="00C01756">
        <w:rPr>
          <w:sz w:val="24"/>
          <w:szCs w:val="24"/>
        </w:rPr>
        <w:t xml:space="preserve">Niżej przedstawiona została </w:t>
      </w:r>
      <w:r w:rsidRPr="00C01756">
        <w:rPr>
          <w:b/>
          <w:bCs/>
          <w:sz w:val="24"/>
          <w:szCs w:val="24"/>
        </w:rPr>
        <w:t>o</w:t>
      </w:r>
      <w:r w:rsidR="00FE03BB" w:rsidRPr="00C01756">
        <w:rPr>
          <w:b/>
          <w:bCs/>
          <w:sz w:val="24"/>
          <w:szCs w:val="24"/>
        </w:rPr>
        <w:t>dpowiedź</w:t>
      </w:r>
      <w:r w:rsidR="007C375C" w:rsidRPr="00C01756">
        <w:rPr>
          <w:sz w:val="24"/>
          <w:szCs w:val="24"/>
        </w:rPr>
        <w:t>,</w:t>
      </w:r>
      <w:r w:rsidR="00FE03BB" w:rsidRPr="00C01756">
        <w:rPr>
          <w:sz w:val="24"/>
          <w:szCs w:val="24"/>
        </w:rPr>
        <w:t xml:space="preserve"> jaką Pani </w:t>
      </w:r>
      <w:r w:rsidR="00FE03BB" w:rsidRPr="00C01756">
        <w:rPr>
          <w:b/>
          <w:bCs/>
          <w:sz w:val="24"/>
          <w:szCs w:val="24"/>
        </w:rPr>
        <w:t>Edyta DEMBY-SIWEK, Prezes Urzędu Patentowego RP</w:t>
      </w:r>
      <w:r w:rsidRPr="00C01756">
        <w:rPr>
          <w:sz w:val="24"/>
          <w:szCs w:val="24"/>
        </w:rPr>
        <w:t xml:space="preserve"> przekazała do Stowarzyszenia StoWI:</w:t>
      </w:r>
    </w:p>
    <w:p w14:paraId="3592EB3F" w14:textId="77777777" w:rsidR="00C566AC" w:rsidRPr="00EA4494" w:rsidRDefault="00C566AC" w:rsidP="005C745D">
      <w:pPr>
        <w:spacing w:after="0"/>
        <w:jc w:val="both"/>
        <w:rPr>
          <w:b/>
          <w:bCs/>
          <w:kern w:val="0"/>
          <w:sz w:val="10"/>
          <w:szCs w:val="10"/>
        </w:rPr>
      </w:pPr>
    </w:p>
    <w:p w14:paraId="4E4D5475" w14:textId="51B8169B" w:rsidR="0098587E" w:rsidRPr="00017FFD" w:rsidRDefault="005C745D" w:rsidP="005C745D">
      <w:pPr>
        <w:spacing w:after="0"/>
        <w:jc w:val="both"/>
        <w:rPr>
          <w:b/>
          <w:bCs/>
          <w:color w:val="2E74B5" w:themeColor="accent5" w:themeShade="BF"/>
          <w:kern w:val="0"/>
          <w:lang w:val="en-US"/>
        </w:rPr>
      </w:pPr>
      <w:r w:rsidRPr="00017FFD">
        <w:rPr>
          <w:b/>
          <w:bCs/>
          <w:color w:val="2E74B5" w:themeColor="accent5" w:themeShade="BF"/>
          <w:kern w:val="0"/>
          <w:lang w:val="en-US"/>
        </w:rPr>
        <w:t xml:space="preserve">Editor's </w:t>
      </w:r>
      <w:r w:rsidR="00C03056" w:rsidRPr="00017FFD">
        <w:rPr>
          <w:b/>
          <w:bCs/>
          <w:color w:val="2E74B5" w:themeColor="accent5" w:themeShade="BF"/>
          <w:kern w:val="0"/>
          <w:lang w:val="en-US"/>
        </w:rPr>
        <w:t>N</w:t>
      </w:r>
      <w:r w:rsidRPr="00017FFD">
        <w:rPr>
          <w:b/>
          <w:bCs/>
          <w:color w:val="2E74B5" w:themeColor="accent5" w:themeShade="BF"/>
          <w:kern w:val="0"/>
          <w:lang w:val="en-US"/>
        </w:rPr>
        <w:t xml:space="preserve">ote: </w:t>
      </w:r>
      <w:r w:rsidR="003316F0" w:rsidRPr="00017FFD">
        <w:rPr>
          <w:color w:val="2E74B5" w:themeColor="accent5" w:themeShade="BF"/>
          <w:sz w:val="24"/>
          <w:szCs w:val="24"/>
          <w:lang w:val="en-US"/>
        </w:rPr>
        <w:t xml:space="preserve"> </w:t>
      </w:r>
    </w:p>
    <w:p w14:paraId="129A42A6" w14:textId="128F4441" w:rsidR="0098587E" w:rsidRPr="00017FFD" w:rsidRDefault="0098587E" w:rsidP="00FE03BB">
      <w:pPr>
        <w:spacing w:after="0"/>
        <w:rPr>
          <w:color w:val="2E74B5" w:themeColor="accent5" w:themeShade="BF"/>
          <w:sz w:val="24"/>
          <w:szCs w:val="24"/>
          <w:lang w:val="en-US"/>
        </w:rPr>
      </w:pPr>
      <w:r w:rsidRPr="00017FFD">
        <w:rPr>
          <w:color w:val="2E74B5" w:themeColor="accent5" w:themeShade="BF"/>
          <w:sz w:val="24"/>
          <w:szCs w:val="24"/>
          <w:lang w:val="en-US"/>
        </w:rPr>
        <w:t xml:space="preserve">The following is the </w:t>
      </w:r>
      <w:r w:rsidRPr="00017FFD">
        <w:rPr>
          <w:b/>
          <w:bCs/>
          <w:color w:val="2E74B5" w:themeColor="accent5" w:themeShade="BF"/>
          <w:sz w:val="24"/>
          <w:szCs w:val="24"/>
          <w:lang w:val="en-US"/>
        </w:rPr>
        <w:t>response</w:t>
      </w:r>
      <w:r w:rsidRPr="00017FFD">
        <w:rPr>
          <w:color w:val="2E74B5" w:themeColor="accent5" w:themeShade="BF"/>
          <w:sz w:val="24"/>
          <w:szCs w:val="24"/>
          <w:lang w:val="en-US"/>
        </w:rPr>
        <w:t xml:space="preserve"> of Mrs. </w:t>
      </w:r>
      <w:r w:rsidRPr="00017FFD">
        <w:rPr>
          <w:b/>
          <w:bCs/>
          <w:color w:val="2E74B5" w:themeColor="accent5" w:themeShade="BF"/>
          <w:sz w:val="24"/>
          <w:szCs w:val="24"/>
          <w:lang w:val="en-US"/>
        </w:rPr>
        <w:t>Edyta DEMBY-SIWEK, President of the Patent Office of the Republic of Poland</w:t>
      </w:r>
      <w:r w:rsidRPr="00017FFD">
        <w:rPr>
          <w:color w:val="2E74B5" w:themeColor="accent5" w:themeShade="BF"/>
          <w:sz w:val="24"/>
          <w:szCs w:val="24"/>
          <w:lang w:val="en-US"/>
        </w:rPr>
        <w:t>, which has been sent to the StoWI Association:</w:t>
      </w:r>
    </w:p>
    <w:p w14:paraId="1CE56116" w14:textId="77777777" w:rsidR="0098587E" w:rsidRPr="0098587E" w:rsidRDefault="0098587E" w:rsidP="00FE03BB">
      <w:pPr>
        <w:spacing w:after="0"/>
        <w:rPr>
          <w:sz w:val="26"/>
          <w:szCs w:val="26"/>
          <w:lang w:val="en-US"/>
        </w:rPr>
      </w:pPr>
    </w:p>
    <w:bookmarkEnd w:id="31"/>
    <w:p w14:paraId="6E3FBB18" w14:textId="77777777" w:rsidR="00FE03BB" w:rsidRPr="00EC4F25" w:rsidRDefault="00FE03BB" w:rsidP="00977386">
      <w:pPr>
        <w:jc w:val="center"/>
        <w:rPr>
          <w:sz w:val="20"/>
          <w:szCs w:val="20"/>
        </w:rPr>
      </w:pPr>
      <w:r w:rsidRPr="00EC4F25">
        <w:rPr>
          <w:noProof/>
          <w:sz w:val="20"/>
          <w:szCs w:val="20"/>
          <w:lang w:eastAsia="pl-PL"/>
        </w:rPr>
        <w:lastRenderedPageBreak/>
        <w:drawing>
          <wp:inline distT="0" distB="0" distL="0" distR="0" wp14:anchorId="063E6769" wp14:editId="1D99F987">
            <wp:extent cx="5416550" cy="6143252"/>
            <wp:effectExtent l="0" t="0" r="0" b="0"/>
            <wp:docPr id="221795129" name="Obraz 7" descr="Obraz zawierający tekst, zrzut ekranu, list, dokumen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95129" name="Obraz 7" descr="Obraz zawierający tekst, zrzut ekranu, list, dokument&#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2565" cy="6161416"/>
                    </a:xfrm>
                    <a:prstGeom prst="rect">
                      <a:avLst/>
                    </a:prstGeom>
                    <a:noFill/>
                    <a:ln>
                      <a:noFill/>
                    </a:ln>
                  </pic:spPr>
                </pic:pic>
              </a:graphicData>
            </a:graphic>
          </wp:inline>
        </w:drawing>
      </w:r>
    </w:p>
    <w:p w14:paraId="1DF98A19" w14:textId="77777777" w:rsidR="00FE03BB" w:rsidRDefault="00FE03BB" w:rsidP="00977386">
      <w:pPr>
        <w:spacing w:after="0"/>
        <w:jc w:val="center"/>
        <w:rPr>
          <w:sz w:val="20"/>
          <w:szCs w:val="20"/>
        </w:rPr>
      </w:pPr>
      <w:r w:rsidRPr="00EC4F25">
        <w:rPr>
          <w:noProof/>
          <w:sz w:val="20"/>
          <w:szCs w:val="20"/>
          <w:lang w:eastAsia="pl-PL"/>
        </w:rPr>
        <w:lastRenderedPageBreak/>
        <w:drawing>
          <wp:inline distT="0" distB="0" distL="0" distR="0" wp14:anchorId="7F9AF051" wp14:editId="760256B2">
            <wp:extent cx="5626100" cy="3510894"/>
            <wp:effectExtent l="0" t="0" r="0" b="0"/>
            <wp:docPr id="529422191" name="Obraz 6" descr="Obraz zawierający tekst, paragon, Czcionka, dokumen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22191" name="Obraz 6" descr="Obraz zawierający tekst, paragon, Czcionka, dokument&#10;&#10;Opis wygenerowany automatyczni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33215" cy="3515334"/>
                    </a:xfrm>
                    <a:prstGeom prst="rect">
                      <a:avLst/>
                    </a:prstGeom>
                    <a:noFill/>
                    <a:ln>
                      <a:noFill/>
                    </a:ln>
                  </pic:spPr>
                </pic:pic>
              </a:graphicData>
            </a:graphic>
          </wp:inline>
        </w:drawing>
      </w:r>
    </w:p>
    <w:p w14:paraId="6E30139B" w14:textId="77777777" w:rsidR="00F1043D" w:rsidRPr="00F1043D" w:rsidRDefault="00F1043D" w:rsidP="00F1043D">
      <w:pPr>
        <w:spacing w:after="0" w:line="240" w:lineRule="auto"/>
        <w:jc w:val="center"/>
        <w:rPr>
          <w:b/>
          <w:bCs/>
          <w:kern w:val="0"/>
          <w:sz w:val="24"/>
          <w:szCs w:val="24"/>
        </w:rPr>
      </w:pPr>
      <w:r>
        <w:rPr>
          <w:b/>
          <w:bCs/>
          <w:kern w:val="0"/>
          <w:sz w:val="24"/>
          <w:szCs w:val="24"/>
        </w:rPr>
        <w:t xml:space="preserve">* * * </w:t>
      </w:r>
    </w:p>
    <w:p w14:paraId="2CFA0FB5" w14:textId="77777777" w:rsidR="001E4CF6" w:rsidRPr="008B5A97" w:rsidRDefault="001E4CF6" w:rsidP="00BB4BF9">
      <w:pPr>
        <w:shd w:val="clear" w:color="auto" w:fill="FFFFFF"/>
        <w:spacing w:after="0" w:line="240" w:lineRule="auto"/>
        <w:jc w:val="both"/>
        <w:rPr>
          <w:sz w:val="24"/>
          <w:szCs w:val="24"/>
          <w:u w:val="single"/>
        </w:rPr>
      </w:pPr>
    </w:p>
    <w:p w14:paraId="75DC0D86" w14:textId="202BD3FB" w:rsidR="001E4CF6" w:rsidRPr="005C745D" w:rsidRDefault="005C745D" w:rsidP="001E4CF6">
      <w:pPr>
        <w:spacing w:after="0"/>
        <w:rPr>
          <w:b/>
          <w:bCs/>
          <w:sz w:val="24"/>
          <w:szCs w:val="24"/>
        </w:rPr>
      </w:pPr>
      <w:bookmarkStart w:id="33" w:name="_Hlk169205959"/>
      <w:bookmarkStart w:id="34" w:name="_Hlk169372329"/>
      <w:r w:rsidRPr="005C745D">
        <w:rPr>
          <w:b/>
          <w:bCs/>
          <w:sz w:val="24"/>
          <w:szCs w:val="24"/>
        </w:rPr>
        <w:t>Uwaga Redakcji:</w:t>
      </w:r>
    </w:p>
    <w:p w14:paraId="7426C0E0" w14:textId="5C9DA4E1" w:rsidR="00874B83" w:rsidRDefault="00750F8F" w:rsidP="001E4CF6">
      <w:pPr>
        <w:spacing w:after="0" w:line="240" w:lineRule="auto"/>
        <w:jc w:val="both"/>
        <w:rPr>
          <w:b/>
          <w:bCs/>
          <w:sz w:val="24"/>
          <w:szCs w:val="24"/>
        </w:rPr>
      </w:pPr>
      <w:r w:rsidRPr="00A65523">
        <w:rPr>
          <w:sz w:val="24"/>
          <w:szCs w:val="24"/>
        </w:rPr>
        <w:t>LIST</w:t>
      </w:r>
      <w:r>
        <w:rPr>
          <w:sz w:val="24"/>
          <w:szCs w:val="24"/>
        </w:rPr>
        <w:t>Y</w:t>
      </w:r>
      <w:r w:rsidRPr="00A65523">
        <w:rPr>
          <w:sz w:val="24"/>
          <w:szCs w:val="24"/>
        </w:rPr>
        <w:t xml:space="preserve"> OTWART</w:t>
      </w:r>
      <w:r>
        <w:rPr>
          <w:sz w:val="24"/>
          <w:szCs w:val="24"/>
        </w:rPr>
        <w:t>E</w:t>
      </w:r>
      <w:r w:rsidR="001E4CF6" w:rsidRPr="00A65523">
        <w:rPr>
          <w:sz w:val="24"/>
          <w:szCs w:val="24"/>
        </w:rPr>
        <w:t>, który</w:t>
      </w:r>
      <w:r w:rsidR="00874B83">
        <w:rPr>
          <w:sz w:val="24"/>
          <w:szCs w:val="24"/>
        </w:rPr>
        <w:t>ch</w:t>
      </w:r>
      <w:r w:rsidR="001E4CF6" w:rsidRPr="00A65523">
        <w:rPr>
          <w:sz w:val="24"/>
          <w:szCs w:val="24"/>
        </w:rPr>
        <w:t xml:space="preserve"> autorzy </w:t>
      </w:r>
      <w:r>
        <w:rPr>
          <w:sz w:val="24"/>
          <w:szCs w:val="24"/>
        </w:rPr>
        <w:t xml:space="preserve">przypominali, </w:t>
      </w:r>
      <w:r w:rsidR="00874B83">
        <w:rPr>
          <w:sz w:val="24"/>
          <w:szCs w:val="24"/>
        </w:rPr>
        <w:t xml:space="preserve">że </w:t>
      </w:r>
      <w:r w:rsidR="001E4CF6" w:rsidRPr="00874B83">
        <w:rPr>
          <w:b/>
          <w:bCs/>
          <w:sz w:val="24"/>
          <w:szCs w:val="24"/>
        </w:rPr>
        <w:t xml:space="preserve">Patentowy RP </w:t>
      </w:r>
      <w:r w:rsidR="00CC77E1">
        <w:rPr>
          <w:b/>
          <w:bCs/>
          <w:sz w:val="24"/>
          <w:szCs w:val="24"/>
        </w:rPr>
        <w:t xml:space="preserve">udostępnia </w:t>
      </w:r>
      <w:r w:rsidR="00D86D1D">
        <w:rPr>
          <w:b/>
          <w:bCs/>
          <w:sz w:val="24"/>
          <w:szCs w:val="24"/>
        </w:rPr>
        <w:t xml:space="preserve">pewne </w:t>
      </w:r>
      <w:r w:rsidR="00874B83">
        <w:rPr>
          <w:b/>
          <w:bCs/>
          <w:sz w:val="24"/>
          <w:szCs w:val="24"/>
        </w:rPr>
        <w:t>informacje o stanie udzielonych przez siebie praw, z tym że informacj</w:t>
      </w:r>
      <w:r w:rsidR="00CC77E1">
        <w:rPr>
          <w:b/>
          <w:bCs/>
          <w:sz w:val="24"/>
          <w:szCs w:val="24"/>
        </w:rPr>
        <w:t>e</w:t>
      </w:r>
      <w:r w:rsidR="00874B83">
        <w:rPr>
          <w:b/>
          <w:bCs/>
          <w:sz w:val="24"/>
          <w:szCs w:val="24"/>
        </w:rPr>
        <w:t xml:space="preserve"> t</w:t>
      </w:r>
      <w:r w:rsidR="00CC77E1">
        <w:rPr>
          <w:b/>
          <w:bCs/>
          <w:sz w:val="24"/>
          <w:szCs w:val="24"/>
        </w:rPr>
        <w:t>e</w:t>
      </w:r>
      <w:r w:rsidR="00874B83">
        <w:rPr>
          <w:b/>
          <w:bCs/>
          <w:sz w:val="24"/>
          <w:szCs w:val="24"/>
        </w:rPr>
        <w:t xml:space="preserve"> nie </w:t>
      </w:r>
      <w:r w:rsidR="00CC77E1">
        <w:rPr>
          <w:b/>
          <w:bCs/>
          <w:sz w:val="24"/>
          <w:szCs w:val="24"/>
        </w:rPr>
        <w:t xml:space="preserve">są </w:t>
      </w:r>
      <w:r w:rsidR="00874B83">
        <w:rPr>
          <w:b/>
          <w:bCs/>
          <w:sz w:val="24"/>
          <w:szCs w:val="24"/>
        </w:rPr>
        <w:t>kompletn</w:t>
      </w:r>
      <w:r w:rsidR="00CC77E1">
        <w:rPr>
          <w:b/>
          <w:bCs/>
          <w:sz w:val="24"/>
          <w:szCs w:val="24"/>
        </w:rPr>
        <w:t>e</w:t>
      </w:r>
      <w:r w:rsidR="00874B83">
        <w:rPr>
          <w:b/>
          <w:bCs/>
          <w:sz w:val="24"/>
          <w:szCs w:val="24"/>
        </w:rPr>
        <w:t>, ani pełn</w:t>
      </w:r>
      <w:r w:rsidR="00CC77E1">
        <w:rPr>
          <w:b/>
          <w:bCs/>
          <w:sz w:val="24"/>
          <w:szCs w:val="24"/>
        </w:rPr>
        <w:t>e. Wskazywali też</w:t>
      </w:r>
      <w:r w:rsidR="00874B83">
        <w:rPr>
          <w:b/>
          <w:bCs/>
          <w:sz w:val="24"/>
          <w:szCs w:val="24"/>
        </w:rPr>
        <w:t xml:space="preserve"> liczne przykłady</w:t>
      </w:r>
      <w:r w:rsidR="00CC77E1">
        <w:rPr>
          <w:b/>
          <w:bCs/>
          <w:sz w:val="24"/>
          <w:szCs w:val="24"/>
        </w:rPr>
        <w:t xml:space="preserve"> błędów w bazach udostępnianych przez Urząd Patentowy RP</w:t>
      </w:r>
      <w:r w:rsidR="00874B83">
        <w:rPr>
          <w:b/>
          <w:bCs/>
          <w:sz w:val="24"/>
          <w:szCs w:val="24"/>
        </w:rPr>
        <w:t>.</w:t>
      </w:r>
    </w:p>
    <w:p w14:paraId="06C384F7" w14:textId="5C2E4CCB" w:rsidR="00CC77E1" w:rsidRDefault="00874B83" w:rsidP="00BB4BF9">
      <w:pPr>
        <w:shd w:val="clear" w:color="auto" w:fill="FFFFFF"/>
        <w:spacing w:after="0" w:line="240" w:lineRule="auto"/>
        <w:jc w:val="both"/>
        <w:rPr>
          <w:sz w:val="24"/>
          <w:szCs w:val="24"/>
        </w:rPr>
      </w:pPr>
      <w:r w:rsidRPr="00874B83">
        <w:rPr>
          <w:sz w:val="24"/>
          <w:szCs w:val="24"/>
        </w:rPr>
        <w:t>Wyrażona ładną polszczyzną odpowi</w:t>
      </w:r>
      <w:r>
        <w:rPr>
          <w:sz w:val="24"/>
          <w:szCs w:val="24"/>
        </w:rPr>
        <w:t>e</w:t>
      </w:r>
      <w:r w:rsidRPr="00874B83">
        <w:rPr>
          <w:sz w:val="24"/>
          <w:szCs w:val="24"/>
        </w:rPr>
        <w:t>dź, którą nadesłał</w:t>
      </w:r>
      <w:r w:rsidR="00D86D1D">
        <w:rPr>
          <w:sz w:val="24"/>
          <w:szCs w:val="24"/>
        </w:rPr>
        <w:t>a</w:t>
      </w:r>
      <w:r w:rsidRPr="00874B83">
        <w:rPr>
          <w:sz w:val="24"/>
          <w:szCs w:val="24"/>
        </w:rPr>
        <w:t xml:space="preserve"> Edyta D</w:t>
      </w:r>
      <w:r w:rsidR="00CC77E1">
        <w:rPr>
          <w:sz w:val="24"/>
          <w:szCs w:val="24"/>
        </w:rPr>
        <w:t>EMBY</w:t>
      </w:r>
      <w:r w:rsidRPr="00874B83">
        <w:rPr>
          <w:sz w:val="24"/>
          <w:szCs w:val="24"/>
        </w:rPr>
        <w:t>-S</w:t>
      </w:r>
      <w:r w:rsidR="00CC77E1">
        <w:rPr>
          <w:sz w:val="24"/>
          <w:szCs w:val="24"/>
        </w:rPr>
        <w:t>IWEK, Prezes Urzędu Patentowego RP</w:t>
      </w:r>
      <w:r w:rsidRPr="00874B83">
        <w:rPr>
          <w:sz w:val="24"/>
          <w:szCs w:val="24"/>
        </w:rPr>
        <w:t xml:space="preserve"> </w:t>
      </w:r>
      <w:r w:rsidR="00D86D1D">
        <w:rPr>
          <w:b/>
          <w:bCs/>
          <w:sz w:val="24"/>
          <w:szCs w:val="24"/>
        </w:rPr>
        <w:t>nie odpowiada na pytanie</w:t>
      </w:r>
      <w:r w:rsidRPr="002F27E5">
        <w:rPr>
          <w:b/>
          <w:bCs/>
          <w:sz w:val="24"/>
          <w:szCs w:val="24"/>
        </w:rPr>
        <w:t>, dlaczego Urząd nie udziela wyraźnych i pełnych informacji</w:t>
      </w:r>
      <w:r w:rsidRPr="00874B83">
        <w:rPr>
          <w:sz w:val="24"/>
          <w:szCs w:val="24"/>
        </w:rPr>
        <w:t xml:space="preserve"> w przypadkach </w:t>
      </w:r>
      <w:r w:rsidR="00CC77E1">
        <w:rPr>
          <w:sz w:val="24"/>
          <w:szCs w:val="24"/>
        </w:rPr>
        <w:t xml:space="preserve">jednoznacznie </w:t>
      </w:r>
      <w:r w:rsidRPr="00874B83">
        <w:rPr>
          <w:sz w:val="24"/>
          <w:szCs w:val="24"/>
        </w:rPr>
        <w:t xml:space="preserve">wskazanych przez autorów </w:t>
      </w:r>
      <w:r w:rsidR="00CC77E1" w:rsidRPr="00874B83">
        <w:rPr>
          <w:sz w:val="24"/>
          <w:szCs w:val="24"/>
        </w:rPr>
        <w:t>LIST</w:t>
      </w:r>
      <w:r w:rsidR="00CC77E1">
        <w:rPr>
          <w:sz w:val="24"/>
          <w:szCs w:val="24"/>
        </w:rPr>
        <w:t>ÓW OTWARTYCH</w:t>
      </w:r>
      <w:r w:rsidRPr="00874B83">
        <w:rPr>
          <w:sz w:val="24"/>
          <w:szCs w:val="24"/>
        </w:rPr>
        <w:t xml:space="preserve">. </w:t>
      </w:r>
    </w:p>
    <w:p w14:paraId="023960BC" w14:textId="7744E448" w:rsidR="001E4CF6" w:rsidRPr="00874B83" w:rsidRDefault="00874B83" w:rsidP="00BB4BF9">
      <w:pPr>
        <w:shd w:val="clear" w:color="auto" w:fill="FFFFFF"/>
        <w:spacing w:after="0" w:line="240" w:lineRule="auto"/>
        <w:jc w:val="both"/>
        <w:rPr>
          <w:sz w:val="24"/>
          <w:szCs w:val="24"/>
        </w:rPr>
      </w:pPr>
      <w:r w:rsidRPr="00CC77E1">
        <w:rPr>
          <w:b/>
          <w:bCs/>
          <w:sz w:val="24"/>
          <w:szCs w:val="24"/>
        </w:rPr>
        <w:t>Dziurawa informacja</w:t>
      </w:r>
      <w:r w:rsidRPr="00874B83">
        <w:rPr>
          <w:sz w:val="24"/>
          <w:szCs w:val="24"/>
        </w:rPr>
        <w:t xml:space="preserve"> </w:t>
      </w:r>
      <w:r w:rsidRPr="00CC77E1">
        <w:rPr>
          <w:b/>
          <w:bCs/>
          <w:sz w:val="24"/>
          <w:szCs w:val="24"/>
        </w:rPr>
        <w:t>nie może być uznana za</w:t>
      </w:r>
      <w:r w:rsidRPr="00874B83">
        <w:rPr>
          <w:sz w:val="24"/>
          <w:szCs w:val="24"/>
        </w:rPr>
        <w:t xml:space="preserve"> informację </w:t>
      </w:r>
      <w:r w:rsidRPr="00CC77E1">
        <w:rPr>
          <w:b/>
          <w:bCs/>
          <w:sz w:val="24"/>
          <w:szCs w:val="24"/>
        </w:rPr>
        <w:t>kompletną, pełną, bezpieczną</w:t>
      </w:r>
      <w:r w:rsidR="00CC77E1">
        <w:rPr>
          <w:sz w:val="24"/>
          <w:szCs w:val="24"/>
        </w:rPr>
        <w:t xml:space="preserve"> ani też</w:t>
      </w:r>
      <w:r w:rsidRPr="00874B83">
        <w:rPr>
          <w:sz w:val="24"/>
          <w:szCs w:val="24"/>
        </w:rPr>
        <w:t xml:space="preserve"> </w:t>
      </w:r>
      <w:r w:rsidRPr="00813684">
        <w:rPr>
          <w:b/>
          <w:bCs/>
          <w:sz w:val="24"/>
          <w:szCs w:val="24"/>
        </w:rPr>
        <w:t>wiarygodną</w:t>
      </w:r>
      <w:r w:rsidR="00CC77E1">
        <w:rPr>
          <w:sz w:val="24"/>
          <w:szCs w:val="24"/>
        </w:rPr>
        <w:t>.</w:t>
      </w:r>
      <w:r w:rsidRPr="00874B83">
        <w:rPr>
          <w:sz w:val="24"/>
          <w:szCs w:val="24"/>
        </w:rPr>
        <w:t xml:space="preserve"> </w:t>
      </w:r>
    </w:p>
    <w:p w14:paraId="32929ED9" w14:textId="77777777" w:rsidR="00874B83" w:rsidRPr="008F3813" w:rsidRDefault="00874B83" w:rsidP="00BB4BF9">
      <w:pPr>
        <w:shd w:val="clear" w:color="auto" w:fill="FFFFFF"/>
        <w:spacing w:after="0" w:line="240" w:lineRule="auto"/>
        <w:jc w:val="both"/>
        <w:rPr>
          <w:sz w:val="10"/>
          <w:szCs w:val="10"/>
          <w:u w:val="single"/>
        </w:rPr>
      </w:pPr>
    </w:p>
    <w:bookmarkEnd w:id="33"/>
    <w:p w14:paraId="65FE81E0" w14:textId="7869266D" w:rsidR="00B113F5" w:rsidRPr="0017071E" w:rsidRDefault="00B113F5" w:rsidP="00B113F5">
      <w:pPr>
        <w:spacing w:after="0" w:line="240" w:lineRule="auto"/>
        <w:rPr>
          <w:b/>
          <w:bCs/>
          <w:color w:val="2E74B5" w:themeColor="accent5" w:themeShade="BF"/>
          <w:kern w:val="0"/>
          <w:sz w:val="24"/>
          <w:szCs w:val="24"/>
          <w:lang w:val="en-US"/>
        </w:rPr>
      </w:pPr>
      <w:r w:rsidRPr="0017071E">
        <w:rPr>
          <w:b/>
          <w:bCs/>
          <w:color w:val="2E74B5" w:themeColor="accent5" w:themeShade="BF"/>
          <w:kern w:val="0"/>
          <w:sz w:val="24"/>
          <w:szCs w:val="24"/>
          <w:lang w:val="en-US"/>
        </w:rPr>
        <w:t>Editor</w:t>
      </w:r>
      <w:r w:rsidR="00F1043D" w:rsidRPr="0017071E">
        <w:rPr>
          <w:b/>
          <w:bCs/>
          <w:color w:val="2E74B5" w:themeColor="accent5" w:themeShade="BF"/>
          <w:kern w:val="0"/>
          <w:sz w:val="24"/>
          <w:szCs w:val="24"/>
          <w:lang w:val="en-US"/>
        </w:rPr>
        <w:t xml:space="preserve">ial </w:t>
      </w:r>
      <w:r w:rsidRPr="0017071E">
        <w:rPr>
          <w:b/>
          <w:bCs/>
          <w:color w:val="2E74B5" w:themeColor="accent5" w:themeShade="BF"/>
          <w:kern w:val="0"/>
          <w:sz w:val="24"/>
          <w:szCs w:val="24"/>
          <w:lang w:val="en-US"/>
        </w:rPr>
        <w:t xml:space="preserve">Note: </w:t>
      </w:r>
    </w:p>
    <w:p w14:paraId="5BAEB378" w14:textId="77777777" w:rsidR="002F27E5" w:rsidRPr="0017071E" w:rsidRDefault="00B113F5" w:rsidP="00B113F5">
      <w:pPr>
        <w:spacing w:after="0" w:line="240" w:lineRule="auto"/>
        <w:rPr>
          <w:color w:val="2E74B5" w:themeColor="accent5" w:themeShade="BF"/>
          <w:kern w:val="0"/>
          <w:sz w:val="24"/>
          <w:szCs w:val="24"/>
          <w:lang w:val="en-US"/>
        </w:rPr>
      </w:pPr>
      <w:r w:rsidRPr="0017071E">
        <w:rPr>
          <w:color w:val="2E74B5" w:themeColor="accent5" w:themeShade="BF"/>
          <w:kern w:val="0"/>
          <w:sz w:val="24"/>
          <w:szCs w:val="24"/>
          <w:lang w:val="en-US"/>
        </w:rPr>
        <w:t xml:space="preserve">OPEN LETTERS, whose authors reminded that the </w:t>
      </w:r>
      <w:r w:rsidRPr="0017071E">
        <w:rPr>
          <w:b/>
          <w:bCs/>
          <w:color w:val="2E74B5" w:themeColor="accent5" w:themeShade="BF"/>
          <w:kern w:val="0"/>
          <w:sz w:val="24"/>
          <w:szCs w:val="24"/>
          <w:lang w:val="en-US"/>
        </w:rPr>
        <w:t>Polish Patent Office (UPRP) provides some information about the status of the rights it has granted, but that this information is neither complete nor comprehensive</w:t>
      </w:r>
      <w:r w:rsidRPr="0017071E">
        <w:rPr>
          <w:color w:val="2E74B5" w:themeColor="accent5" w:themeShade="BF"/>
          <w:kern w:val="0"/>
          <w:sz w:val="24"/>
          <w:szCs w:val="24"/>
          <w:lang w:val="en-US"/>
        </w:rPr>
        <w:t xml:space="preserve">. </w:t>
      </w:r>
    </w:p>
    <w:p w14:paraId="6FC948BC" w14:textId="3CA3317F" w:rsidR="00B113F5" w:rsidRPr="0017071E" w:rsidRDefault="00B113F5" w:rsidP="00B113F5">
      <w:pPr>
        <w:spacing w:after="0" w:line="240" w:lineRule="auto"/>
        <w:rPr>
          <w:color w:val="2E74B5" w:themeColor="accent5" w:themeShade="BF"/>
          <w:kern w:val="0"/>
          <w:sz w:val="24"/>
          <w:szCs w:val="24"/>
          <w:lang w:val="en-US"/>
        </w:rPr>
      </w:pPr>
      <w:r w:rsidRPr="0017071E">
        <w:rPr>
          <w:b/>
          <w:bCs/>
          <w:color w:val="2E74B5" w:themeColor="accent5" w:themeShade="BF"/>
          <w:kern w:val="0"/>
          <w:sz w:val="24"/>
          <w:szCs w:val="24"/>
          <w:lang w:val="en-US"/>
        </w:rPr>
        <w:t>They also pointed out numerous examples of errors in the databases made available by the Polish Patent Office</w:t>
      </w:r>
      <w:r w:rsidRPr="0017071E">
        <w:rPr>
          <w:color w:val="2E74B5" w:themeColor="accent5" w:themeShade="BF"/>
          <w:kern w:val="0"/>
          <w:sz w:val="24"/>
          <w:szCs w:val="24"/>
          <w:lang w:val="en-US"/>
        </w:rPr>
        <w:t>.</w:t>
      </w:r>
    </w:p>
    <w:p w14:paraId="2D24C05E" w14:textId="5FF1A431" w:rsidR="00B113F5" w:rsidRPr="0017071E" w:rsidRDefault="00B113F5" w:rsidP="00B113F5">
      <w:pPr>
        <w:spacing w:after="0" w:line="240" w:lineRule="auto"/>
        <w:rPr>
          <w:color w:val="2E74B5" w:themeColor="accent5" w:themeShade="BF"/>
          <w:kern w:val="0"/>
          <w:sz w:val="24"/>
          <w:szCs w:val="24"/>
          <w:lang w:val="en-US"/>
        </w:rPr>
      </w:pPr>
      <w:r w:rsidRPr="0017071E">
        <w:rPr>
          <w:color w:val="2E74B5" w:themeColor="accent5" w:themeShade="BF"/>
          <w:kern w:val="0"/>
          <w:sz w:val="24"/>
          <w:szCs w:val="24"/>
          <w:lang w:val="en-US"/>
        </w:rPr>
        <w:t xml:space="preserve">The response, written in </w:t>
      </w:r>
      <w:r w:rsidR="00D86D1D" w:rsidRPr="0017071E">
        <w:rPr>
          <w:color w:val="2E74B5" w:themeColor="accent5" w:themeShade="BF"/>
          <w:kern w:val="0"/>
          <w:sz w:val="24"/>
          <w:szCs w:val="24"/>
          <w:lang w:val="en-US"/>
        </w:rPr>
        <w:t xml:space="preserve">fine </w:t>
      </w:r>
      <w:r w:rsidRPr="0017071E">
        <w:rPr>
          <w:color w:val="2E74B5" w:themeColor="accent5" w:themeShade="BF"/>
          <w:kern w:val="0"/>
          <w:sz w:val="24"/>
          <w:szCs w:val="24"/>
          <w:lang w:val="en-US"/>
        </w:rPr>
        <w:t xml:space="preserve">Polish and sent by Edyta DEMBY-SIWEK, President of the Polish Patent Office, might be relevant, </w:t>
      </w:r>
      <w:r w:rsidRPr="0017071E">
        <w:rPr>
          <w:b/>
          <w:bCs/>
          <w:color w:val="2E74B5" w:themeColor="accent5" w:themeShade="BF"/>
          <w:kern w:val="0"/>
          <w:sz w:val="24"/>
          <w:szCs w:val="24"/>
          <w:lang w:val="en-US"/>
        </w:rPr>
        <w:t>but not to the issue raised in the questions</w:t>
      </w:r>
      <w:r w:rsidRPr="0017071E">
        <w:rPr>
          <w:color w:val="2E74B5" w:themeColor="accent5" w:themeShade="BF"/>
          <w:kern w:val="0"/>
          <w:sz w:val="24"/>
          <w:szCs w:val="24"/>
          <w:lang w:val="en-US"/>
        </w:rPr>
        <w:t xml:space="preserve"> about why the Office does not provide clear and complete information in cases clearly indicated by the authors of the OPEN LETTERS.</w:t>
      </w:r>
    </w:p>
    <w:p w14:paraId="35F78082" w14:textId="5434CFD4" w:rsidR="00B113F5" w:rsidRPr="0017071E" w:rsidRDefault="00B113F5" w:rsidP="00B113F5">
      <w:pPr>
        <w:spacing w:after="0" w:line="240" w:lineRule="auto"/>
        <w:rPr>
          <w:b/>
          <w:bCs/>
          <w:color w:val="2E74B5" w:themeColor="accent5" w:themeShade="BF"/>
          <w:kern w:val="0"/>
          <w:sz w:val="24"/>
          <w:szCs w:val="24"/>
          <w:lang w:val="en-US"/>
        </w:rPr>
      </w:pPr>
      <w:r w:rsidRPr="0017071E">
        <w:rPr>
          <w:b/>
          <w:bCs/>
          <w:color w:val="2E74B5" w:themeColor="accent5" w:themeShade="BF"/>
          <w:kern w:val="0"/>
          <w:sz w:val="24"/>
          <w:szCs w:val="24"/>
          <w:lang w:val="en-US"/>
        </w:rPr>
        <w:t>Fragmented information cannot be considered complete, thorough, safe or reliable.</w:t>
      </w:r>
    </w:p>
    <w:bookmarkEnd w:id="34"/>
    <w:p w14:paraId="31CA78C6" w14:textId="77777777" w:rsidR="005C745D" w:rsidRPr="00F1043D" w:rsidRDefault="005C745D" w:rsidP="001E4CF6">
      <w:pPr>
        <w:spacing w:after="0" w:line="240" w:lineRule="auto"/>
        <w:rPr>
          <w:b/>
          <w:bCs/>
          <w:color w:val="8EAADB" w:themeColor="accent1" w:themeTint="99"/>
          <w:kern w:val="0"/>
          <w:sz w:val="10"/>
          <w:szCs w:val="10"/>
          <w:lang w:val="en-US"/>
        </w:rPr>
      </w:pPr>
    </w:p>
    <w:p w14:paraId="6E28B822" w14:textId="2A6696E2" w:rsidR="001E4CF6" w:rsidRPr="00E00E0B" w:rsidRDefault="001E4CF6" w:rsidP="001E4CF6">
      <w:pPr>
        <w:spacing w:after="0" w:line="240" w:lineRule="auto"/>
        <w:rPr>
          <w:sz w:val="24"/>
          <w:szCs w:val="24"/>
        </w:rPr>
      </w:pPr>
      <w:r>
        <w:rPr>
          <w:b/>
          <w:bCs/>
          <w:kern w:val="0"/>
          <w:sz w:val="24"/>
          <w:szCs w:val="24"/>
        </w:rPr>
        <w:t>P</w:t>
      </w:r>
      <w:r w:rsidRPr="00BB6DF4">
        <w:rPr>
          <w:b/>
          <w:bCs/>
          <w:kern w:val="0"/>
          <w:sz w:val="24"/>
          <w:szCs w:val="24"/>
        </w:rPr>
        <w:t>ojęcia kluczowe</w:t>
      </w:r>
      <w:r w:rsidRPr="00BB6DF4">
        <w:rPr>
          <w:kern w:val="0"/>
          <w:sz w:val="24"/>
          <w:szCs w:val="24"/>
        </w:rPr>
        <w:t>:</w:t>
      </w:r>
      <w:r w:rsidRPr="000973CA">
        <w:rPr>
          <w:b/>
          <w:bCs/>
          <w:sz w:val="24"/>
          <w:szCs w:val="24"/>
        </w:rPr>
        <w:t xml:space="preserve"> </w:t>
      </w:r>
      <w:r w:rsidRPr="00E00E0B">
        <w:rPr>
          <w:sz w:val="24"/>
          <w:szCs w:val="24"/>
        </w:rPr>
        <w:t>LIST OTWARTY, URZĄD PATENTOWY, STAN PRAW</w:t>
      </w:r>
      <w:r>
        <w:rPr>
          <w:sz w:val="24"/>
          <w:szCs w:val="24"/>
        </w:rPr>
        <w:t xml:space="preserve"> UDZIELONYCH PRZEZ URZĄD PATENTOWY RP</w:t>
      </w:r>
    </w:p>
    <w:p w14:paraId="7702C11C" w14:textId="77777777" w:rsidR="00C14A70" w:rsidRPr="00C14A70" w:rsidRDefault="00C14A70" w:rsidP="001E4CF6">
      <w:pPr>
        <w:spacing w:after="0" w:line="240" w:lineRule="auto"/>
        <w:jc w:val="both"/>
        <w:rPr>
          <w:sz w:val="6"/>
          <w:szCs w:val="6"/>
        </w:rPr>
      </w:pPr>
    </w:p>
    <w:p w14:paraId="491C6D82" w14:textId="3D42C788" w:rsidR="00FE03BB" w:rsidRPr="00084C77" w:rsidRDefault="001E4CF6" w:rsidP="00A152ED">
      <w:pPr>
        <w:spacing w:after="0" w:line="240" w:lineRule="auto"/>
        <w:jc w:val="both"/>
        <w:rPr>
          <w:color w:val="2E74B5" w:themeColor="accent5" w:themeShade="BF"/>
        </w:rPr>
      </w:pPr>
      <w:r w:rsidRPr="00A65523">
        <w:rPr>
          <w:b/>
          <w:bCs/>
          <w:sz w:val="24"/>
          <w:szCs w:val="24"/>
        </w:rPr>
        <w:t>Miejsce publikacji:</w:t>
      </w:r>
      <w:r w:rsidRPr="00A65523">
        <w:rPr>
          <w:sz w:val="24"/>
          <w:szCs w:val="24"/>
        </w:rPr>
        <w:t xml:space="preserve"> </w:t>
      </w:r>
      <w:hyperlink r:id="rId44" w:history="1">
        <w:r w:rsidRPr="0017071E">
          <w:rPr>
            <w:rStyle w:val="Hipercze"/>
            <w:color w:val="2E74B5" w:themeColor="accent5" w:themeShade="BF"/>
            <w:sz w:val="24"/>
            <w:szCs w:val="24"/>
          </w:rPr>
          <w:t>https://stowi.pl/list-otwarty-dot-nieudostepniania-informacji-o-aktualnym-stanie-praw-przez-urzad-patentowy-rp/</w:t>
        </w:r>
      </w:hyperlink>
      <w:r w:rsidRPr="00084C77">
        <w:rPr>
          <w:color w:val="2E74B5" w:themeColor="accent5" w:themeShade="BF"/>
          <w:sz w:val="24"/>
          <w:szCs w:val="24"/>
        </w:rPr>
        <w:br/>
      </w:r>
      <w:r w:rsidR="00FE03BB" w:rsidRPr="00084C77">
        <w:rPr>
          <w:color w:val="2E74B5" w:themeColor="accent5" w:themeShade="BF"/>
        </w:rPr>
        <w:br w:type="page"/>
      </w:r>
    </w:p>
    <w:p w14:paraId="76BFC3AB" w14:textId="6D8092FF" w:rsidR="00722E98" w:rsidRPr="001E4CF6" w:rsidRDefault="009D60F9" w:rsidP="00A978B1">
      <w:pPr>
        <w:rPr>
          <w:noProof/>
          <w:lang w:eastAsia="pl-PL"/>
        </w:rPr>
      </w:pPr>
      <w:bookmarkStart w:id="35" w:name="_Hlk156312818"/>
      <w:r w:rsidRPr="00722E98">
        <w:rPr>
          <w:noProof/>
          <w:sz w:val="2"/>
          <w:szCs w:val="2"/>
        </w:rPr>
        <w:lastRenderedPageBreak/>
        <w:drawing>
          <wp:anchor distT="0" distB="0" distL="114300" distR="114300" simplePos="0" relativeHeight="251807744" behindDoc="0" locked="0" layoutInCell="1" allowOverlap="1" wp14:anchorId="7135CB0C" wp14:editId="59861BBA">
            <wp:simplePos x="0" y="0"/>
            <wp:positionH relativeFrom="margin">
              <wp:align>left</wp:align>
            </wp:positionH>
            <wp:positionV relativeFrom="paragraph">
              <wp:posOffset>13995</wp:posOffset>
            </wp:positionV>
            <wp:extent cx="1980000" cy="1080000"/>
            <wp:effectExtent l="0" t="0" r="1270" b="6350"/>
            <wp:wrapThrough wrapText="bothSides">
              <wp:wrapPolygon edited="0">
                <wp:start x="0" y="0"/>
                <wp:lineTo x="0" y="21346"/>
                <wp:lineTo x="21406" y="21346"/>
                <wp:lineTo x="21406" y="0"/>
                <wp:lineTo x="0" y="0"/>
              </wp:wrapPolygon>
            </wp:wrapThrough>
            <wp:docPr id="249825700" name="Obraz 48" descr="Obraz zawierający ssak, na wolnym powietrzu, trawa, osioł&#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825700" name="Obraz 48" descr="Obraz zawierający ssak, na wolnym powietrzu, trawa, osioł&#10;&#10;Opis wygenerowany automatyczni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E98">
        <w:rPr>
          <w:noProof/>
          <w:sz w:val="2"/>
          <w:szCs w:val="2"/>
        </w:rPr>
        <mc:AlternateContent>
          <mc:Choice Requires="wps">
            <w:drawing>
              <wp:anchor distT="0" distB="0" distL="114300" distR="114300" simplePos="0" relativeHeight="251805696" behindDoc="0" locked="0" layoutInCell="1" allowOverlap="1" wp14:anchorId="67856CD1" wp14:editId="5CB22BD0">
                <wp:simplePos x="0" y="0"/>
                <wp:positionH relativeFrom="margin">
                  <wp:posOffset>-98755</wp:posOffset>
                </wp:positionH>
                <wp:positionV relativeFrom="paragraph">
                  <wp:posOffset>-383540</wp:posOffset>
                </wp:positionV>
                <wp:extent cx="527050" cy="372745"/>
                <wp:effectExtent l="0" t="0" r="6350" b="8255"/>
                <wp:wrapNone/>
                <wp:docPr id="1249170694"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1CD428CF" w14:textId="740037AF" w:rsidR="00541DD6" w:rsidRPr="00FA4053" w:rsidRDefault="00A17C3C" w:rsidP="00E7224D">
                            <w:pPr>
                              <w:pStyle w:val="NumeracjaRozdzial"/>
                            </w:pPr>
                            <w:r>
                              <w:t>2</w:t>
                            </w:r>
                            <w:r w:rsidR="00541DD6" w:rsidRPr="00FA4053">
                              <w:t>.</w:t>
                            </w:r>
                          </w:p>
                          <w:p w14:paraId="122E40FA" w14:textId="77777777" w:rsidR="00541DD6" w:rsidRDefault="00541DD6" w:rsidP="009D60F9">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856CD1" id="_x0000_s1030" type="#_x0000_t202" style="position:absolute;margin-left:-7.8pt;margin-top:-30.2pt;width:41.5pt;height:29.3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aAscqi8CAABaBAAADgAAAAAAAAAAAAAAAAAu&#10;AgAAZHJzL2Uyb0RvYy54bWxQSwECLQAUAAYACAAAACEAokroqeEAAAAJAQAADwAAAAAAAAAAAAAA&#10;AACJBAAAZHJzL2Rvd25yZXYueG1sUEsFBgAAAAAEAAQA8wAAAJcFAAAAAA==&#10;" fillcolor="white [3201]" stroked="f" strokeweight=".5pt">
                <v:textbox>
                  <w:txbxContent>
                    <w:p w14:paraId="1CD428CF" w14:textId="740037AF" w:rsidR="00541DD6" w:rsidRPr="00FA4053" w:rsidRDefault="00A17C3C" w:rsidP="00E7224D">
                      <w:pPr>
                        <w:pStyle w:val="NumeracjaRozdzial"/>
                      </w:pPr>
                      <w:r>
                        <w:t>2</w:t>
                      </w:r>
                      <w:r w:rsidR="00541DD6" w:rsidRPr="00FA4053">
                        <w:t>.</w:t>
                      </w:r>
                    </w:p>
                    <w:p w14:paraId="122E40FA" w14:textId="77777777" w:rsidR="00541DD6" w:rsidRDefault="00541DD6" w:rsidP="009D60F9">
                      <w:pPr>
                        <w:spacing w:after="144"/>
                      </w:pPr>
                    </w:p>
                  </w:txbxContent>
                </v:textbox>
                <w10:wrap anchorx="margin"/>
              </v:shape>
            </w:pict>
          </mc:Fallback>
        </mc:AlternateContent>
      </w:r>
      <w:r w:rsidR="00722E98" w:rsidRPr="001E4CF6">
        <w:rPr>
          <w:noProof/>
          <w:sz w:val="2"/>
          <w:szCs w:val="2"/>
          <w:lang w:eastAsia="pl-PL"/>
        </w:rPr>
        <w:t xml:space="preserve"> </w:t>
      </w:r>
      <w:r w:rsidR="00722E98" w:rsidRPr="001E4CF6">
        <w:rPr>
          <w:noProof/>
          <w:sz w:val="24"/>
          <w:szCs w:val="24"/>
          <w:lang w:eastAsia="pl-PL"/>
        </w:rPr>
        <w:t xml:space="preserve">     </w:t>
      </w:r>
      <w:r w:rsidR="00722E98" w:rsidRPr="001E4CF6">
        <w:rPr>
          <w:noProof/>
          <w:lang w:eastAsia="pl-PL"/>
        </w:rPr>
        <w:t xml:space="preserve">                                                                   </w:t>
      </w:r>
    </w:p>
    <w:p w14:paraId="1D11B545" w14:textId="3D458373" w:rsidR="009D60F9" w:rsidRPr="00722E98" w:rsidRDefault="00A95BF0" w:rsidP="003F6CA0">
      <w:pPr>
        <w:pStyle w:val="Nagwek2"/>
      </w:pPr>
      <w:bookmarkStart w:id="36" w:name="_Toc170117972"/>
      <w:r w:rsidRPr="00722E98">
        <w:rPr>
          <w:noProof/>
          <w:lang w:eastAsia="pl-PL"/>
        </w:rPr>
        <w:t xml:space="preserve">LIST OTWARTY </w:t>
      </w:r>
      <w:r w:rsidR="00722E98" w:rsidRPr="00722E98">
        <w:rPr>
          <w:noProof/>
          <w:lang w:eastAsia="pl-PL"/>
        </w:rPr>
        <w:t>-</w:t>
      </w:r>
      <w:r w:rsidRPr="00722E98">
        <w:rPr>
          <w:noProof/>
          <w:lang w:eastAsia="pl-PL"/>
        </w:rPr>
        <w:t xml:space="preserve"> pytanie, czy UP RP nie angażuje się już mocno</w:t>
      </w:r>
      <w:r w:rsidR="00A978B1">
        <w:rPr>
          <w:noProof/>
          <w:lang w:eastAsia="pl-PL"/>
        </w:rPr>
        <w:t xml:space="preserve"> </w:t>
      </w:r>
      <w:r w:rsidRPr="00722E98">
        <w:rPr>
          <w:noProof/>
          <w:lang w:eastAsia="pl-PL"/>
        </w:rPr>
        <w:t>w for</w:t>
      </w:r>
      <w:r w:rsidR="00836F08" w:rsidRPr="00722E98">
        <w:rPr>
          <w:noProof/>
          <w:lang w:eastAsia="pl-PL"/>
        </w:rPr>
        <w:t>sowanie słabego projektu UD 263</w:t>
      </w:r>
      <w:bookmarkEnd w:id="36"/>
    </w:p>
    <w:p w14:paraId="4B63E7CA" w14:textId="77777777" w:rsidR="009D60F9" w:rsidRPr="00EC4F25" w:rsidRDefault="009D60F9" w:rsidP="009D60F9">
      <w:pPr>
        <w:spacing w:after="0"/>
        <w:jc w:val="center"/>
        <w:rPr>
          <w:sz w:val="20"/>
          <w:szCs w:val="20"/>
        </w:rPr>
      </w:pPr>
    </w:p>
    <w:p w14:paraId="52C01469" w14:textId="77777777" w:rsidR="009D60F9" w:rsidRPr="00EC4F25" w:rsidRDefault="009D60F9" w:rsidP="009D60F9">
      <w:pPr>
        <w:spacing w:after="0"/>
        <w:jc w:val="center"/>
        <w:rPr>
          <w:sz w:val="20"/>
          <w:szCs w:val="20"/>
        </w:rPr>
      </w:pPr>
    </w:p>
    <w:p w14:paraId="2DDBECCB" w14:textId="4662F68D" w:rsidR="009D60F9" w:rsidRDefault="009D60F9" w:rsidP="009D60F9">
      <w:pPr>
        <w:spacing w:after="0" w:line="240" w:lineRule="auto"/>
        <w:ind w:left="284" w:hanging="284"/>
        <w:rPr>
          <w:b/>
          <w:bCs/>
          <w:sz w:val="26"/>
          <w:szCs w:val="26"/>
        </w:rPr>
      </w:pPr>
    </w:p>
    <w:p w14:paraId="1C30DF70" w14:textId="0DDB29AC" w:rsidR="00A4081F" w:rsidRPr="00EC4F25" w:rsidRDefault="00A4081F" w:rsidP="00A4081F">
      <w:pPr>
        <w:spacing w:after="0"/>
        <w:rPr>
          <w:sz w:val="20"/>
          <w:szCs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556"/>
        <w:gridCol w:w="920"/>
      </w:tblGrid>
      <w:tr w:rsidR="00E94E2E" w14:paraId="2DBEC347" w14:textId="77777777" w:rsidTr="0084018E">
        <w:trPr>
          <w:gridAfter w:val="1"/>
          <w:wAfter w:w="920" w:type="dxa"/>
        </w:trPr>
        <w:tc>
          <w:tcPr>
            <w:tcW w:w="1276" w:type="dxa"/>
          </w:tcPr>
          <w:p w14:paraId="6CA7CA29" w14:textId="77777777" w:rsidR="00E94E2E" w:rsidRPr="00EC4F25" w:rsidRDefault="00E94E2E" w:rsidP="00C346B4">
            <w:pPr>
              <w:rPr>
                <w:rFonts w:cstheme="minorHAnsi"/>
                <w:b/>
                <w:bCs/>
                <w:noProof/>
                <w:sz w:val="18"/>
                <w:szCs w:val="18"/>
              </w:rPr>
            </w:pPr>
          </w:p>
        </w:tc>
        <w:tc>
          <w:tcPr>
            <w:tcW w:w="7556" w:type="dxa"/>
          </w:tcPr>
          <w:p w14:paraId="18F9F768" w14:textId="77777777" w:rsidR="00E94E2E" w:rsidRDefault="00E94E2E" w:rsidP="00C346B4">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p w14:paraId="7C0382D3" w14:textId="77777777" w:rsidR="00CC15EE" w:rsidRPr="00CC15EE" w:rsidRDefault="00CC15EE" w:rsidP="00C346B4">
            <w:pPr>
              <w:rPr>
                <w:rFonts w:asciiTheme="minorHAnsi" w:hAnsiTheme="minorHAnsi" w:cstheme="minorHAnsi"/>
                <w:b/>
                <w:bCs/>
                <w:color w:val="000000"/>
                <w:sz w:val="10"/>
                <w:szCs w:val="10"/>
              </w:rPr>
            </w:pPr>
          </w:p>
        </w:tc>
      </w:tr>
      <w:tr w:rsidR="00E94E2E" w14:paraId="50CB456C" w14:textId="77777777" w:rsidTr="0084018E">
        <w:tc>
          <w:tcPr>
            <w:tcW w:w="1276" w:type="dxa"/>
          </w:tcPr>
          <w:p w14:paraId="1EC17AEA" w14:textId="77777777" w:rsidR="001237AA" w:rsidRPr="001237AA" w:rsidRDefault="001237AA" w:rsidP="00C346B4">
            <w:pPr>
              <w:rPr>
                <w:rFonts w:cstheme="minorHAnsi"/>
                <w:b/>
                <w:bCs/>
                <w:color w:val="000000"/>
                <w:sz w:val="6"/>
                <w:szCs w:val="6"/>
              </w:rPr>
            </w:pPr>
          </w:p>
          <w:p w14:paraId="0A56408E" w14:textId="21323900" w:rsidR="00E94E2E" w:rsidRDefault="00375E11" w:rsidP="00C346B4">
            <w:pPr>
              <w:rPr>
                <w:rFonts w:cstheme="minorHAnsi"/>
                <w:b/>
                <w:bCs/>
                <w:color w:val="000000"/>
                <w:sz w:val="26"/>
                <w:szCs w:val="26"/>
              </w:rPr>
            </w:pPr>
            <w:r>
              <w:rPr>
                <w:noProof/>
              </w:rPr>
              <w:drawing>
                <wp:inline distT="0" distB="0" distL="0" distR="0" wp14:anchorId="157183C7" wp14:editId="41D62337">
                  <wp:extent cx="662400" cy="900000"/>
                  <wp:effectExtent l="0" t="0" r="4445" b="0"/>
                  <wp:docPr id="4970464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gridSpan w:val="2"/>
          </w:tcPr>
          <w:p w14:paraId="29F73F2F" w14:textId="77777777" w:rsidR="00E94E2E" w:rsidRPr="001D7639" w:rsidRDefault="00E94E2E" w:rsidP="00C346B4">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Marek BESLER</w:t>
            </w:r>
          </w:p>
          <w:p w14:paraId="7CB249BC" w14:textId="3A4DEE2B" w:rsidR="00C03056" w:rsidRPr="00C03056" w:rsidRDefault="00123357" w:rsidP="00C03056">
            <w:pPr>
              <w:pStyle w:val="Akapitzlist"/>
              <w:numPr>
                <w:ilvl w:val="0"/>
                <w:numId w:val="47"/>
              </w:numPr>
              <w:ind w:left="320" w:hanging="334"/>
              <w:rPr>
                <w:rFonts w:eastAsia="Times New Roman" w:cstheme="minorHAnsi"/>
                <w:bCs/>
                <w:color w:val="000000"/>
                <w:sz w:val="22"/>
                <w:szCs w:val="22"/>
              </w:rPr>
            </w:pPr>
            <w:r w:rsidRPr="00123357">
              <w:rPr>
                <w:rFonts w:eastAsia="Times New Roman" w:cstheme="minorHAnsi"/>
                <w:bCs/>
                <w:color w:val="000000"/>
                <w:sz w:val="22"/>
                <w:szCs w:val="22"/>
              </w:rPr>
              <w:t>współorzekający w Komisji Odwoławczej przy Urzędzie Patentowym w sprawach własności przemysłowej, składom której przewodniczyli sędziowie Sądu Najwyższego, w latach 1979 -2001</w:t>
            </w:r>
            <w:r w:rsidR="00C03056" w:rsidRPr="00C03056">
              <w:rPr>
                <w:rFonts w:eastAsia="Times New Roman" w:cstheme="minorHAnsi"/>
                <w:bCs/>
                <w:color w:val="000000"/>
                <w:sz w:val="22"/>
                <w:szCs w:val="22"/>
              </w:rPr>
              <w:t xml:space="preserve"> </w:t>
            </w:r>
          </w:p>
          <w:p w14:paraId="619D7C6C" w14:textId="02CEC0F8" w:rsidR="00E94E2E" w:rsidRPr="00CC15EE" w:rsidRDefault="00E94E2E"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rzecznik patentowy nr 1571</w:t>
            </w:r>
          </w:p>
          <w:p w14:paraId="71BB1E10" w14:textId="77777777" w:rsidR="00E94E2E" w:rsidRPr="00CC15EE" w:rsidRDefault="00E94E2E"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profesjonalny pełnomocnik przed EUIPO (</w:t>
            </w:r>
            <w:r w:rsidRPr="00CC15EE">
              <w:rPr>
                <w:rFonts w:eastAsia="Times New Roman" w:cstheme="minorHAnsi"/>
                <w:bCs/>
                <w:i/>
                <w:color w:val="000000"/>
                <w:sz w:val="22"/>
                <w:szCs w:val="22"/>
              </w:rPr>
              <w:t>European Union Intellectual Property Office</w:t>
            </w:r>
            <w:r w:rsidRPr="00CC15EE">
              <w:rPr>
                <w:rFonts w:eastAsia="Times New Roman" w:cstheme="minorHAnsi"/>
                <w:bCs/>
                <w:color w:val="000000"/>
                <w:sz w:val="22"/>
                <w:szCs w:val="22"/>
              </w:rPr>
              <w:t xml:space="preserve"> – Urząd Unii Europejskiej ds. Własności Intelektualnej), nr 27177</w:t>
            </w:r>
          </w:p>
          <w:p w14:paraId="327D3C0E" w14:textId="77777777" w:rsidR="00E94E2E" w:rsidRPr="00CC15EE" w:rsidRDefault="00E94E2E"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Europejski Rzecznik Patentowy nr 138820</w:t>
            </w:r>
          </w:p>
          <w:p w14:paraId="0975C2D3" w14:textId="77777777" w:rsidR="00E94E2E" w:rsidRPr="00CC15EE" w:rsidRDefault="00E94E2E"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Prezes Polskiej Izby Rzeczników Patentowych w latach 2002-2005</w:t>
            </w:r>
          </w:p>
          <w:p w14:paraId="4E30F8C8" w14:textId="77777777" w:rsidR="00375E11" w:rsidRPr="00CC15EE" w:rsidRDefault="00375E11"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Wiceprezes Zarządu StoWI od 2023 r.</w:t>
            </w:r>
          </w:p>
          <w:p w14:paraId="47C4ECBE" w14:textId="79E3F379" w:rsidR="00375E11" w:rsidRPr="00CC15EE" w:rsidRDefault="00375E11"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Redaktor naczelny Kwartalnika „THINK-TANK WSZY</w:t>
            </w:r>
            <w:r w:rsidR="00670256" w:rsidRPr="00CC15EE">
              <w:rPr>
                <w:rFonts w:eastAsia="Times New Roman" w:cstheme="minorHAnsi"/>
                <w:bCs/>
                <w:color w:val="000000"/>
                <w:sz w:val="22"/>
                <w:szCs w:val="22"/>
              </w:rPr>
              <w:t>S</w:t>
            </w:r>
            <w:r w:rsidRPr="00CC15EE">
              <w:rPr>
                <w:rFonts w:eastAsia="Times New Roman" w:cstheme="minorHAnsi"/>
                <w:bCs/>
                <w:color w:val="000000"/>
                <w:sz w:val="22"/>
                <w:szCs w:val="22"/>
              </w:rPr>
              <w:t>TKO o IP w PL” od listopada 2023 r.</w:t>
            </w:r>
          </w:p>
          <w:p w14:paraId="3E6F598D" w14:textId="0E289CA5" w:rsidR="00E94E2E" w:rsidRPr="001D7639" w:rsidRDefault="00E94E2E" w:rsidP="00C346B4">
            <w:pPr>
              <w:ind w:left="658"/>
              <w:rPr>
                <w:rFonts w:cstheme="minorHAnsi"/>
                <w:bCs/>
                <w:color w:val="000000"/>
                <w:sz w:val="22"/>
                <w:szCs w:val="22"/>
              </w:rPr>
            </w:pPr>
          </w:p>
        </w:tc>
      </w:tr>
      <w:tr w:rsidR="00E94E2E" w14:paraId="1EE26ADA" w14:textId="77777777" w:rsidTr="0084018E">
        <w:tc>
          <w:tcPr>
            <w:tcW w:w="1276" w:type="dxa"/>
          </w:tcPr>
          <w:p w14:paraId="08C4A48A" w14:textId="77777777" w:rsidR="001237AA" w:rsidRPr="001237AA" w:rsidRDefault="001237AA" w:rsidP="00C346B4">
            <w:pPr>
              <w:rPr>
                <w:rFonts w:cstheme="minorHAnsi"/>
                <w:b/>
                <w:bCs/>
                <w:noProof/>
                <w:sz w:val="6"/>
                <w:szCs w:val="6"/>
              </w:rPr>
            </w:pPr>
          </w:p>
          <w:p w14:paraId="213319DA" w14:textId="6287A4A8" w:rsidR="00E94E2E" w:rsidRPr="00EC4F25" w:rsidRDefault="00375E11" w:rsidP="00C346B4">
            <w:pPr>
              <w:rPr>
                <w:rFonts w:cstheme="minorHAnsi"/>
                <w:b/>
                <w:bCs/>
                <w:noProof/>
                <w:sz w:val="18"/>
                <w:szCs w:val="18"/>
              </w:rPr>
            </w:pPr>
            <w:r>
              <w:rPr>
                <w:noProof/>
              </w:rPr>
              <w:drawing>
                <wp:inline distT="0" distB="0" distL="0" distR="0" wp14:anchorId="25BF90C6" wp14:editId="6992DA86">
                  <wp:extent cx="662400" cy="900000"/>
                  <wp:effectExtent l="0" t="0" r="4445" b="0"/>
                  <wp:docPr id="200372035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gridSpan w:val="2"/>
          </w:tcPr>
          <w:p w14:paraId="40737CF6" w14:textId="77777777" w:rsidR="00E94E2E" w:rsidRDefault="00E94E2E" w:rsidP="00C346B4">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 xml:space="preserve">Ryszard MATUSIAK </w:t>
            </w:r>
          </w:p>
          <w:p w14:paraId="12BA7ADD"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rzecznik patentowy w latach 1978-97</w:t>
            </w:r>
          </w:p>
          <w:p w14:paraId="1708305A"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 xml:space="preserve">współzałożyciel Polskiej Izby Rzeczników Patentowych </w:t>
            </w:r>
          </w:p>
          <w:p w14:paraId="3033ABC9"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uczestnik I Krajowego Zjazdu w dniu 28.08.1993 r.</w:t>
            </w:r>
          </w:p>
          <w:p w14:paraId="4952159C"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Przewodniczący Głównej Komisji Rewizyjnej SIMP 28.06.2002-26.11.2022</w:t>
            </w:r>
          </w:p>
          <w:p w14:paraId="6D13E879"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 xml:space="preserve">Ekspert Urzędu Marszałkowskiego Województwa Wielkopolskiego </w:t>
            </w:r>
          </w:p>
          <w:p w14:paraId="2FCA4BE4"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 xml:space="preserve">Wpisany przez Urząd Marszałkowski Województwa Wielkopolskiego na Listę Krajową Ekspertów </w:t>
            </w:r>
          </w:p>
          <w:p w14:paraId="7ECE2CE3" w14:textId="77777777" w:rsidR="00CC15EE" w:rsidRPr="00CC15EE" w:rsidRDefault="00CC15EE" w:rsidP="00CC15EE">
            <w:pPr>
              <w:pStyle w:val="Akapitzlist"/>
              <w:numPr>
                <w:ilvl w:val="0"/>
                <w:numId w:val="48"/>
              </w:numPr>
              <w:ind w:left="317" w:hanging="317"/>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 xml:space="preserve">Przewodniczący </w:t>
            </w:r>
            <w:proofErr w:type="spellStart"/>
            <w:r w:rsidRPr="00CC15EE">
              <w:rPr>
                <w:rFonts w:asciiTheme="minorHAnsi" w:eastAsia="Times New Roman" w:hAnsiTheme="minorHAnsi" w:cstheme="minorHAnsi"/>
                <w:bCs/>
                <w:color w:val="000000"/>
                <w:sz w:val="22"/>
                <w:szCs w:val="22"/>
              </w:rPr>
              <w:t>WKTiR</w:t>
            </w:r>
            <w:proofErr w:type="spellEnd"/>
            <w:r w:rsidRPr="00CC15EE">
              <w:rPr>
                <w:rFonts w:asciiTheme="minorHAnsi" w:eastAsia="Times New Roman" w:hAnsiTheme="minorHAnsi" w:cstheme="minorHAnsi"/>
                <w:bCs/>
                <w:color w:val="000000"/>
                <w:sz w:val="22"/>
                <w:szCs w:val="22"/>
              </w:rPr>
              <w:t xml:space="preserve"> w Poznaniu (1981-1985) </w:t>
            </w:r>
          </w:p>
          <w:p w14:paraId="313085CA" w14:textId="77777777" w:rsidR="00E94E2E" w:rsidRPr="00CC15EE" w:rsidRDefault="00CC15EE" w:rsidP="00CC15EE">
            <w:pPr>
              <w:numPr>
                <w:ilvl w:val="0"/>
                <w:numId w:val="48"/>
              </w:numPr>
              <w:ind w:left="317" w:hanging="317"/>
              <w:rPr>
                <w:rFonts w:asciiTheme="minorHAnsi" w:hAnsiTheme="minorHAnsi" w:cstheme="minorHAnsi"/>
                <w:bCs/>
                <w:color w:val="000000"/>
                <w:sz w:val="22"/>
                <w:szCs w:val="22"/>
              </w:rPr>
            </w:pPr>
            <w:r w:rsidRPr="00CC15EE">
              <w:rPr>
                <w:rFonts w:asciiTheme="minorHAnsi" w:hAnsiTheme="minorHAnsi" w:cstheme="minorHAnsi"/>
                <w:bCs/>
                <w:color w:val="000000"/>
                <w:sz w:val="22"/>
                <w:szCs w:val="22"/>
              </w:rPr>
              <w:t>Rzeczoznawca SIMP</w:t>
            </w:r>
          </w:p>
          <w:p w14:paraId="01C93427" w14:textId="469CF01C" w:rsidR="00CC15EE" w:rsidRPr="001D7639" w:rsidRDefault="00CC15EE" w:rsidP="00CC15EE">
            <w:pPr>
              <w:ind w:left="720"/>
              <w:rPr>
                <w:rFonts w:cstheme="minorHAnsi"/>
                <w:bCs/>
                <w:color w:val="000000"/>
              </w:rPr>
            </w:pPr>
          </w:p>
        </w:tc>
      </w:tr>
      <w:tr w:rsidR="00E94E2E" w14:paraId="6C2C2A6D" w14:textId="77777777" w:rsidTr="0084018E">
        <w:tc>
          <w:tcPr>
            <w:tcW w:w="1276" w:type="dxa"/>
          </w:tcPr>
          <w:p w14:paraId="72C60E4B" w14:textId="77777777" w:rsidR="001237AA" w:rsidRPr="001237AA" w:rsidRDefault="001237AA" w:rsidP="00C346B4">
            <w:pPr>
              <w:tabs>
                <w:tab w:val="left" w:pos="2261"/>
              </w:tabs>
              <w:rPr>
                <w:rFonts w:cstheme="minorHAnsi"/>
                <w:b/>
                <w:bCs/>
                <w:color w:val="000000"/>
                <w:sz w:val="6"/>
                <w:szCs w:val="6"/>
              </w:rPr>
            </w:pPr>
          </w:p>
          <w:p w14:paraId="6F29E6E4" w14:textId="44866463" w:rsidR="00E94E2E" w:rsidRDefault="00375E11" w:rsidP="00C346B4">
            <w:pPr>
              <w:tabs>
                <w:tab w:val="left" w:pos="2261"/>
              </w:tabs>
              <w:rPr>
                <w:rFonts w:cstheme="minorHAnsi"/>
                <w:b/>
                <w:bCs/>
                <w:color w:val="000000"/>
                <w:sz w:val="26"/>
                <w:szCs w:val="26"/>
              </w:rPr>
            </w:pPr>
            <w:r>
              <w:rPr>
                <w:noProof/>
              </w:rPr>
              <w:drawing>
                <wp:inline distT="0" distB="0" distL="0" distR="0" wp14:anchorId="2A560F85" wp14:editId="331F3567">
                  <wp:extent cx="658800" cy="900000"/>
                  <wp:effectExtent l="0" t="0" r="8255" b="0"/>
                  <wp:docPr id="162190664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476" w:type="dxa"/>
            <w:gridSpan w:val="2"/>
          </w:tcPr>
          <w:p w14:paraId="492FBD24" w14:textId="77777777" w:rsidR="00E94E2E" w:rsidRPr="00CC15EE" w:rsidRDefault="00E94E2E" w:rsidP="00C346B4">
            <w:pPr>
              <w:rPr>
                <w:rFonts w:ascii="Calibri" w:hAnsi="Calibri" w:cstheme="minorHAnsi"/>
                <w:bCs/>
                <w:color w:val="000000"/>
                <w:sz w:val="22"/>
                <w:szCs w:val="22"/>
              </w:rPr>
            </w:pPr>
            <w:r w:rsidRPr="00CC15EE">
              <w:rPr>
                <w:rFonts w:ascii="Calibri" w:hAnsi="Calibri" w:cstheme="minorHAnsi"/>
                <w:bCs/>
                <w:color w:val="000000"/>
                <w:sz w:val="22"/>
                <w:szCs w:val="22"/>
              </w:rPr>
              <w:t>Anna KORBELA</w:t>
            </w:r>
          </w:p>
          <w:p w14:paraId="0A15AEFC" w14:textId="061CBA9B" w:rsidR="00755F82" w:rsidRDefault="00E86418" w:rsidP="001F6BE3">
            <w:pPr>
              <w:pStyle w:val="Akapitzlist"/>
              <w:numPr>
                <w:ilvl w:val="0"/>
                <w:numId w:val="45"/>
              </w:numPr>
              <w:ind w:left="320" w:hanging="334"/>
              <w:rPr>
                <w:rFonts w:eastAsia="Times New Roman" w:cstheme="minorHAnsi"/>
                <w:bCs/>
                <w:color w:val="000000"/>
                <w:sz w:val="22"/>
                <w:szCs w:val="22"/>
              </w:rPr>
            </w:pPr>
            <w:r w:rsidRPr="00755F82">
              <w:rPr>
                <w:rFonts w:eastAsia="Times New Roman" w:cstheme="minorHAnsi"/>
                <w:bCs/>
                <w:color w:val="000000"/>
                <w:sz w:val="22"/>
                <w:szCs w:val="22"/>
              </w:rPr>
              <w:t xml:space="preserve">w 1994 r. </w:t>
            </w:r>
            <w:r w:rsidR="00FE4722" w:rsidRPr="00FE4722">
              <w:rPr>
                <w:rFonts w:eastAsia="Times New Roman" w:cstheme="minorHAnsi"/>
                <w:bCs/>
                <w:color w:val="000000"/>
                <w:sz w:val="22"/>
                <w:szCs w:val="22"/>
              </w:rPr>
              <w:t xml:space="preserve">zdała </w:t>
            </w:r>
            <w:r w:rsidR="00755F82" w:rsidRPr="00755F82">
              <w:rPr>
                <w:rFonts w:eastAsia="Times New Roman" w:cstheme="minorHAnsi"/>
                <w:bCs/>
                <w:color w:val="000000"/>
                <w:sz w:val="22"/>
                <w:szCs w:val="22"/>
              </w:rPr>
              <w:t xml:space="preserve">egzamin sędziowski poprzedzony etatową aplikacją sędziowską (złożony z </w:t>
            </w:r>
            <w:r w:rsidR="00123357" w:rsidRPr="00755F82">
              <w:rPr>
                <w:rFonts w:eastAsia="Times New Roman" w:cstheme="minorHAnsi"/>
                <w:bCs/>
                <w:color w:val="000000"/>
                <w:sz w:val="22"/>
                <w:szCs w:val="22"/>
              </w:rPr>
              <w:t xml:space="preserve">dobrym </w:t>
            </w:r>
            <w:r w:rsidR="00755F82" w:rsidRPr="00755F82">
              <w:rPr>
                <w:rFonts w:eastAsia="Times New Roman" w:cstheme="minorHAnsi"/>
                <w:bCs/>
                <w:color w:val="000000"/>
                <w:sz w:val="22"/>
                <w:szCs w:val="22"/>
              </w:rPr>
              <w:t>wynikiem, umożliwiającym podjęcie kariery sędziowskiej</w:t>
            </w:r>
            <w:r w:rsidR="00D76DA8">
              <w:rPr>
                <w:rFonts w:eastAsia="Times New Roman" w:cstheme="minorHAnsi"/>
                <w:bCs/>
                <w:color w:val="000000"/>
                <w:sz w:val="22"/>
                <w:szCs w:val="22"/>
              </w:rPr>
              <w:t>)</w:t>
            </w:r>
          </w:p>
          <w:p w14:paraId="6113F0FE" w14:textId="4A8276D5"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rzecznik patentowy nr 3040</w:t>
            </w:r>
          </w:p>
          <w:p w14:paraId="55113BC1" w14:textId="77777777"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radca prawny nr 364/96</w:t>
            </w:r>
          </w:p>
          <w:p w14:paraId="112E4225" w14:textId="2088D43B"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 xml:space="preserve">profesjonalny pełnomocnik przed EUIPO (European Union Intellectual Property Office </w:t>
            </w:r>
            <w:r w:rsidR="00636601" w:rsidRPr="00CC15EE">
              <w:rPr>
                <w:rFonts w:eastAsia="Times New Roman" w:cstheme="minorHAnsi"/>
                <w:bCs/>
                <w:color w:val="000000"/>
                <w:sz w:val="22"/>
                <w:szCs w:val="22"/>
              </w:rPr>
              <w:t>-</w:t>
            </w:r>
            <w:r w:rsidRPr="00CC15EE">
              <w:rPr>
                <w:rFonts w:eastAsia="Times New Roman" w:cstheme="minorHAnsi"/>
                <w:bCs/>
                <w:color w:val="000000"/>
                <w:sz w:val="22"/>
                <w:szCs w:val="22"/>
              </w:rPr>
              <w:t xml:space="preserve"> </w:t>
            </w:r>
            <w:r w:rsidR="003A208A" w:rsidRPr="00CC15EE">
              <w:rPr>
                <w:rFonts w:eastAsia="Times New Roman" w:cstheme="minorHAnsi"/>
                <w:bCs/>
                <w:color w:val="000000"/>
                <w:sz w:val="22"/>
                <w:szCs w:val="22"/>
              </w:rPr>
              <w:t>Urzędem</w:t>
            </w:r>
            <w:r w:rsidRPr="00CC15EE">
              <w:rPr>
                <w:rFonts w:eastAsia="Times New Roman" w:cstheme="minorHAnsi"/>
                <w:bCs/>
                <w:color w:val="000000"/>
                <w:sz w:val="22"/>
                <w:szCs w:val="22"/>
              </w:rPr>
              <w:t xml:space="preserve"> Unii Europejskiej ds. Własności Intelektualnej), nr 27595</w:t>
            </w:r>
          </w:p>
          <w:p w14:paraId="36AC2F8D" w14:textId="77777777"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Europejski Rzecznik Patentowy nr 137760</w:t>
            </w:r>
          </w:p>
          <w:p w14:paraId="06A91136" w14:textId="176FDEB8"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pełnomocnik uprawniony do działania przed DPMA (</w:t>
            </w:r>
            <w:proofErr w:type="spellStart"/>
            <w:r w:rsidRPr="00CC15EE">
              <w:rPr>
                <w:rFonts w:eastAsia="Times New Roman" w:cstheme="minorHAnsi"/>
                <w:bCs/>
                <w:color w:val="000000"/>
                <w:sz w:val="22"/>
                <w:szCs w:val="22"/>
              </w:rPr>
              <w:t>Deutsches</w:t>
            </w:r>
            <w:proofErr w:type="spellEnd"/>
            <w:r w:rsidRPr="00CC15EE">
              <w:rPr>
                <w:rFonts w:eastAsia="Times New Roman" w:cstheme="minorHAnsi"/>
                <w:bCs/>
                <w:color w:val="000000"/>
                <w:sz w:val="22"/>
                <w:szCs w:val="22"/>
              </w:rPr>
              <w:t xml:space="preserve"> Patent- </w:t>
            </w:r>
            <w:proofErr w:type="spellStart"/>
            <w:r w:rsidRPr="00CC15EE">
              <w:rPr>
                <w:rFonts w:eastAsia="Times New Roman" w:cstheme="minorHAnsi"/>
                <w:bCs/>
                <w:color w:val="000000"/>
                <w:sz w:val="22"/>
                <w:szCs w:val="22"/>
              </w:rPr>
              <w:t>und</w:t>
            </w:r>
            <w:proofErr w:type="spellEnd"/>
            <w:r w:rsidRPr="00CC15EE">
              <w:rPr>
                <w:rFonts w:eastAsia="Times New Roman" w:cstheme="minorHAnsi"/>
                <w:bCs/>
                <w:color w:val="000000"/>
                <w:sz w:val="22"/>
                <w:szCs w:val="22"/>
              </w:rPr>
              <w:t xml:space="preserve"> </w:t>
            </w:r>
            <w:proofErr w:type="spellStart"/>
            <w:r w:rsidRPr="00CC15EE">
              <w:rPr>
                <w:rFonts w:eastAsia="Times New Roman" w:cstheme="minorHAnsi"/>
                <w:bCs/>
                <w:color w:val="000000"/>
                <w:sz w:val="22"/>
                <w:szCs w:val="22"/>
              </w:rPr>
              <w:t>Markenamt</w:t>
            </w:r>
            <w:proofErr w:type="spellEnd"/>
            <w:r w:rsidRPr="00CC15EE">
              <w:rPr>
                <w:rFonts w:eastAsia="Times New Roman" w:cstheme="minorHAnsi"/>
                <w:bCs/>
                <w:color w:val="000000"/>
                <w:sz w:val="22"/>
                <w:szCs w:val="22"/>
              </w:rPr>
              <w:t xml:space="preserve"> </w:t>
            </w:r>
            <w:r w:rsidR="00636601" w:rsidRPr="00CC15EE">
              <w:rPr>
                <w:rFonts w:eastAsia="Times New Roman" w:cstheme="minorHAnsi"/>
                <w:bCs/>
                <w:color w:val="000000"/>
                <w:sz w:val="22"/>
                <w:szCs w:val="22"/>
              </w:rPr>
              <w:t>-</w:t>
            </w:r>
            <w:r w:rsidRPr="00CC15EE">
              <w:rPr>
                <w:rFonts w:eastAsia="Times New Roman" w:cstheme="minorHAnsi"/>
                <w:bCs/>
                <w:color w:val="000000"/>
                <w:sz w:val="22"/>
                <w:szCs w:val="22"/>
              </w:rPr>
              <w:t xml:space="preserve"> </w:t>
            </w:r>
            <w:r w:rsidR="00636601" w:rsidRPr="00CC15EE">
              <w:rPr>
                <w:rFonts w:eastAsia="Times New Roman" w:cstheme="minorHAnsi"/>
                <w:bCs/>
                <w:color w:val="000000"/>
                <w:sz w:val="22"/>
                <w:szCs w:val="22"/>
              </w:rPr>
              <w:t xml:space="preserve">Niemieckim Urzędem ds. </w:t>
            </w:r>
            <w:r w:rsidRPr="00CC15EE">
              <w:rPr>
                <w:rFonts w:eastAsia="Times New Roman" w:cstheme="minorHAnsi"/>
                <w:bCs/>
                <w:color w:val="000000"/>
                <w:sz w:val="22"/>
                <w:szCs w:val="22"/>
              </w:rPr>
              <w:t>Patentów i Znaków Towarowych) nr 38701324</w:t>
            </w:r>
          </w:p>
          <w:p w14:paraId="1F06080E" w14:textId="12839B58"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pełnomocnik przed UPC (</w:t>
            </w:r>
            <w:proofErr w:type="spellStart"/>
            <w:r w:rsidRPr="00CC15EE">
              <w:rPr>
                <w:rFonts w:eastAsia="Times New Roman" w:cstheme="minorHAnsi"/>
                <w:bCs/>
                <w:color w:val="000000"/>
                <w:sz w:val="22"/>
                <w:szCs w:val="22"/>
              </w:rPr>
              <w:t>Unitary</w:t>
            </w:r>
            <w:proofErr w:type="spellEnd"/>
            <w:r w:rsidRPr="00CC15EE">
              <w:rPr>
                <w:rFonts w:eastAsia="Times New Roman" w:cstheme="minorHAnsi"/>
                <w:bCs/>
                <w:color w:val="000000"/>
                <w:sz w:val="22"/>
                <w:szCs w:val="22"/>
              </w:rPr>
              <w:t xml:space="preserve"> Patent Court </w:t>
            </w:r>
            <w:r w:rsidR="00636601" w:rsidRPr="00CC15EE">
              <w:rPr>
                <w:rFonts w:eastAsia="Times New Roman" w:cstheme="minorHAnsi"/>
                <w:bCs/>
                <w:color w:val="000000"/>
                <w:sz w:val="22"/>
                <w:szCs w:val="22"/>
              </w:rPr>
              <w:t>-</w:t>
            </w:r>
            <w:r w:rsidRPr="00CC15EE">
              <w:rPr>
                <w:rFonts w:eastAsia="Times New Roman" w:cstheme="minorHAnsi"/>
                <w:bCs/>
                <w:color w:val="000000"/>
                <w:sz w:val="22"/>
                <w:szCs w:val="22"/>
              </w:rPr>
              <w:t xml:space="preserve"> Jednolitym Sądem Patentowym) AUTH_525119/2023</w:t>
            </w:r>
          </w:p>
          <w:p w14:paraId="27865A94" w14:textId="77777777" w:rsidR="00E94E2E" w:rsidRPr="00CC15EE" w:rsidRDefault="00E94E2E"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Prezes Polskiej Izby Rzeczników Patentowych w latach 2009-2013 i 2013-2017</w:t>
            </w:r>
          </w:p>
          <w:p w14:paraId="3FAC8F73" w14:textId="00BD2AFC" w:rsidR="00375E11" w:rsidRPr="00CC15EE" w:rsidRDefault="00375E11"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Prezes StoWI od 2023 r.</w:t>
            </w:r>
          </w:p>
          <w:p w14:paraId="456FC6D8" w14:textId="587FF37B" w:rsidR="00375E11" w:rsidRPr="00375E11" w:rsidRDefault="00375E11" w:rsidP="00375E11">
            <w:pPr>
              <w:pStyle w:val="Akapitzlist"/>
              <w:ind w:left="669"/>
              <w:rPr>
                <w:rFonts w:eastAsia="Times New Roman" w:cstheme="minorHAnsi"/>
                <w:bCs/>
                <w:color w:val="000000"/>
              </w:rPr>
            </w:pPr>
          </w:p>
        </w:tc>
      </w:tr>
    </w:tbl>
    <w:p w14:paraId="05A52783" w14:textId="77777777" w:rsidR="00E04F3E" w:rsidRDefault="00E04F3E" w:rsidP="008A4D52">
      <w:pPr>
        <w:spacing w:after="0" w:line="240" w:lineRule="auto"/>
        <w:jc w:val="center"/>
        <w:rPr>
          <w:b/>
          <w:bCs/>
        </w:rPr>
      </w:pPr>
    </w:p>
    <w:p w14:paraId="3910B045" w14:textId="77777777" w:rsidR="00E04F3E" w:rsidRDefault="00E04F3E" w:rsidP="008A4D52">
      <w:pPr>
        <w:spacing w:after="0" w:line="240" w:lineRule="auto"/>
        <w:jc w:val="center"/>
        <w:rPr>
          <w:b/>
          <w:bCs/>
        </w:rPr>
      </w:pPr>
    </w:p>
    <w:p w14:paraId="206B52BE" w14:textId="2BE987EF" w:rsidR="00BF55B8" w:rsidRDefault="008A4D52" w:rsidP="008A4D52">
      <w:pPr>
        <w:spacing w:after="0" w:line="240" w:lineRule="auto"/>
        <w:jc w:val="center"/>
        <w:rPr>
          <w:b/>
          <w:bCs/>
        </w:rPr>
      </w:pPr>
      <w:r>
        <w:rPr>
          <w:b/>
          <w:bCs/>
        </w:rPr>
        <w:t>* * *</w:t>
      </w:r>
    </w:p>
    <w:p w14:paraId="67003E78" w14:textId="1CC3ABA4" w:rsidR="001A6614" w:rsidRPr="00EC4F25" w:rsidRDefault="007A2296" w:rsidP="007A2296">
      <w:pPr>
        <w:spacing w:after="0" w:line="240" w:lineRule="auto"/>
        <w:jc w:val="both"/>
        <w:rPr>
          <w:rFonts w:cstheme="minorHAnsi"/>
        </w:rPr>
      </w:pPr>
      <w:bookmarkStart w:id="37" w:name="_Hlk169168490"/>
      <w:r>
        <w:rPr>
          <w:rFonts w:cstheme="minorHAnsi"/>
          <w:b/>
          <w:bCs/>
          <w:noProof/>
          <w:lang w:eastAsia="pl-PL"/>
        </w:rPr>
        <w:lastRenderedPageBreak/>
        <w:drawing>
          <wp:inline distT="0" distB="0" distL="0" distR="0" wp14:anchorId="00F9612D" wp14:editId="5BC12C0C">
            <wp:extent cx="6186805" cy="2291715"/>
            <wp:effectExtent l="0" t="0" r="4445" b="0"/>
            <wp:docPr id="1848271524" name="Obraz 184827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6805" cy="2291715"/>
                    </a:xfrm>
                    <a:prstGeom prst="rect">
                      <a:avLst/>
                    </a:prstGeom>
                    <a:noFill/>
                    <a:ln>
                      <a:noFill/>
                    </a:ln>
                  </pic:spPr>
                </pic:pic>
              </a:graphicData>
            </a:graphic>
          </wp:inline>
        </w:drawing>
      </w:r>
    </w:p>
    <w:p w14:paraId="0F697882" w14:textId="77777777" w:rsidR="001A6614" w:rsidRPr="00572CD9" w:rsidRDefault="001A6614" w:rsidP="001A6614">
      <w:pPr>
        <w:spacing w:after="0" w:line="240" w:lineRule="auto"/>
        <w:ind w:left="-1" w:firstLine="634"/>
        <w:jc w:val="both"/>
        <w:rPr>
          <w:rFonts w:ascii="Times New Roman" w:hAnsi="Times New Roman" w:cs="Times New Roman"/>
          <w:sz w:val="24"/>
          <w:szCs w:val="24"/>
        </w:rPr>
      </w:pPr>
      <w:r w:rsidRPr="00572CD9">
        <w:rPr>
          <w:rFonts w:ascii="Times New Roman" w:hAnsi="Times New Roman" w:cs="Times New Roman"/>
          <w:sz w:val="24"/>
          <w:szCs w:val="24"/>
        </w:rPr>
        <w:t xml:space="preserve">Działając </w:t>
      </w:r>
      <w:bookmarkEnd w:id="37"/>
      <w:r w:rsidRPr="00572CD9">
        <w:rPr>
          <w:rFonts w:ascii="Times New Roman" w:hAnsi="Times New Roman" w:cs="Times New Roman"/>
          <w:sz w:val="24"/>
          <w:szCs w:val="24"/>
        </w:rPr>
        <w:t>na podstawie art. 2 ust. 1 ustawy z dnia 6 września 2001 r. o dostępie do informacji publicznej (Dz. U. z 2022 r. poz. 902), dalej określanej jako „</w:t>
      </w:r>
      <w:r w:rsidRPr="00572CD9">
        <w:rPr>
          <w:rFonts w:ascii="Times New Roman" w:hAnsi="Times New Roman" w:cs="Times New Roman"/>
          <w:b/>
          <w:bCs/>
          <w:i/>
          <w:iCs/>
          <w:sz w:val="24"/>
          <w:szCs w:val="24"/>
        </w:rPr>
        <w:t>u.d.inf.pub</w:t>
      </w:r>
      <w:r w:rsidRPr="00572CD9">
        <w:rPr>
          <w:rFonts w:ascii="Times New Roman" w:hAnsi="Times New Roman" w:cs="Times New Roman"/>
          <w:sz w:val="24"/>
          <w:szCs w:val="24"/>
        </w:rPr>
        <w:t xml:space="preserve">.” </w:t>
      </w:r>
      <w:r w:rsidRPr="00572CD9">
        <w:rPr>
          <w:rFonts w:ascii="Times New Roman" w:hAnsi="Times New Roman" w:cs="Times New Roman"/>
          <w:noProof/>
          <w:sz w:val="24"/>
          <w:szCs w:val="24"/>
        </w:rPr>
        <w:t xml:space="preserve">– uprzejmie </w:t>
      </w:r>
      <w:r w:rsidRPr="00572CD9">
        <w:rPr>
          <w:rFonts w:ascii="Times New Roman" w:hAnsi="Times New Roman" w:cs="Times New Roman"/>
          <w:sz w:val="24"/>
          <w:szCs w:val="24"/>
        </w:rPr>
        <w:t>prosimy o udostępnienie następujących informacji publicznych:</w:t>
      </w:r>
    </w:p>
    <w:p w14:paraId="5C40D0D1" w14:textId="77777777" w:rsidR="001A6614" w:rsidRPr="00572CD9" w:rsidRDefault="001A6614" w:rsidP="001A6614">
      <w:pPr>
        <w:tabs>
          <w:tab w:val="left" w:pos="567"/>
        </w:tabs>
        <w:spacing w:after="0" w:line="240" w:lineRule="auto"/>
        <w:jc w:val="both"/>
        <w:rPr>
          <w:rFonts w:ascii="Times New Roman" w:eastAsia="Arial Unicode MS" w:hAnsi="Times New Roman" w:cs="Times New Roman"/>
          <w:color w:val="000000"/>
          <w:sz w:val="10"/>
          <w:szCs w:val="10"/>
        </w:rPr>
      </w:pPr>
    </w:p>
    <w:p w14:paraId="3D97C79B" w14:textId="77777777" w:rsidR="001A6614" w:rsidRPr="00572CD9" w:rsidRDefault="001A6614" w:rsidP="001A6614">
      <w:pPr>
        <w:pStyle w:val="Akapitzlist"/>
        <w:tabs>
          <w:tab w:val="left" w:pos="567"/>
        </w:tabs>
        <w:ind w:left="567"/>
        <w:jc w:val="both"/>
        <w:rPr>
          <w:rFonts w:ascii="Times New Roman" w:hAnsi="Times New Roman"/>
          <w:b/>
          <w:bCs/>
          <w:color w:val="2B2B2B"/>
          <w:sz w:val="24"/>
          <w:szCs w:val="24"/>
          <w:shd w:val="clear" w:color="auto" w:fill="FFFFFF"/>
        </w:rPr>
      </w:pPr>
      <w:r w:rsidRPr="00572CD9">
        <w:rPr>
          <w:rFonts w:ascii="Times New Roman" w:hAnsi="Times New Roman"/>
          <w:b/>
          <w:bCs/>
          <w:color w:val="2B2B2B"/>
          <w:sz w:val="24"/>
          <w:szCs w:val="24"/>
          <w:shd w:val="clear" w:color="auto" w:fill="FFFFFF"/>
        </w:rPr>
        <w:t xml:space="preserve">Czy Pani Prezes forsuje wprowadzenie do polskiego porządku prawnego projektu nowej regulacji prawnej, w postaci nowej ustawy Prawo własności przemysłowej (w poprzedniej kadencji Sejmu oznaczonej UD263), zarówno w okresie tzw. </w:t>
      </w:r>
      <w:r w:rsidRPr="00572CD9">
        <w:rPr>
          <w:rFonts w:ascii="Times New Roman" w:hAnsi="Times New Roman"/>
          <w:b/>
          <w:bCs/>
          <w:i/>
          <w:color w:val="2B2B2B"/>
          <w:sz w:val="24"/>
          <w:szCs w:val="24"/>
          <w:shd w:val="clear" w:color="auto" w:fill="FFFFFF"/>
        </w:rPr>
        <w:t>„dobrej zmiany”</w:t>
      </w:r>
      <w:r w:rsidRPr="00572CD9">
        <w:rPr>
          <w:rFonts w:ascii="Times New Roman" w:hAnsi="Times New Roman"/>
          <w:b/>
          <w:bCs/>
          <w:color w:val="2B2B2B"/>
          <w:sz w:val="24"/>
          <w:szCs w:val="24"/>
          <w:shd w:val="clear" w:color="auto" w:fill="FFFFFF"/>
        </w:rPr>
        <w:t>, jak i w okresie po nim następującym - wbrew założeniom dobrej legislacji - pomijającej akty wykonawcze.</w:t>
      </w:r>
    </w:p>
    <w:p w14:paraId="02D14B72" w14:textId="77777777" w:rsidR="001A6614" w:rsidRPr="00572CD9" w:rsidRDefault="001A6614" w:rsidP="001A6614">
      <w:pPr>
        <w:pStyle w:val="Akapitzlist"/>
        <w:tabs>
          <w:tab w:val="left" w:pos="567"/>
        </w:tabs>
        <w:ind w:left="567"/>
        <w:jc w:val="both"/>
        <w:rPr>
          <w:rFonts w:ascii="Times New Roman" w:hAnsi="Times New Roman"/>
          <w:b/>
          <w:bCs/>
          <w:color w:val="2B2B2B"/>
          <w:sz w:val="10"/>
          <w:szCs w:val="10"/>
          <w:shd w:val="clear" w:color="auto" w:fill="FFFFFF"/>
        </w:rPr>
      </w:pPr>
    </w:p>
    <w:p w14:paraId="3248087E" w14:textId="77777777" w:rsidR="001A6614" w:rsidRPr="00572CD9" w:rsidRDefault="001A6614" w:rsidP="001A6614">
      <w:pPr>
        <w:spacing w:after="0" w:line="240" w:lineRule="auto"/>
        <w:ind w:firstLine="556"/>
        <w:jc w:val="both"/>
        <w:rPr>
          <w:rFonts w:ascii="Times New Roman" w:hAnsi="Times New Roman" w:cs="Times New Roman"/>
          <w:sz w:val="24"/>
          <w:szCs w:val="24"/>
        </w:rPr>
      </w:pPr>
      <w:r w:rsidRPr="00572CD9">
        <w:rPr>
          <w:rFonts w:ascii="Times New Roman" w:hAnsi="Times New Roman" w:cs="Times New Roman"/>
          <w:noProof/>
          <w:sz w:val="24"/>
          <w:szCs w:val="24"/>
          <w:lang w:eastAsia="pl-PL"/>
        </w:rPr>
        <w:drawing>
          <wp:anchor distT="0" distB="0" distL="114300" distR="114300" simplePos="0" relativeHeight="251738112" behindDoc="0" locked="0" layoutInCell="1" allowOverlap="0" wp14:anchorId="29046EC3" wp14:editId="2A19F9EB">
            <wp:simplePos x="0" y="0"/>
            <wp:positionH relativeFrom="page">
              <wp:posOffset>6486525</wp:posOffset>
            </wp:positionH>
            <wp:positionV relativeFrom="page">
              <wp:posOffset>9885045</wp:posOffset>
            </wp:positionV>
            <wp:extent cx="3175" cy="3175"/>
            <wp:effectExtent l="0" t="0" r="0" b="0"/>
            <wp:wrapSquare wrapText="bothSides"/>
            <wp:docPr id="7205495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75" cy="3175"/>
                    </a:xfrm>
                    <a:prstGeom prst="rect">
                      <a:avLst/>
                    </a:prstGeom>
                    <a:noFill/>
                  </pic:spPr>
                </pic:pic>
              </a:graphicData>
            </a:graphic>
            <wp14:sizeRelH relativeFrom="page">
              <wp14:pctWidth>0</wp14:pctWidth>
            </wp14:sizeRelH>
            <wp14:sizeRelV relativeFrom="page">
              <wp14:pctHeight>0</wp14:pctHeight>
            </wp14:sizeRelV>
          </wp:anchor>
        </w:drawing>
      </w:r>
      <w:r w:rsidRPr="00572CD9">
        <w:rPr>
          <w:rFonts w:ascii="Times New Roman" w:hAnsi="Times New Roman" w:cs="Times New Roman"/>
          <w:sz w:val="24"/>
          <w:szCs w:val="24"/>
        </w:rPr>
        <w:t>Jednocześnie - stosownie do treści art. 14 ust. 1 u.d.inf.pub. - prosimy o następujący sposób i formę udostępnienia żądanych powyżej informacji:</w:t>
      </w:r>
    </w:p>
    <w:p w14:paraId="107A8679" w14:textId="77777777" w:rsidR="001A6614" w:rsidRPr="00572CD9" w:rsidRDefault="001A6614" w:rsidP="001A6614">
      <w:pPr>
        <w:spacing w:after="0" w:line="240" w:lineRule="auto"/>
        <w:ind w:left="709" w:hanging="153"/>
        <w:jc w:val="both"/>
        <w:rPr>
          <w:rFonts w:ascii="Times New Roman" w:hAnsi="Times New Roman" w:cs="Times New Roman"/>
          <w:sz w:val="6"/>
          <w:szCs w:val="6"/>
        </w:rPr>
      </w:pPr>
    </w:p>
    <w:p w14:paraId="47857905" w14:textId="77777777" w:rsidR="001A6614" w:rsidRPr="00572CD9" w:rsidRDefault="001A6614" w:rsidP="001F6BE3">
      <w:pPr>
        <w:pStyle w:val="Akapitzlist"/>
        <w:numPr>
          <w:ilvl w:val="0"/>
          <w:numId w:val="28"/>
        </w:numPr>
        <w:ind w:left="567" w:hanging="425"/>
        <w:contextualSpacing/>
        <w:jc w:val="both"/>
        <w:rPr>
          <w:rFonts w:ascii="Times New Roman" w:hAnsi="Times New Roman"/>
          <w:sz w:val="24"/>
          <w:szCs w:val="24"/>
        </w:rPr>
      </w:pPr>
      <w:r w:rsidRPr="00572CD9">
        <w:rPr>
          <w:rFonts w:ascii="Times New Roman" w:hAnsi="Times New Roman"/>
          <w:b/>
          <w:bCs/>
          <w:sz w:val="24"/>
          <w:szCs w:val="24"/>
        </w:rPr>
        <w:t>sposób udostępnienia</w:t>
      </w:r>
      <w:r w:rsidRPr="00572CD9">
        <w:rPr>
          <w:rFonts w:ascii="Times New Roman" w:hAnsi="Times New Roman"/>
          <w:sz w:val="24"/>
          <w:szCs w:val="24"/>
        </w:rPr>
        <w:t>: wysyłka na wskazane adresy poczty elektronicznej:</w:t>
      </w:r>
    </w:p>
    <w:p w14:paraId="66807CF8" w14:textId="77777777" w:rsidR="001A6614" w:rsidRPr="00C03056" w:rsidRDefault="00B82931" w:rsidP="001A6614">
      <w:pPr>
        <w:spacing w:after="0" w:line="240" w:lineRule="auto"/>
        <w:ind w:left="567"/>
        <w:jc w:val="both"/>
        <w:rPr>
          <w:rFonts w:ascii="Times New Roman" w:hAnsi="Times New Roman" w:cs="Times New Roman"/>
          <w:color w:val="2E74B5" w:themeColor="accent5" w:themeShade="BF"/>
          <w:sz w:val="24"/>
          <w:szCs w:val="24"/>
        </w:rPr>
      </w:pPr>
      <w:hyperlink r:id="rId48" w:history="1">
        <w:r w:rsidR="001A6614" w:rsidRPr="00C03056">
          <w:rPr>
            <w:rStyle w:val="Hipercze"/>
            <w:rFonts w:ascii="Times New Roman" w:eastAsia="Arial Unicode MS" w:hAnsi="Times New Roman" w:cs="Times New Roman"/>
            <w:color w:val="2E74B5" w:themeColor="accent5" w:themeShade="BF"/>
            <w:sz w:val="24"/>
            <w:szCs w:val="24"/>
          </w:rPr>
          <w:t>biuro@stowi.pl</w:t>
        </w:r>
      </w:hyperlink>
      <w:r w:rsidR="001A6614" w:rsidRPr="00C03056">
        <w:rPr>
          <w:rStyle w:val="Hipercze"/>
          <w:rFonts w:ascii="Times New Roman" w:eastAsia="Arial Unicode MS" w:hAnsi="Times New Roman" w:cs="Times New Roman"/>
          <w:color w:val="2E74B5" w:themeColor="accent5" w:themeShade="BF"/>
          <w:sz w:val="24"/>
          <w:szCs w:val="24"/>
        </w:rPr>
        <w:t xml:space="preserve">  ;  </w:t>
      </w:r>
      <w:hyperlink r:id="rId49" w:history="1">
        <w:r w:rsidR="001A6614" w:rsidRPr="00C03056">
          <w:rPr>
            <w:rStyle w:val="Hipercze"/>
            <w:rFonts w:ascii="Times New Roman" w:eastAsia="Arial Unicode MS" w:hAnsi="Times New Roman" w:cs="Times New Roman"/>
            <w:color w:val="2E74B5" w:themeColor="accent5" w:themeShade="BF"/>
            <w:sz w:val="24"/>
            <w:szCs w:val="24"/>
          </w:rPr>
          <w:t>zarząd@stowi.pl</w:t>
        </w:r>
      </w:hyperlink>
      <w:r w:rsidR="001A6614" w:rsidRPr="00C03056">
        <w:rPr>
          <w:rStyle w:val="Hipercze"/>
          <w:rFonts w:ascii="Times New Roman" w:eastAsia="Arial Unicode MS" w:hAnsi="Times New Roman" w:cs="Times New Roman"/>
          <w:color w:val="2E74B5" w:themeColor="accent5" w:themeShade="BF"/>
          <w:sz w:val="24"/>
          <w:szCs w:val="24"/>
        </w:rPr>
        <w:t xml:space="preserve">  ; </w:t>
      </w:r>
      <w:hyperlink r:id="rId50" w:history="1">
        <w:r w:rsidR="001A6614" w:rsidRPr="00C03056">
          <w:rPr>
            <w:rStyle w:val="Hipercze"/>
            <w:rFonts w:ascii="Times New Roman" w:eastAsia="Arial Unicode MS" w:hAnsi="Times New Roman" w:cs="Times New Roman"/>
            <w:color w:val="2E74B5" w:themeColor="accent5" w:themeShade="BF"/>
            <w:sz w:val="24"/>
            <w:szCs w:val="24"/>
          </w:rPr>
          <w:t>wszyscy@stowi.pl</w:t>
        </w:r>
      </w:hyperlink>
      <w:r w:rsidR="001A6614" w:rsidRPr="00C03056">
        <w:rPr>
          <w:rStyle w:val="Hipercze"/>
          <w:rFonts w:ascii="Times New Roman" w:eastAsia="Arial Unicode MS" w:hAnsi="Times New Roman" w:cs="Times New Roman"/>
          <w:color w:val="2E74B5" w:themeColor="accent5" w:themeShade="BF"/>
          <w:sz w:val="24"/>
          <w:szCs w:val="24"/>
        </w:rPr>
        <w:t xml:space="preserve"> </w:t>
      </w:r>
    </w:p>
    <w:p w14:paraId="6A473339" w14:textId="77777777" w:rsidR="001A6614" w:rsidRPr="00572CD9" w:rsidRDefault="001A6614" w:rsidP="001F6BE3">
      <w:pPr>
        <w:pStyle w:val="Akapitzlist"/>
        <w:numPr>
          <w:ilvl w:val="0"/>
          <w:numId w:val="28"/>
        </w:numPr>
        <w:ind w:left="567" w:hanging="425"/>
        <w:contextualSpacing/>
        <w:jc w:val="both"/>
        <w:rPr>
          <w:rFonts w:ascii="Times New Roman" w:hAnsi="Times New Roman"/>
          <w:sz w:val="24"/>
          <w:szCs w:val="24"/>
        </w:rPr>
      </w:pPr>
      <w:r w:rsidRPr="00572CD9">
        <w:rPr>
          <w:rFonts w:ascii="Times New Roman" w:hAnsi="Times New Roman"/>
          <w:b/>
          <w:bCs/>
          <w:sz w:val="24"/>
          <w:szCs w:val="24"/>
        </w:rPr>
        <w:t>forma udostępnienia</w:t>
      </w:r>
      <w:r w:rsidRPr="00572CD9">
        <w:rPr>
          <w:rFonts w:ascii="Times New Roman" w:hAnsi="Times New Roman"/>
          <w:sz w:val="24"/>
          <w:szCs w:val="24"/>
        </w:rPr>
        <w:t>: przesłanie pisma zawierającego informację, o której mowa powyżej.</w:t>
      </w:r>
    </w:p>
    <w:p w14:paraId="4884F895" w14:textId="02EFC495" w:rsidR="001A6614" w:rsidRPr="00572CD9" w:rsidRDefault="00E04F3E" w:rsidP="001A6614">
      <w:pPr>
        <w:tabs>
          <w:tab w:val="left" w:pos="567"/>
        </w:tabs>
        <w:spacing w:after="0" w:line="240" w:lineRule="auto"/>
        <w:jc w:val="both"/>
        <w:rPr>
          <w:rFonts w:ascii="Times New Roman" w:hAnsi="Times New Roman" w:cs="Times New Roman"/>
          <w:color w:val="000000"/>
          <w:sz w:val="24"/>
          <w:szCs w:val="24"/>
          <w:shd w:val="clear" w:color="auto" w:fill="FFFFFF"/>
        </w:rPr>
      </w:pPr>
      <w:r>
        <w:rPr>
          <w:rFonts w:cstheme="minorHAnsi"/>
          <w:noProof/>
          <w:color w:val="000000"/>
          <w:shd w:val="clear" w:color="auto" w:fill="FFFFFF"/>
          <w:lang w:eastAsia="pl-PL"/>
        </w:rPr>
        <w:drawing>
          <wp:anchor distT="0" distB="0" distL="114300" distR="114300" simplePos="0" relativeHeight="252313600" behindDoc="1" locked="0" layoutInCell="1" allowOverlap="1" wp14:anchorId="020B9E3F" wp14:editId="5EB11306">
            <wp:simplePos x="0" y="0"/>
            <wp:positionH relativeFrom="column">
              <wp:posOffset>258956</wp:posOffset>
            </wp:positionH>
            <wp:positionV relativeFrom="paragraph">
              <wp:posOffset>142875</wp:posOffset>
            </wp:positionV>
            <wp:extent cx="5699760" cy="1778635"/>
            <wp:effectExtent l="0" t="0" r="0" b="0"/>
            <wp:wrapNone/>
            <wp:docPr id="1848271525" name="Obraz 184827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1">
                      <a:extLst>
                        <a:ext uri="{28A0092B-C50C-407E-A947-70E740481C1C}">
                          <a14:useLocalDpi xmlns:a14="http://schemas.microsoft.com/office/drawing/2010/main" val="0"/>
                        </a:ext>
                      </a:extLst>
                    </a:blip>
                    <a:srcRect t="7177" b="7254"/>
                    <a:stretch/>
                  </pic:blipFill>
                  <pic:spPr bwMode="auto">
                    <a:xfrm>
                      <a:off x="0" y="0"/>
                      <a:ext cx="5699760" cy="1778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DA4B44" w14:textId="194D48E1" w:rsidR="00C238B5" w:rsidRDefault="001A6614" w:rsidP="00E04F3E">
      <w:pPr>
        <w:tabs>
          <w:tab w:val="left" w:pos="567"/>
        </w:tabs>
        <w:spacing w:after="0" w:line="240" w:lineRule="auto"/>
        <w:jc w:val="both"/>
        <w:rPr>
          <w:rFonts w:cstheme="minorHAnsi"/>
          <w:color w:val="000000"/>
          <w:sz w:val="24"/>
          <w:szCs w:val="24"/>
          <w:shd w:val="clear" w:color="auto" w:fill="FFFFFF"/>
        </w:rPr>
      </w:pPr>
      <w:r w:rsidRPr="00572CD9">
        <w:rPr>
          <w:rFonts w:ascii="Times New Roman" w:hAnsi="Times New Roman" w:cs="Times New Roman"/>
          <w:color w:val="000000"/>
          <w:sz w:val="24"/>
          <w:szCs w:val="24"/>
          <w:shd w:val="clear" w:color="auto" w:fill="FFFFFF"/>
        </w:rPr>
        <w:tab/>
        <w:t>Powyżej wspomniane informacje są informacjami prostymi, nieprzetworzonymi, którymi Urząd z pewnością dysponuje w dniu składania niniejszego wniosku.</w:t>
      </w:r>
      <w:bookmarkStart w:id="38" w:name="_Hlk169206357"/>
    </w:p>
    <w:p w14:paraId="4152C493" w14:textId="77777777" w:rsidR="00C238B5" w:rsidRDefault="00C238B5" w:rsidP="004C4B7E">
      <w:pPr>
        <w:rPr>
          <w:rFonts w:cstheme="minorHAnsi"/>
          <w:color w:val="000000"/>
          <w:sz w:val="24"/>
          <w:szCs w:val="24"/>
          <w:shd w:val="clear" w:color="auto" w:fill="FFFFFF"/>
        </w:rPr>
      </w:pPr>
    </w:p>
    <w:p w14:paraId="42063DA8" w14:textId="77777777" w:rsidR="00C238B5" w:rsidRDefault="00C238B5" w:rsidP="004C4B7E">
      <w:pPr>
        <w:rPr>
          <w:rFonts w:cstheme="minorHAnsi"/>
          <w:color w:val="000000"/>
          <w:sz w:val="24"/>
          <w:szCs w:val="24"/>
          <w:shd w:val="clear" w:color="auto" w:fill="FFFFFF"/>
        </w:rPr>
      </w:pPr>
    </w:p>
    <w:p w14:paraId="3882AE1F" w14:textId="77777777" w:rsidR="00C14A70" w:rsidRPr="00C14A70" w:rsidRDefault="00C14A70" w:rsidP="00C238B5">
      <w:pPr>
        <w:jc w:val="center"/>
        <w:rPr>
          <w:rFonts w:cstheme="minorHAnsi"/>
          <w:color w:val="000000"/>
          <w:sz w:val="2"/>
          <w:szCs w:val="2"/>
          <w:shd w:val="clear" w:color="auto" w:fill="FFFFFF"/>
        </w:rPr>
      </w:pPr>
    </w:p>
    <w:p w14:paraId="02CBF51B" w14:textId="77777777" w:rsidR="00E04F3E" w:rsidRDefault="00E04F3E" w:rsidP="00C238B5">
      <w:pPr>
        <w:jc w:val="center"/>
        <w:rPr>
          <w:rFonts w:cstheme="minorHAnsi"/>
          <w:color w:val="000000"/>
          <w:sz w:val="24"/>
          <w:szCs w:val="24"/>
          <w:shd w:val="clear" w:color="auto" w:fill="FFFFFF"/>
        </w:rPr>
      </w:pPr>
    </w:p>
    <w:p w14:paraId="45DAA9D1" w14:textId="44F1941D" w:rsidR="00C238B5" w:rsidRDefault="00C238B5" w:rsidP="00E04F3E">
      <w:pPr>
        <w:spacing w:after="0"/>
        <w:jc w:val="center"/>
        <w:rPr>
          <w:b/>
          <w:bCs/>
          <w:sz w:val="24"/>
          <w:szCs w:val="24"/>
        </w:rPr>
      </w:pPr>
      <w:r>
        <w:rPr>
          <w:rFonts w:cstheme="minorHAnsi"/>
          <w:color w:val="000000"/>
          <w:sz w:val="24"/>
          <w:szCs w:val="24"/>
          <w:shd w:val="clear" w:color="auto" w:fill="FFFFFF"/>
        </w:rPr>
        <w:t>***</w:t>
      </w:r>
    </w:p>
    <w:p w14:paraId="3E507FC8" w14:textId="34ADFB76" w:rsidR="00080A49" w:rsidRPr="004C4B7E" w:rsidRDefault="00080A49" w:rsidP="00C238B5">
      <w:pPr>
        <w:spacing w:after="0"/>
        <w:rPr>
          <w:b/>
          <w:bCs/>
          <w:sz w:val="24"/>
          <w:szCs w:val="24"/>
        </w:rPr>
      </w:pPr>
      <w:r w:rsidRPr="004C4B7E">
        <w:rPr>
          <w:b/>
          <w:bCs/>
          <w:sz w:val="24"/>
          <w:szCs w:val="24"/>
        </w:rPr>
        <w:t>Uwaga Redakcji:</w:t>
      </w:r>
    </w:p>
    <w:p w14:paraId="5A453BB9" w14:textId="6E7EF2B9" w:rsidR="00874B83" w:rsidRDefault="00874B83" w:rsidP="00C238B5">
      <w:pPr>
        <w:shd w:val="clear" w:color="auto" w:fill="FFFFFF"/>
        <w:spacing w:after="0" w:line="240" w:lineRule="auto"/>
        <w:jc w:val="both"/>
        <w:rPr>
          <w:sz w:val="24"/>
          <w:szCs w:val="24"/>
        </w:rPr>
      </w:pPr>
      <w:r w:rsidRPr="00874B83">
        <w:rPr>
          <w:sz w:val="24"/>
          <w:szCs w:val="24"/>
        </w:rPr>
        <w:t xml:space="preserve">Na szczęście </w:t>
      </w:r>
      <w:r w:rsidRPr="004C3C6C">
        <w:rPr>
          <w:b/>
          <w:bCs/>
          <w:sz w:val="24"/>
          <w:szCs w:val="24"/>
        </w:rPr>
        <w:t>przedstawiony</w:t>
      </w:r>
      <w:r w:rsidRPr="00874B83">
        <w:rPr>
          <w:sz w:val="24"/>
          <w:szCs w:val="24"/>
        </w:rPr>
        <w:t xml:space="preserve"> wyżej </w:t>
      </w:r>
      <w:r w:rsidR="00BC5468" w:rsidRPr="004C3C6C">
        <w:rPr>
          <w:b/>
          <w:bCs/>
          <w:sz w:val="24"/>
          <w:szCs w:val="24"/>
        </w:rPr>
        <w:t>LIST</w:t>
      </w:r>
      <w:r w:rsidR="00BC5468" w:rsidRPr="00874B83">
        <w:rPr>
          <w:sz w:val="24"/>
          <w:szCs w:val="24"/>
        </w:rPr>
        <w:t xml:space="preserve"> </w:t>
      </w:r>
      <w:r w:rsidR="00BC5468">
        <w:rPr>
          <w:sz w:val="24"/>
          <w:szCs w:val="24"/>
        </w:rPr>
        <w:t>OTWART</w:t>
      </w:r>
      <w:r w:rsidR="00D86D1D">
        <w:rPr>
          <w:sz w:val="24"/>
          <w:szCs w:val="24"/>
        </w:rPr>
        <w:t>Y</w:t>
      </w:r>
      <w:r w:rsidR="00BC5468">
        <w:rPr>
          <w:sz w:val="24"/>
          <w:szCs w:val="24"/>
        </w:rPr>
        <w:t xml:space="preserve"> </w:t>
      </w:r>
      <w:r w:rsidRPr="004C3C6C">
        <w:rPr>
          <w:b/>
          <w:bCs/>
          <w:sz w:val="24"/>
          <w:szCs w:val="24"/>
        </w:rPr>
        <w:t>ma</w:t>
      </w:r>
      <w:r w:rsidRPr="00874B83">
        <w:rPr>
          <w:sz w:val="24"/>
          <w:szCs w:val="24"/>
        </w:rPr>
        <w:t xml:space="preserve"> wy</w:t>
      </w:r>
      <w:r>
        <w:rPr>
          <w:sz w:val="24"/>
          <w:szCs w:val="24"/>
        </w:rPr>
        <w:t>ł</w:t>
      </w:r>
      <w:r w:rsidRPr="00874B83">
        <w:rPr>
          <w:sz w:val="24"/>
          <w:szCs w:val="24"/>
        </w:rPr>
        <w:t xml:space="preserve">ącznie </w:t>
      </w:r>
      <w:r w:rsidRPr="004C3C6C">
        <w:rPr>
          <w:b/>
          <w:bCs/>
          <w:sz w:val="24"/>
          <w:szCs w:val="24"/>
        </w:rPr>
        <w:t>walor historyczny</w:t>
      </w:r>
      <w:r w:rsidR="00D86D1D">
        <w:rPr>
          <w:sz w:val="24"/>
          <w:szCs w:val="24"/>
        </w:rPr>
        <w:t xml:space="preserve">, gdyż </w:t>
      </w:r>
      <w:r w:rsidR="00BC5468" w:rsidRPr="00C238B5">
        <w:rPr>
          <w:b/>
          <w:bCs/>
          <w:sz w:val="24"/>
          <w:szCs w:val="24"/>
        </w:rPr>
        <w:t>prace nad żenująco słabym</w:t>
      </w:r>
      <w:r w:rsidR="00CF68CE">
        <w:rPr>
          <w:sz w:val="24"/>
          <w:szCs w:val="24"/>
        </w:rPr>
        <w:t xml:space="preserve"> </w:t>
      </w:r>
      <w:r w:rsidR="00BC5468" w:rsidRPr="00C238B5">
        <w:rPr>
          <w:b/>
          <w:bCs/>
          <w:sz w:val="24"/>
          <w:szCs w:val="24"/>
        </w:rPr>
        <w:t>projektem</w:t>
      </w:r>
      <w:r w:rsidR="00BC5468">
        <w:rPr>
          <w:sz w:val="24"/>
          <w:szCs w:val="24"/>
        </w:rPr>
        <w:t xml:space="preserve"> ustawy Prawo własności przemysłowej UD263 </w:t>
      </w:r>
      <w:r w:rsidR="00BC5468" w:rsidRPr="00C238B5">
        <w:rPr>
          <w:b/>
          <w:bCs/>
          <w:sz w:val="24"/>
          <w:szCs w:val="24"/>
        </w:rPr>
        <w:t>zostały zakończone</w:t>
      </w:r>
      <w:r w:rsidR="00BC5468">
        <w:rPr>
          <w:sz w:val="24"/>
          <w:szCs w:val="24"/>
        </w:rPr>
        <w:t>.</w:t>
      </w:r>
    </w:p>
    <w:p w14:paraId="71E37511" w14:textId="77777777" w:rsidR="00C238B5" w:rsidRPr="00C566AC" w:rsidRDefault="00C238B5" w:rsidP="00C238B5">
      <w:pPr>
        <w:shd w:val="clear" w:color="auto" w:fill="FFFFFF"/>
        <w:spacing w:after="0" w:line="240" w:lineRule="auto"/>
        <w:jc w:val="both"/>
        <w:rPr>
          <w:b/>
          <w:bCs/>
          <w:kern w:val="0"/>
          <w:sz w:val="10"/>
          <w:szCs w:val="10"/>
        </w:rPr>
      </w:pPr>
    </w:p>
    <w:p w14:paraId="691865B0" w14:textId="72D406A9" w:rsidR="00C238B5" w:rsidRPr="0017071E" w:rsidRDefault="00080A49" w:rsidP="00C238B5">
      <w:pPr>
        <w:shd w:val="clear" w:color="auto" w:fill="FFFFFF"/>
        <w:spacing w:after="0" w:line="240" w:lineRule="auto"/>
        <w:jc w:val="both"/>
        <w:rPr>
          <w:b/>
          <w:bCs/>
          <w:color w:val="2E74B5" w:themeColor="accent5" w:themeShade="BF"/>
          <w:kern w:val="0"/>
          <w:sz w:val="24"/>
          <w:szCs w:val="24"/>
          <w:lang w:val="en-US"/>
        </w:rPr>
      </w:pPr>
      <w:r w:rsidRPr="0017071E">
        <w:rPr>
          <w:b/>
          <w:bCs/>
          <w:color w:val="2E74B5" w:themeColor="accent5" w:themeShade="BF"/>
          <w:kern w:val="0"/>
          <w:sz w:val="24"/>
          <w:szCs w:val="24"/>
          <w:lang w:val="en-US"/>
        </w:rPr>
        <w:t xml:space="preserve">Editor's </w:t>
      </w:r>
      <w:r w:rsidR="00E04F3E" w:rsidRPr="0017071E">
        <w:rPr>
          <w:b/>
          <w:bCs/>
          <w:color w:val="2E74B5" w:themeColor="accent5" w:themeShade="BF"/>
          <w:kern w:val="0"/>
          <w:sz w:val="24"/>
          <w:szCs w:val="24"/>
          <w:lang w:val="en-US"/>
        </w:rPr>
        <w:t>N</w:t>
      </w:r>
      <w:r w:rsidRPr="0017071E">
        <w:rPr>
          <w:b/>
          <w:bCs/>
          <w:color w:val="2E74B5" w:themeColor="accent5" w:themeShade="BF"/>
          <w:kern w:val="0"/>
          <w:sz w:val="24"/>
          <w:szCs w:val="24"/>
          <w:lang w:val="en-US"/>
        </w:rPr>
        <w:t>ote:</w:t>
      </w:r>
      <w:r w:rsidR="00C14A70" w:rsidRPr="0017071E">
        <w:rPr>
          <w:b/>
          <w:bCs/>
          <w:color w:val="2E74B5" w:themeColor="accent5" w:themeShade="BF"/>
          <w:kern w:val="0"/>
          <w:sz w:val="24"/>
          <w:szCs w:val="24"/>
          <w:lang w:val="en-US"/>
        </w:rPr>
        <w:t xml:space="preserve"> </w:t>
      </w:r>
    </w:p>
    <w:p w14:paraId="1590D472" w14:textId="6728C7DB" w:rsidR="00C238B5" w:rsidRPr="0017071E" w:rsidRDefault="00C238B5" w:rsidP="00C238B5">
      <w:pPr>
        <w:shd w:val="clear" w:color="auto" w:fill="FFFFFF"/>
        <w:spacing w:after="0" w:line="240" w:lineRule="auto"/>
        <w:jc w:val="both"/>
        <w:rPr>
          <w:color w:val="2E74B5" w:themeColor="accent5" w:themeShade="BF"/>
          <w:kern w:val="0"/>
          <w:sz w:val="24"/>
          <w:szCs w:val="24"/>
          <w:lang w:val="en-US"/>
        </w:rPr>
      </w:pPr>
      <w:r w:rsidRPr="0017071E">
        <w:rPr>
          <w:color w:val="2E74B5" w:themeColor="accent5" w:themeShade="BF"/>
          <w:kern w:val="0"/>
          <w:sz w:val="24"/>
          <w:szCs w:val="24"/>
          <w:lang w:val="en-US"/>
        </w:rPr>
        <w:t xml:space="preserve">Fortunately, the OPEN LETTER </w:t>
      </w:r>
      <w:r w:rsidRPr="0017071E">
        <w:rPr>
          <w:b/>
          <w:bCs/>
          <w:color w:val="2E74B5" w:themeColor="accent5" w:themeShade="BF"/>
          <w:kern w:val="0"/>
          <w:sz w:val="24"/>
          <w:szCs w:val="24"/>
          <w:lang w:val="en-US"/>
        </w:rPr>
        <w:t>presented</w:t>
      </w:r>
      <w:r w:rsidRPr="0017071E">
        <w:rPr>
          <w:color w:val="2E74B5" w:themeColor="accent5" w:themeShade="BF"/>
          <w:kern w:val="0"/>
          <w:sz w:val="24"/>
          <w:szCs w:val="24"/>
          <w:lang w:val="en-US"/>
        </w:rPr>
        <w:t xml:space="preserve"> above </w:t>
      </w:r>
      <w:r w:rsidRPr="0017071E">
        <w:rPr>
          <w:b/>
          <w:bCs/>
          <w:color w:val="2E74B5" w:themeColor="accent5" w:themeShade="BF"/>
          <w:kern w:val="0"/>
          <w:sz w:val="24"/>
          <w:szCs w:val="24"/>
          <w:lang w:val="en-US"/>
        </w:rPr>
        <w:t>has</w:t>
      </w:r>
      <w:r w:rsidRPr="0017071E">
        <w:rPr>
          <w:color w:val="2E74B5" w:themeColor="accent5" w:themeShade="BF"/>
          <w:kern w:val="0"/>
          <w:sz w:val="24"/>
          <w:szCs w:val="24"/>
          <w:lang w:val="en-US"/>
        </w:rPr>
        <w:t xml:space="preserve"> only </w:t>
      </w:r>
      <w:r w:rsidRPr="0017071E">
        <w:rPr>
          <w:b/>
          <w:bCs/>
          <w:color w:val="2E74B5" w:themeColor="accent5" w:themeShade="BF"/>
          <w:kern w:val="0"/>
          <w:sz w:val="24"/>
          <w:szCs w:val="24"/>
          <w:lang w:val="en-US"/>
        </w:rPr>
        <w:t>historical value</w:t>
      </w:r>
      <w:r w:rsidR="00D86D1D" w:rsidRPr="0017071E">
        <w:rPr>
          <w:color w:val="2E74B5" w:themeColor="accent5" w:themeShade="BF"/>
          <w:kern w:val="0"/>
          <w:sz w:val="24"/>
          <w:szCs w:val="24"/>
          <w:lang w:val="en-US"/>
        </w:rPr>
        <w:t xml:space="preserve">, as </w:t>
      </w:r>
      <w:r w:rsidRPr="0017071E">
        <w:rPr>
          <w:b/>
          <w:bCs/>
          <w:color w:val="2E74B5" w:themeColor="accent5" w:themeShade="BF"/>
          <w:kern w:val="0"/>
          <w:sz w:val="24"/>
          <w:szCs w:val="24"/>
          <w:lang w:val="en-US"/>
        </w:rPr>
        <w:t>work on the embarrassingly weak</w:t>
      </w:r>
      <w:r w:rsidRPr="0017071E">
        <w:rPr>
          <w:color w:val="2E74B5" w:themeColor="accent5" w:themeShade="BF"/>
          <w:kern w:val="0"/>
          <w:sz w:val="24"/>
          <w:szCs w:val="24"/>
          <w:lang w:val="en-US"/>
        </w:rPr>
        <w:t xml:space="preserve"> </w:t>
      </w:r>
      <w:r w:rsidRPr="0017071E">
        <w:rPr>
          <w:b/>
          <w:bCs/>
          <w:color w:val="2E74B5" w:themeColor="accent5" w:themeShade="BF"/>
          <w:kern w:val="0"/>
          <w:sz w:val="24"/>
          <w:szCs w:val="24"/>
          <w:lang w:val="en-US"/>
        </w:rPr>
        <w:t>draft</w:t>
      </w:r>
      <w:r w:rsidRPr="0017071E">
        <w:rPr>
          <w:color w:val="2E74B5" w:themeColor="accent5" w:themeShade="BF"/>
          <w:kern w:val="0"/>
          <w:sz w:val="24"/>
          <w:szCs w:val="24"/>
          <w:lang w:val="en-US"/>
        </w:rPr>
        <w:t xml:space="preserve"> of the Industrial Property Law UD263 </w:t>
      </w:r>
      <w:r w:rsidRPr="0017071E">
        <w:rPr>
          <w:b/>
          <w:bCs/>
          <w:color w:val="2E74B5" w:themeColor="accent5" w:themeShade="BF"/>
          <w:kern w:val="0"/>
          <w:sz w:val="24"/>
          <w:szCs w:val="24"/>
          <w:lang w:val="en-US"/>
        </w:rPr>
        <w:t>has been completed</w:t>
      </w:r>
      <w:r w:rsidRPr="0017071E">
        <w:rPr>
          <w:color w:val="2E74B5" w:themeColor="accent5" w:themeShade="BF"/>
          <w:kern w:val="0"/>
          <w:sz w:val="24"/>
          <w:szCs w:val="24"/>
          <w:lang w:val="en-US"/>
        </w:rPr>
        <w:t>.</w:t>
      </w:r>
    </w:p>
    <w:p w14:paraId="321B0358" w14:textId="77777777" w:rsidR="00C14A70" w:rsidRPr="008B5A97" w:rsidRDefault="00C14A70" w:rsidP="00C238B5">
      <w:pPr>
        <w:shd w:val="clear" w:color="auto" w:fill="FFFFFF"/>
        <w:spacing w:after="0" w:line="240" w:lineRule="auto"/>
        <w:jc w:val="both"/>
        <w:rPr>
          <w:b/>
          <w:bCs/>
          <w:sz w:val="10"/>
          <w:szCs w:val="10"/>
          <w:lang w:val="en-US"/>
        </w:rPr>
      </w:pPr>
    </w:p>
    <w:p w14:paraId="1BA83FFC" w14:textId="77777777" w:rsidR="00E04F3E" w:rsidRPr="00FA6806" w:rsidRDefault="00E04F3E" w:rsidP="00E04F3E">
      <w:pPr>
        <w:spacing w:after="0" w:line="240" w:lineRule="auto"/>
        <w:rPr>
          <w:sz w:val="24"/>
          <w:szCs w:val="24"/>
        </w:rPr>
      </w:pPr>
      <w:r>
        <w:rPr>
          <w:b/>
          <w:bCs/>
          <w:kern w:val="0"/>
          <w:sz w:val="24"/>
          <w:szCs w:val="24"/>
        </w:rPr>
        <w:t>P</w:t>
      </w:r>
      <w:r w:rsidRPr="00BB6DF4">
        <w:rPr>
          <w:b/>
          <w:bCs/>
          <w:kern w:val="0"/>
          <w:sz w:val="24"/>
          <w:szCs w:val="24"/>
        </w:rPr>
        <w:t>ojęcia kluczowe</w:t>
      </w:r>
      <w:r w:rsidRPr="00FA6806">
        <w:rPr>
          <w:sz w:val="24"/>
          <w:szCs w:val="24"/>
        </w:rPr>
        <w:t xml:space="preserve">: LIST OTWARTY, PRAWO WŁASNOŚCI PRZEMYSŁOWEJ, PROJEKT UD263, </w:t>
      </w:r>
    </w:p>
    <w:p w14:paraId="6BFC4392" w14:textId="761C30C0" w:rsidR="00E04F3E" w:rsidRPr="00C566AC" w:rsidRDefault="00E04F3E" w:rsidP="00E04F3E">
      <w:pPr>
        <w:spacing w:after="0" w:line="240" w:lineRule="auto"/>
        <w:rPr>
          <w:b/>
          <w:bCs/>
          <w:sz w:val="10"/>
          <w:szCs w:val="10"/>
        </w:rPr>
      </w:pPr>
    </w:p>
    <w:p w14:paraId="4FB13A61" w14:textId="32522422" w:rsidR="00C14A70" w:rsidRPr="00017FFD" w:rsidRDefault="00E04F3E" w:rsidP="00E04F3E">
      <w:pPr>
        <w:spacing w:after="0" w:line="240" w:lineRule="auto"/>
        <w:rPr>
          <w:color w:val="2E74B5" w:themeColor="accent5" w:themeShade="BF"/>
          <w:sz w:val="24"/>
          <w:szCs w:val="24"/>
        </w:rPr>
      </w:pPr>
      <w:r w:rsidRPr="00A65523">
        <w:rPr>
          <w:b/>
          <w:bCs/>
          <w:sz w:val="24"/>
          <w:szCs w:val="24"/>
        </w:rPr>
        <w:t>Miejsce publikacji:</w:t>
      </w:r>
      <w:r w:rsidRPr="00EB0888">
        <w:rPr>
          <w:color w:val="2E74B5" w:themeColor="accent5" w:themeShade="BF"/>
          <w:sz w:val="24"/>
          <w:szCs w:val="24"/>
        </w:rPr>
        <w:t xml:space="preserve"> </w:t>
      </w:r>
      <w:hyperlink r:id="rId52" w:history="1">
        <w:r w:rsidRPr="0017071E">
          <w:rPr>
            <w:rStyle w:val="Hipercze"/>
            <w:color w:val="2E74B5" w:themeColor="accent5" w:themeShade="BF"/>
            <w:sz w:val="24"/>
            <w:szCs w:val="24"/>
          </w:rPr>
          <w:t>https://stowi.pl/list-otwarty-pytanie-czy-up-rp-nie-angazuje-sie-juz-mocno-w-forsowanie-slabego-projektu-ud-263/</w:t>
        </w:r>
      </w:hyperlink>
      <w:r w:rsidRPr="0017071E">
        <w:rPr>
          <w:color w:val="2E74B5" w:themeColor="accent5" w:themeShade="BF"/>
          <w:sz w:val="24"/>
          <w:szCs w:val="24"/>
        </w:rPr>
        <w:t xml:space="preserve">   </w:t>
      </w:r>
      <w:r w:rsidRPr="0017071E">
        <w:rPr>
          <w:color w:val="2E74B5" w:themeColor="accent5" w:themeShade="BF"/>
          <w:sz w:val="24"/>
          <w:szCs w:val="24"/>
        </w:rPr>
        <w:br/>
      </w:r>
      <w:hyperlink r:id="rId53" w:history="1">
        <w:r w:rsidR="00680CC3" w:rsidRPr="0017071E">
          <w:rPr>
            <w:rStyle w:val="Hipercze"/>
            <w:color w:val="2E74B5" w:themeColor="accent5" w:themeShade="BF"/>
            <w:sz w:val="24"/>
            <w:szCs w:val="24"/>
          </w:rPr>
          <w:t>https://stowi.pl/list-otwarty-pytanie-czy-up-rp-nie-angazuje-sie-juz-mocno-w-forsowanie-slabego-projektu-ud-263/</w:t>
        </w:r>
      </w:hyperlink>
      <w:r w:rsidR="00680CC3" w:rsidRPr="0017071E">
        <w:rPr>
          <w:color w:val="2E74B5" w:themeColor="accent5" w:themeShade="BF"/>
          <w:sz w:val="24"/>
          <w:szCs w:val="24"/>
        </w:rPr>
        <w:t xml:space="preserve"> </w:t>
      </w:r>
    </w:p>
    <w:bookmarkEnd w:id="38"/>
    <w:p w14:paraId="17CDDD42" w14:textId="6B2EF52C" w:rsidR="00A95BF0" w:rsidRPr="00572CD9" w:rsidRDefault="00E76D44" w:rsidP="00133268">
      <w:pPr>
        <w:spacing w:after="0"/>
        <w:ind w:left="3261"/>
        <w:rPr>
          <w:rStyle w:val="Nagwek2Znak"/>
          <w:b w:val="0"/>
          <w:bCs w:val="0"/>
        </w:rPr>
      </w:pPr>
      <w:r w:rsidRPr="00680CC3">
        <w:rPr>
          <w:rStyle w:val="Nagwek2Znak"/>
          <w:sz w:val="36"/>
          <w:szCs w:val="36"/>
        </w:rPr>
        <w:lastRenderedPageBreak/>
        <w:br/>
      </w:r>
      <w:r w:rsidR="00133268" w:rsidRPr="00572CD9">
        <w:rPr>
          <w:rFonts w:cstheme="minorHAnsi"/>
          <w:b/>
          <w:bCs/>
          <w:noProof/>
          <w:color w:val="C00000"/>
          <w:sz w:val="24"/>
          <w:szCs w:val="24"/>
          <w:lang w:eastAsia="pl-PL"/>
        </w:rPr>
        <mc:AlternateContent>
          <mc:Choice Requires="wps">
            <w:drawing>
              <wp:anchor distT="0" distB="0" distL="114300" distR="114300" simplePos="0" relativeHeight="251809792" behindDoc="0" locked="0" layoutInCell="1" allowOverlap="1" wp14:anchorId="395DBD5E" wp14:editId="720BEDE8">
                <wp:simplePos x="0" y="0"/>
                <wp:positionH relativeFrom="margin">
                  <wp:align>left</wp:align>
                </wp:positionH>
                <wp:positionV relativeFrom="paragraph">
                  <wp:posOffset>-397510</wp:posOffset>
                </wp:positionV>
                <wp:extent cx="498763" cy="391886"/>
                <wp:effectExtent l="0" t="0" r="0" b="8255"/>
                <wp:wrapNone/>
                <wp:docPr id="1249170696" name="Pole tekstowe 1"/>
                <wp:cNvGraphicFramePr/>
                <a:graphic xmlns:a="http://schemas.openxmlformats.org/drawingml/2006/main">
                  <a:graphicData uri="http://schemas.microsoft.com/office/word/2010/wordprocessingShape">
                    <wps:wsp>
                      <wps:cNvSpPr txBox="1"/>
                      <wps:spPr>
                        <a:xfrm>
                          <a:off x="0" y="0"/>
                          <a:ext cx="498763" cy="391886"/>
                        </a:xfrm>
                        <a:prstGeom prst="rect">
                          <a:avLst/>
                        </a:prstGeom>
                        <a:solidFill>
                          <a:schemeClr val="lt1"/>
                        </a:solidFill>
                        <a:ln w="6350">
                          <a:noFill/>
                        </a:ln>
                      </wps:spPr>
                      <wps:txbx>
                        <w:txbxContent>
                          <w:p w14:paraId="0C2D00F4" w14:textId="6289C544" w:rsidR="00541DD6" w:rsidRDefault="00A17C3C" w:rsidP="005A27C0">
                            <w:pPr>
                              <w:pStyle w:val="NumeracjaRozdzial"/>
                            </w:pPr>
                            <w:r>
                              <w:t>3</w:t>
                            </w:r>
                            <w:r w:rsidR="0017071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DBD5E" id="_x0000_s1031" type="#_x0000_t202" style="position:absolute;left:0;text-align:left;margin-left:0;margin-top:-31.3pt;width:39.25pt;height:30.85pt;z-index:25180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" fillcolor="white [3201]" stroked="f" strokeweight=".5pt">
                <v:textbox>
                  <w:txbxContent>
                    <w:p w14:paraId="0C2D00F4" w14:textId="6289C544" w:rsidR="00541DD6" w:rsidRDefault="00A17C3C" w:rsidP="005A27C0">
                      <w:pPr>
                        <w:pStyle w:val="NumeracjaRozdzial"/>
                      </w:pPr>
                      <w:r>
                        <w:t>3</w:t>
                      </w:r>
                      <w:r w:rsidR="0017071E">
                        <w:t>.</w:t>
                      </w:r>
                    </w:p>
                  </w:txbxContent>
                </v:textbox>
                <w10:wrap anchorx="margin"/>
              </v:shape>
            </w:pict>
          </mc:Fallback>
        </mc:AlternateContent>
      </w:r>
      <w:r w:rsidR="00133268" w:rsidRPr="00572CD9">
        <w:rPr>
          <w:rFonts w:cstheme="minorHAnsi"/>
          <w:b/>
          <w:bCs/>
          <w:noProof/>
          <w:sz w:val="24"/>
          <w:szCs w:val="24"/>
          <w:lang w:eastAsia="pl-PL"/>
        </w:rPr>
        <w:drawing>
          <wp:anchor distT="0" distB="0" distL="114300" distR="114300" simplePos="0" relativeHeight="251810816" behindDoc="0" locked="0" layoutInCell="1" allowOverlap="1" wp14:anchorId="4E2392DA" wp14:editId="19868AC3">
            <wp:simplePos x="0" y="0"/>
            <wp:positionH relativeFrom="margin">
              <wp:align>left</wp:align>
            </wp:positionH>
            <wp:positionV relativeFrom="paragraph">
              <wp:posOffset>0</wp:posOffset>
            </wp:positionV>
            <wp:extent cx="1980000" cy="1080000"/>
            <wp:effectExtent l="0" t="0" r="1270" b="6350"/>
            <wp:wrapNone/>
            <wp:docPr id="615117639" name="Obraz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9" w:name="_Toc170117973"/>
      <w:r w:rsidR="00A95BF0" w:rsidRPr="00572CD9">
        <w:rPr>
          <w:rStyle w:val="Nagwek2Znak"/>
        </w:rPr>
        <w:t xml:space="preserve">LIST OTWARTY </w:t>
      </w:r>
      <w:r w:rsidR="00572CD9" w:rsidRPr="00572CD9">
        <w:rPr>
          <w:rStyle w:val="Nagwek2Znak"/>
        </w:rPr>
        <w:t>-</w:t>
      </w:r>
      <w:r w:rsidR="00A95BF0" w:rsidRPr="00572CD9">
        <w:rPr>
          <w:rStyle w:val="Nagwek2Znak"/>
        </w:rPr>
        <w:t xml:space="preserve"> apel o potwierdzenie zakończenia prac nad projektem ustawy UD-263</w:t>
      </w:r>
      <w:bookmarkEnd w:id="39"/>
    </w:p>
    <w:p w14:paraId="5375E90D" w14:textId="6CBE7A0E" w:rsidR="00A95BF0" w:rsidRPr="00EC4F25" w:rsidRDefault="00A95BF0" w:rsidP="00977386">
      <w:pPr>
        <w:spacing w:after="0"/>
        <w:jc w:val="center"/>
        <w:rPr>
          <w:sz w:val="20"/>
          <w:szCs w:val="20"/>
        </w:rPr>
      </w:pPr>
    </w:p>
    <w:p w14:paraId="7890C819" w14:textId="0B0E59D6" w:rsidR="00977386" w:rsidRDefault="00977386" w:rsidP="00977386">
      <w:pPr>
        <w:spacing w:after="0"/>
        <w:jc w:val="center"/>
        <w:rPr>
          <w:sz w:val="20"/>
          <w:szCs w:val="20"/>
        </w:rPr>
      </w:pPr>
      <w:bookmarkStart w:id="40" w:name="_Hlk169975464"/>
    </w:p>
    <w:p w14:paraId="4F6DB140" w14:textId="77777777" w:rsidR="00133268" w:rsidRPr="00C03056" w:rsidRDefault="00133268" w:rsidP="00977386">
      <w:pPr>
        <w:spacing w:after="0"/>
        <w:jc w:val="center"/>
        <w:rPr>
          <w:sz w:val="6"/>
          <w:szCs w:val="6"/>
        </w:rPr>
      </w:pPr>
    </w:p>
    <w:p w14:paraId="539F2CF3" w14:textId="77777777" w:rsidR="00C258D4" w:rsidRPr="00CC15EE" w:rsidRDefault="00C258D4" w:rsidP="00977386">
      <w:pPr>
        <w:spacing w:after="0"/>
        <w:jc w:val="center"/>
        <w:rPr>
          <w:sz w:val="2"/>
          <w:szCs w:val="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807"/>
      </w:tblGrid>
      <w:tr w:rsidR="00133268" w:rsidRPr="006A1234" w14:paraId="43965C95" w14:textId="77777777" w:rsidTr="005027DA">
        <w:tc>
          <w:tcPr>
            <w:tcW w:w="1276" w:type="dxa"/>
          </w:tcPr>
          <w:p w14:paraId="383138E7" w14:textId="77777777" w:rsidR="00133268" w:rsidRPr="00EC4F25" w:rsidRDefault="00133268" w:rsidP="005027DA">
            <w:pPr>
              <w:rPr>
                <w:rFonts w:cstheme="minorHAnsi"/>
                <w:b/>
                <w:bCs/>
                <w:noProof/>
                <w:sz w:val="18"/>
                <w:szCs w:val="18"/>
              </w:rPr>
            </w:pPr>
          </w:p>
        </w:tc>
        <w:tc>
          <w:tcPr>
            <w:tcW w:w="7807" w:type="dxa"/>
          </w:tcPr>
          <w:p w14:paraId="297EE115" w14:textId="71442D96" w:rsidR="00133268" w:rsidRDefault="00133268" w:rsidP="005027DA">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r w:rsidR="00C375B2">
              <w:rPr>
                <w:rFonts w:asciiTheme="minorHAnsi" w:hAnsiTheme="minorHAnsi" w:cstheme="minorHAnsi"/>
                <w:b/>
                <w:bCs/>
                <w:color w:val="000000"/>
                <w:sz w:val="22"/>
                <w:szCs w:val="22"/>
              </w:rPr>
              <w:t xml:space="preserve"> OBU przedstawionych niżej UWAG</w:t>
            </w:r>
            <w:r w:rsidR="00F07894">
              <w:rPr>
                <w:rFonts w:asciiTheme="minorHAnsi" w:hAnsiTheme="minorHAnsi" w:cstheme="minorHAnsi"/>
                <w:b/>
                <w:bCs/>
                <w:color w:val="000000"/>
                <w:sz w:val="22"/>
                <w:szCs w:val="22"/>
              </w:rPr>
              <w:t xml:space="preserve"> </w:t>
            </w:r>
            <w:r w:rsidR="00F07894" w:rsidRPr="00F07894">
              <w:rPr>
                <w:rFonts w:asciiTheme="minorHAnsi" w:hAnsiTheme="minorHAnsi" w:cstheme="minorHAnsi"/>
                <w:b/>
                <w:bCs/>
                <w:color w:val="000000"/>
                <w:sz w:val="22"/>
                <w:szCs w:val="22"/>
              </w:rPr>
              <w:t>Redakcji</w:t>
            </w:r>
            <w:r w:rsidRPr="006A1234">
              <w:rPr>
                <w:rFonts w:asciiTheme="minorHAnsi" w:hAnsiTheme="minorHAnsi" w:cstheme="minorHAnsi"/>
                <w:b/>
                <w:bCs/>
                <w:color w:val="000000"/>
                <w:sz w:val="22"/>
                <w:szCs w:val="22"/>
              </w:rPr>
              <w:t>:</w:t>
            </w:r>
          </w:p>
          <w:p w14:paraId="5360CC9C" w14:textId="5DE212CE" w:rsidR="001E573D" w:rsidRPr="00C03056" w:rsidRDefault="001E573D" w:rsidP="005027DA">
            <w:pPr>
              <w:rPr>
                <w:rFonts w:asciiTheme="minorHAnsi" w:hAnsiTheme="minorHAnsi" w:cstheme="minorHAnsi"/>
                <w:b/>
                <w:bCs/>
                <w:color w:val="000000"/>
                <w:sz w:val="6"/>
                <w:szCs w:val="6"/>
              </w:rPr>
            </w:pPr>
          </w:p>
        </w:tc>
      </w:tr>
      <w:tr w:rsidR="00133268" w:rsidRPr="001D7639" w14:paraId="73268372" w14:textId="77777777" w:rsidTr="005027DA">
        <w:tc>
          <w:tcPr>
            <w:tcW w:w="1276" w:type="dxa"/>
          </w:tcPr>
          <w:p w14:paraId="7A6A86C8" w14:textId="77777777" w:rsidR="00133268" w:rsidRPr="001237AA" w:rsidRDefault="00133268" w:rsidP="005027DA">
            <w:pPr>
              <w:rPr>
                <w:rFonts w:cstheme="minorHAnsi"/>
                <w:b/>
                <w:bCs/>
                <w:color w:val="000000"/>
                <w:sz w:val="6"/>
                <w:szCs w:val="6"/>
              </w:rPr>
            </w:pPr>
          </w:p>
          <w:p w14:paraId="63C1B1DF" w14:textId="77777777" w:rsidR="00133268" w:rsidRDefault="00133268" w:rsidP="005027DA">
            <w:pPr>
              <w:rPr>
                <w:rFonts w:cstheme="minorHAnsi"/>
                <w:b/>
                <w:bCs/>
                <w:color w:val="000000"/>
                <w:sz w:val="26"/>
                <w:szCs w:val="26"/>
              </w:rPr>
            </w:pPr>
            <w:r>
              <w:rPr>
                <w:noProof/>
              </w:rPr>
              <w:drawing>
                <wp:inline distT="0" distB="0" distL="0" distR="0" wp14:anchorId="5B3D39B7" wp14:editId="277BF689">
                  <wp:extent cx="662400" cy="900000"/>
                  <wp:effectExtent l="0" t="0" r="4445" b="0"/>
                  <wp:docPr id="170020722"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0722"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7807" w:type="dxa"/>
          </w:tcPr>
          <w:p w14:paraId="18D1A4BC" w14:textId="77777777" w:rsidR="00133268" w:rsidRPr="00CC15EE" w:rsidRDefault="00133268" w:rsidP="005027DA">
            <w:pPr>
              <w:rPr>
                <w:rFonts w:asciiTheme="minorHAnsi" w:hAnsiTheme="minorHAnsi" w:cstheme="minorHAnsi"/>
                <w:bCs/>
                <w:color w:val="000000"/>
                <w:sz w:val="22"/>
                <w:szCs w:val="22"/>
              </w:rPr>
            </w:pPr>
            <w:r w:rsidRPr="00CC15EE">
              <w:rPr>
                <w:rFonts w:asciiTheme="minorHAnsi" w:hAnsiTheme="minorHAnsi" w:cstheme="minorHAnsi"/>
                <w:bCs/>
                <w:color w:val="000000"/>
                <w:sz w:val="22"/>
                <w:szCs w:val="22"/>
              </w:rPr>
              <w:t>Marek BESLER</w:t>
            </w:r>
          </w:p>
          <w:p w14:paraId="11DA52E8" w14:textId="77777777" w:rsidR="00123357" w:rsidRPr="00123357" w:rsidRDefault="00123357" w:rsidP="001F6BE3">
            <w:pPr>
              <w:pStyle w:val="Akapitzlist"/>
              <w:numPr>
                <w:ilvl w:val="0"/>
                <w:numId w:val="47"/>
              </w:numPr>
              <w:ind w:left="320" w:hanging="334"/>
              <w:rPr>
                <w:rFonts w:eastAsia="Times New Roman" w:cstheme="minorHAnsi"/>
                <w:bCs/>
                <w:color w:val="000000"/>
                <w:sz w:val="24"/>
                <w:szCs w:val="24"/>
              </w:rPr>
            </w:pPr>
            <w:r w:rsidRPr="00123357">
              <w:rPr>
                <w:rFonts w:eastAsia="Times New Roman" w:cstheme="minorHAnsi"/>
                <w:bCs/>
                <w:color w:val="000000"/>
                <w:sz w:val="22"/>
                <w:szCs w:val="22"/>
              </w:rPr>
              <w:t>współorzekający w Komisji Odwoławczej przy Urzędzie Patentowym w sprawach własności przemysłowej, składom której przewodniczyli sędziowie Sądu Najwyższego, w latach 1979 -2001</w:t>
            </w:r>
          </w:p>
          <w:p w14:paraId="3DA98947" w14:textId="2DA79A61" w:rsidR="00133268" w:rsidRPr="00CC15EE" w:rsidRDefault="00133268"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rzecznik patentowy nr 1571</w:t>
            </w:r>
          </w:p>
          <w:p w14:paraId="2C043F7D" w14:textId="77777777" w:rsidR="00133268" w:rsidRPr="00CC15EE" w:rsidRDefault="00133268"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profesjonalny pełnomocnik przed EUIPO (</w:t>
            </w:r>
            <w:r w:rsidRPr="00CC15EE">
              <w:rPr>
                <w:rFonts w:eastAsia="Times New Roman" w:cstheme="minorHAnsi"/>
                <w:bCs/>
                <w:i/>
                <w:color w:val="000000"/>
                <w:sz w:val="22"/>
                <w:szCs w:val="22"/>
              </w:rPr>
              <w:t>European Union Intellectual Property Office</w:t>
            </w:r>
            <w:r w:rsidRPr="00CC15EE">
              <w:rPr>
                <w:rFonts w:eastAsia="Times New Roman" w:cstheme="minorHAnsi"/>
                <w:bCs/>
                <w:color w:val="000000"/>
                <w:sz w:val="22"/>
                <w:szCs w:val="22"/>
              </w:rPr>
              <w:t xml:space="preserve"> – Urząd Unii Europejskiej ds. Własności Intelektualnej), nr 27177</w:t>
            </w:r>
          </w:p>
          <w:p w14:paraId="3A0457F5" w14:textId="77777777" w:rsidR="00133268" w:rsidRPr="00CC15EE" w:rsidRDefault="00133268"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Europejski Rzecznik Patentowy nr 138820</w:t>
            </w:r>
          </w:p>
          <w:p w14:paraId="53AF18A9" w14:textId="77777777" w:rsidR="00133268" w:rsidRPr="00CC15EE" w:rsidRDefault="00133268"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Prezes Polskiej Izby Rzeczników Patentowych w latach 2002-2005</w:t>
            </w:r>
          </w:p>
          <w:p w14:paraId="7F51F03F" w14:textId="77777777" w:rsidR="00133268" w:rsidRPr="00CC15EE" w:rsidRDefault="00133268"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Wiceprezes Zarządu StoWI od 2023 r.</w:t>
            </w:r>
          </w:p>
          <w:p w14:paraId="057A8D76" w14:textId="48809DE7" w:rsidR="00133268" w:rsidRPr="00CC15EE" w:rsidRDefault="00133268" w:rsidP="001F6BE3">
            <w:pPr>
              <w:pStyle w:val="Akapitzlist"/>
              <w:numPr>
                <w:ilvl w:val="0"/>
                <w:numId w:val="47"/>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Redaktor naczelny Kwartalnika „THINK-TANK WSZY</w:t>
            </w:r>
            <w:r w:rsidR="00670256" w:rsidRPr="00CC15EE">
              <w:rPr>
                <w:rFonts w:eastAsia="Times New Roman" w:cstheme="minorHAnsi"/>
                <w:bCs/>
                <w:color w:val="000000"/>
                <w:sz w:val="22"/>
                <w:szCs w:val="22"/>
              </w:rPr>
              <w:t>ST</w:t>
            </w:r>
            <w:r w:rsidRPr="00CC15EE">
              <w:rPr>
                <w:rFonts w:eastAsia="Times New Roman" w:cstheme="minorHAnsi"/>
                <w:bCs/>
                <w:color w:val="000000"/>
                <w:sz w:val="22"/>
                <w:szCs w:val="22"/>
              </w:rPr>
              <w:t>KO o IP w PL” od listopada 2023 r.</w:t>
            </w:r>
          </w:p>
          <w:p w14:paraId="4991A2FC" w14:textId="77777777" w:rsidR="00133268" w:rsidRPr="00C03056" w:rsidRDefault="00133268" w:rsidP="005027DA">
            <w:pPr>
              <w:ind w:left="658"/>
              <w:rPr>
                <w:rFonts w:cstheme="minorHAnsi"/>
                <w:bCs/>
                <w:color w:val="000000"/>
                <w:sz w:val="6"/>
                <w:szCs w:val="6"/>
              </w:rPr>
            </w:pPr>
          </w:p>
        </w:tc>
      </w:tr>
      <w:tr w:rsidR="00133268" w:rsidRPr="00505C05" w14:paraId="474B17EA" w14:textId="77777777" w:rsidTr="005027DA">
        <w:tc>
          <w:tcPr>
            <w:tcW w:w="1276" w:type="dxa"/>
          </w:tcPr>
          <w:p w14:paraId="278DADD1" w14:textId="77777777" w:rsidR="00133268" w:rsidRPr="001237AA" w:rsidRDefault="00133268" w:rsidP="005027DA">
            <w:pPr>
              <w:rPr>
                <w:rFonts w:cstheme="minorHAnsi"/>
                <w:b/>
                <w:bCs/>
                <w:color w:val="000000"/>
                <w:sz w:val="6"/>
                <w:szCs w:val="6"/>
              </w:rPr>
            </w:pPr>
          </w:p>
          <w:p w14:paraId="0151F915" w14:textId="77777777" w:rsidR="00133268" w:rsidRDefault="00133268" w:rsidP="005027DA">
            <w:pPr>
              <w:rPr>
                <w:rFonts w:cstheme="minorHAnsi"/>
                <w:b/>
                <w:bCs/>
                <w:color w:val="000000"/>
                <w:sz w:val="26"/>
                <w:szCs w:val="26"/>
              </w:rPr>
            </w:pPr>
            <w:r>
              <w:rPr>
                <w:noProof/>
              </w:rPr>
              <w:drawing>
                <wp:inline distT="0" distB="0" distL="0" distR="0" wp14:anchorId="538CA4B2" wp14:editId="55973254">
                  <wp:extent cx="669600" cy="900000"/>
                  <wp:effectExtent l="0" t="0" r="0" b="0"/>
                  <wp:docPr id="1459039806" name="Obraz 13" descr="Obraz zawierający ubrania, osoba, krawat, Ubiór form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56375" name="Obraz 13" descr="Obraz zawierający ubrania, osoba, krawat, Ubiór formalny&#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600" cy="900000"/>
                          </a:xfrm>
                          <a:prstGeom prst="rect">
                            <a:avLst/>
                          </a:prstGeom>
                          <a:noFill/>
                          <a:ln>
                            <a:noFill/>
                          </a:ln>
                        </pic:spPr>
                      </pic:pic>
                    </a:graphicData>
                  </a:graphic>
                </wp:inline>
              </w:drawing>
            </w:r>
          </w:p>
        </w:tc>
        <w:tc>
          <w:tcPr>
            <w:tcW w:w="7807" w:type="dxa"/>
          </w:tcPr>
          <w:p w14:paraId="40CD390D" w14:textId="77777777" w:rsidR="00133268" w:rsidRPr="00CC15EE" w:rsidRDefault="00133268" w:rsidP="005027DA">
            <w:pPr>
              <w:rPr>
                <w:rFonts w:asciiTheme="minorHAnsi" w:hAnsiTheme="minorHAnsi" w:cstheme="minorHAnsi"/>
                <w:bCs/>
                <w:color w:val="000000"/>
                <w:sz w:val="22"/>
                <w:szCs w:val="22"/>
              </w:rPr>
            </w:pPr>
            <w:r w:rsidRPr="00CC15EE">
              <w:rPr>
                <w:rFonts w:asciiTheme="minorHAnsi" w:hAnsiTheme="minorHAnsi" w:cstheme="minorHAnsi"/>
                <w:bCs/>
                <w:color w:val="000000"/>
                <w:sz w:val="22"/>
                <w:szCs w:val="22"/>
              </w:rPr>
              <w:t>Tadeusz KACHNIC</w:t>
            </w:r>
          </w:p>
          <w:p w14:paraId="1C1277D3" w14:textId="77777777" w:rsidR="00133268" w:rsidRPr="00CC15EE" w:rsidRDefault="00133268" w:rsidP="001F6BE3">
            <w:pPr>
              <w:pStyle w:val="Akapitzlist"/>
              <w:numPr>
                <w:ilvl w:val="0"/>
                <w:numId w:val="46"/>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rzecznik patentowy</w:t>
            </w:r>
          </w:p>
          <w:p w14:paraId="0B8B9F44" w14:textId="77777777" w:rsidR="00133268" w:rsidRPr="00CC15EE" w:rsidRDefault="00133268" w:rsidP="001F6BE3">
            <w:pPr>
              <w:pStyle w:val="Akapitzlist"/>
              <w:numPr>
                <w:ilvl w:val="0"/>
                <w:numId w:val="46"/>
              </w:numPr>
              <w:ind w:left="320" w:hanging="334"/>
              <w:rPr>
                <w:rFonts w:eastAsia="Times New Roman" w:cstheme="minorHAnsi"/>
                <w:bCs/>
                <w:color w:val="000000"/>
                <w:sz w:val="22"/>
                <w:szCs w:val="22"/>
              </w:rPr>
            </w:pPr>
            <w:r w:rsidRPr="00CC15EE">
              <w:rPr>
                <w:rFonts w:eastAsia="Times New Roman" w:cstheme="minorHAnsi"/>
                <w:bCs/>
                <w:color w:val="000000"/>
                <w:sz w:val="22"/>
                <w:szCs w:val="22"/>
              </w:rPr>
              <w:t>współzałożyciel Polskiej Izby Rzeczników Patentowych</w:t>
            </w:r>
          </w:p>
          <w:p w14:paraId="06699D5E" w14:textId="77777777" w:rsidR="00133268" w:rsidRPr="00CC15EE" w:rsidRDefault="00133268" w:rsidP="001F6BE3">
            <w:pPr>
              <w:pStyle w:val="Akapitzlist"/>
              <w:numPr>
                <w:ilvl w:val="0"/>
                <w:numId w:val="46"/>
              </w:numPr>
              <w:ind w:left="320" w:hanging="334"/>
              <w:rPr>
                <w:rFonts w:eastAsia="Times New Roman" w:cstheme="minorHAnsi"/>
                <w:bCs/>
                <w:color w:val="000000"/>
                <w:sz w:val="22"/>
                <w:szCs w:val="22"/>
              </w:rPr>
            </w:pPr>
            <w:r w:rsidRPr="00CC15EE">
              <w:rPr>
                <w:rFonts w:eastAsia="Times New Roman" w:cstheme="minorHAnsi"/>
                <w:bCs/>
                <w:color w:val="000000"/>
                <w:sz w:val="22"/>
                <w:szCs w:val="22"/>
              </w:rPr>
              <w:t>uczestnik I Krajowego Zjazdu w dniu 28.08.1993 r.</w:t>
            </w:r>
          </w:p>
          <w:p w14:paraId="1CC6D254" w14:textId="77777777" w:rsidR="00133268" w:rsidRPr="00CC15EE" w:rsidRDefault="00133268" w:rsidP="001F6BE3">
            <w:pPr>
              <w:pStyle w:val="Akapitzlist"/>
              <w:numPr>
                <w:ilvl w:val="0"/>
                <w:numId w:val="46"/>
              </w:numPr>
              <w:ind w:left="320" w:hanging="334"/>
              <w:rPr>
                <w:rFonts w:eastAsia="Times New Roman" w:cstheme="minorHAnsi"/>
                <w:bCs/>
                <w:color w:val="000000"/>
                <w:sz w:val="22"/>
                <w:szCs w:val="22"/>
              </w:rPr>
            </w:pPr>
            <w:r w:rsidRPr="00CC15EE">
              <w:rPr>
                <w:rFonts w:eastAsia="Times New Roman" w:cstheme="minorHAnsi"/>
                <w:bCs/>
                <w:color w:val="000000"/>
                <w:sz w:val="22"/>
                <w:szCs w:val="22"/>
              </w:rPr>
              <w:t>Wiceprezes PIRP od 1993 r. do 05.11.2017 r.</w:t>
            </w:r>
          </w:p>
          <w:p w14:paraId="127F9651" w14:textId="77777777" w:rsidR="00133268" w:rsidRPr="00572CD9" w:rsidRDefault="00133268" w:rsidP="005027DA">
            <w:pPr>
              <w:rPr>
                <w:rFonts w:asciiTheme="minorHAnsi" w:hAnsiTheme="minorHAnsi" w:cstheme="minorHAnsi"/>
                <w:bCs/>
                <w:color w:val="000000"/>
                <w:sz w:val="10"/>
                <w:szCs w:val="10"/>
              </w:rPr>
            </w:pPr>
          </w:p>
          <w:p w14:paraId="43B664F0" w14:textId="77777777" w:rsidR="00133268" w:rsidRPr="00C03056" w:rsidRDefault="00133268" w:rsidP="005027DA">
            <w:pPr>
              <w:rPr>
                <w:rFonts w:asciiTheme="minorHAnsi" w:hAnsiTheme="minorHAnsi" w:cstheme="minorHAnsi"/>
                <w:bCs/>
                <w:color w:val="000000"/>
                <w:sz w:val="2"/>
                <w:szCs w:val="2"/>
              </w:rPr>
            </w:pPr>
          </w:p>
        </w:tc>
      </w:tr>
      <w:tr w:rsidR="00133268" w:rsidRPr="006A1234" w14:paraId="6C9E1850" w14:textId="77777777" w:rsidTr="005027DA">
        <w:tc>
          <w:tcPr>
            <w:tcW w:w="1276" w:type="dxa"/>
          </w:tcPr>
          <w:p w14:paraId="26E145D9" w14:textId="77777777" w:rsidR="00133268" w:rsidRPr="001237AA" w:rsidRDefault="00133268" w:rsidP="005027DA">
            <w:pPr>
              <w:tabs>
                <w:tab w:val="left" w:pos="2261"/>
              </w:tabs>
              <w:rPr>
                <w:rFonts w:cstheme="minorHAnsi"/>
                <w:b/>
                <w:bCs/>
                <w:color w:val="000000"/>
                <w:sz w:val="6"/>
                <w:szCs w:val="6"/>
              </w:rPr>
            </w:pPr>
          </w:p>
          <w:p w14:paraId="2B416781" w14:textId="77777777" w:rsidR="00133268" w:rsidRDefault="00133268" w:rsidP="005027DA">
            <w:pPr>
              <w:tabs>
                <w:tab w:val="left" w:pos="2261"/>
              </w:tabs>
              <w:rPr>
                <w:rFonts w:cstheme="minorHAnsi"/>
                <w:b/>
                <w:bCs/>
                <w:color w:val="000000"/>
                <w:sz w:val="26"/>
                <w:szCs w:val="26"/>
              </w:rPr>
            </w:pPr>
            <w:r>
              <w:rPr>
                <w:noProof/>
              </w:rPr>
              <w:drawing>
                <wp:inline distT="0" distB="0" distL="0" distR="0" wp14:anchorId="2472AF69" wp14:editId="456B56AE">
                  <wp:extent cx="658800" cy="900000"/>
                  <wp:effectExtent l="0" t="0" r="8255" b="0"/>
                  <wp:docPr id="2058779886"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9886"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7807" w:type="dxa"/>
          </w:tcPr>
          <w:p w14:paraId="072C9942" w14:textId="77777777" w:rsidR="00133268" w:rsidRPr="00CC15EE" w:rsidRDefault="00133268" w:rsidP="005027DA">
            <w:pPr>
              <w:rPr>
                <w:rFonts w:asciiTheme="minorHAnsi" w:hAnsiTheme="minorHAnsi" w:cstheme="minorHAnsi"/>
                <w:bCs/>
                <w:color w:val="000000"/>
                <w:sz w:val="24"/>
                <w:szCs w:val="24"/>
              </w:rPr>
            </w:pPr>
            <w:r w:rsidRPr="00CC15EE">
              <w:rPr>
                <w:rFonts w:asciiTheme="minorHAnsi" w:hAnsiTheme="minorHAnsi" w:cstheme="minorHAnsi"/>
                <w:bCs/>
                <w:color w:val="000000"/>
                <w:sz w:val="24"/>
                <w:szCs w:val="24"/>
              </w:rPr>
              <w:t>Anna KORBELA</w:t>
            </w:r>
          </w:p>
          <w:p w14:paraId="020D2434" w14:textId="56DEE623" w:rsidR="00755F82" w:rsidRDefault="00E86418" w:rsidP="001F6BE3">
            <w:pPr>
              <w:pStyle w:val="Akapitzlist"/>
              <w:numPr>
                <w:ilvl w:val="0"/>
                <w:numId w:val="45"/>
              </w:numPr>
              <w:ind w:left="320" w:hanging="334"/>
              <w:rPr>
                <w:rFonts w:eastAsia="Times New Roman" w:cstheme="minorHAnsi"/>
                <w:bCs/>
                <w:color w:val="000000"/>
                <w:sz w:val="22"/>
                <w:szCs w:val="22"/>
              </w:rPr>
            </w:pPr>
            <w:r w:rsidRPr="00755F82">
              <w:rPr>
                <w:rFonts w:eastAsia="Times New Roman" w:cstheme="minorHAnsi"/>
                <w:bCs/>
                <w:color w:val="000000"/>
                <w:sz w:val="22"/>
                <w:szCs w:val="22"/>
              </w:rPr>
              <w:t xml:space="preserve">w 1994 r. </w:t>
            </w:r>
            <w:r w:rsidR="00FE4722" w:rsidRPr="00FE4722">
              <w:rPr>
                <w:rFonts w:eastAsia="Times New Roman" w:cstheme="minorHAnsi"/>
                <w:bCs/>
                <w:color w:val="000000"/>
                <w:sz w:val="22"/>
                <w:szCs w:val="22"/>
              </w:rPr>
              <w:t xml:space="preserve">zdała </w:t>
            </w:r>
            <w:r w:rsidR="00755F82" w:rsidRPr="00755F82">
              <w:rPr>
                <w:rFonts w:eastAsia="Times New Roman" w:cstheme="minorHAnsi"/>
                <w:bCs/>
                <w:color w:val="000000"/>
                <w:sz w:val="22"/>
                <w:szCs w:val="22"/>
              </w:rPr>
              <w:t xml:space="preserve">egzamin sędziowski poprzedzony etatową aplikacją sędziowską (złożony z </w:t>
            </w:r>
            <w:r w:rsidR="00123357" w:rsidRPr="00755F82">
              <w:rPr>
                <w:rFonts w:eastAsia="Times New Roman" w:cstheme="minorHAnsi"/>
                <w:bCs/>
                <w:color w:val="000000"/>
                <w:sz w:val="22"/>
                <w:szCs w:val="22"/>
              </w:rPr>
              <w:t xml:space="preserve">dobrym </w:t>
            </w:r>
            <w:r w:rsidR="00755F82" w:rsidRPr="00755F82">
              <w:rPr>
                <w:rFonts w:eastAsia="Times New Roman" w:cstheme="minorHAnsi"/>
                <w:bCs/>
                <w:color w:val="000000"/>
                <w:sz w:val="22"/>
                <w:szCs w:val="22"/>
              </w:rPr>
              <w:t>wynikiem, umożliwiającym podjęcie kariery sędziowskiej</w:t>
            </w:r>
            <w:r w:rsidR="00D76DA8">
              <w:rPr>
                <w:rFonts w:eastAsia="Times New Roman" w:cstheme="minorHAnsi"/>
                <w:bCs/>
                <w:color w:val="000000"/>
                <w:sz w:val="22"/>
                <w:szCs w:val="22"/>
              </w:rPr>
              <w:t>)</w:t>
            </w:r>
          </w:p>
          <w:p w14:paraId="550020D6" w14:textId="5D89945A" w:rsidR="00133268" w:rsidRPr="00CC15EE" w:rsidRDefault="00133268"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rzecznik patentowy nr 3040</w:t>
            </w:r>
          </w:p>
          <w:p w14:paraId="00F8A3DD" w14:textId="77777777" w:rsidR="00133268" w:rsidRPr="00CC15EE" w:rsidRDefault="00133268"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radca prawny nr 364/96</w:t>
            </w:r>
          </w:p>
          <w:p w14:paraId="5DB2FAE6" w14:textId="60F2AC7F" w:rsidR="00133268" w:rsidRPr="00CC15EE" w:rsidRDefault="00133268"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profesjonalny pełnomocnik przed EUIPO (</w:t>
            </w:r>
            <w:r w:rsidRPr="00CC15EE">
              <w:rPr>
                <w:rFonts w:eastAsia="Times New Roman" w:cstheme="minorHAnsi"/>
                <w:bCs/>
                <w:i/>
                <w:color w:val="000000"/>
                <w:sz w:val="22"/>
                <w:szCs w:val="22"/>
              </w:rPr>
              <w:t>European Union Intellectual Property Office</w:t>
            </w:r>
            <w:r w:rsidRPr="00CC15EE">
              <w:rPr>
                <w:rFonts w:eastAsia="Times New Roman" w:cstheme="minorHAnsi"/>
                <w:bCs/>
                <w:color w:val="000000"/>
                <w:sz w:val="22"/>
                <w:szCs w:val="22"/>
              </w:rPr>
              <w:t xml:space="preserve"> </w:t>
            </w:r>
            <w:r w:rsidR="00636601" w:rsidRPr="00CC15EE">
              <w:rPr>
                <w:rFonts w:eastAsia="Times New Roman" w:cstheme="minorHAnsi"/>
                <w:bCs/>
                <w:color w:val="000000"/>
                <w:sz w:val="22"/>
                <w:szCs w:val="22"/>
              </w:rPr>
              <w:t>-</w:t>
            </w:r>
            <w:r w:rsidRPr="00CC15EE">
              <w:rPr>
                <w:rFonts w:eastAsia="Times New Roman" w:cstheme="minorHAnsi"/>
                <w:bCs/>
                <w:color w:val="000000"/>
                <w:sz w:val="22"/>
                <w:szCs w:val="22"/>
              </w:rPr>
              <w:t xml:space="preserve"> </w:t>
            </w:r>
            <w:r w:rsidR="003A208A" w:rsidRPr="00CC15EE">
              <w:rPr>
                <w:rFonts w:eastAsia="Times New Roman" w:cstheme="minorHAnsi"/>
                <w:bCs/>
                <w:color w:val="000000"/>
                <w:sz w:val="22"/>
                <w:szCs w:val="22"/>
              </w:rPr>
              <w:t>Urzędem</w:t>
            </w:r>
            <w:r w:rsidRPr="00CC15EE">
              <w:rPr>
                <w:rFonts w:eastAsia="Times New Roman" w:cstheme="minorHAnsi"/>
                <w:bCs/>
                <w:color w:val="000000"/>
                <w:sz w:val="22"/>
                <w:szCs w:val="22"/>
              </w:rPr>
              <w:t xml:space="preserve"> Unii Europejskiej ds. Własności Intelektualnej), nr 27595</w:t>
            </w:r>
          </w:p>
          <w:p w14:paraId="36502A70" w14:textId="77777777" w:rsidR="00133268" w:rsidRPr="00CC15EE" w:rsidRDefault="00133268"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Europejski Rzecznik Patentowy nr 137760</w:t>
            </w:r>
          </w:p>
          <w:p w14:paraId="3C78EAAC" w14:textId="42F798BE" w:rsidR="00133268" w:rsidRPr="00CC15EE" w:rsidRDefault="00133268" w:rsidP="001F6BE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pełnomocnik uprawniony do działania przed DPMA (</w:t>
            </w:r>
            <w:proofErr w:type="spellStart"/>
            <w:r w:rsidRPr="00CC15EE">
              <w:rPr>
                <w:rFonts w:eastAsia="Times New Roman" w:cstheme="minorHAnsi"/>
                <w:bCs/>
                <w:i/>
                <w:color w:val="000000"/>
                <w:sz w:val="22"/>
                <w:szCs w:val="22"/>
              </w:rPr>
              <w:t>Deutsches</w:t>
            </w:r>
            <w:proofErr w:type="spellEnd"/>
            <w:r w:rsidRPr="00CC15EE">
              <w:rPr>
                <w:rFonts w:eastAsia="Times New Roman" w:cstheme="minorHAnsi"/>
                <w:bCs/>
                <w:i/>
                <w:color w:val="000000"/>
                <w:sz w:val="22"/>
                <w:szCs w:val="22"/>
              </w:rPr>
              <w:t xml:space="preserve"> Patent- </w:t>
            </w:r>
            <w:proofErr w:type="spellStart"/>
            <w:r w:rsidRPr="00CC15EE">
              <w:rPr>
                <w:rFonts w:eastAsia="Times New Roman" w:cstheme="minorHAnsi"/>
                <w:bCs/>
                <w:i/>
                <w:color w:val="000000"/>
                <w:sz w:val="22"/>
                <w:szCs w:val="22"/>
              </w:rPr>
              <w:t>und</w:t>
            </w:r>
            <w:proofErr w:type="spellEnd"/>
            <w:r w:rsidRPr="00CC15EE">
              <w:rPr>
                <w:rFonts w:eastAsia="Times New Roman" w:cstheme="minorHAnsi"/>
                <w:bCs/>
                <w:i/>
                <w:color w:val="000000"/>
                <w:sz w:val="22"/>
                <w:szCs w:val="22"/>
              </w:rPr>
              <w:t xml:space="preserve"> </w:t>
            </w:r>
            <w:proofErr w:type="spellStart"/>
            <w:r w:rsidRPr="00CC15EE">
              <w:rPr>
                <w:rFonts w:eastAsia="Times New Roman" w:cstheme="minorHAnsi"/>
                <w:bCs/>
                <w:i/>
                <w:color w:val="000000"/>
                <w:sz w:val="22"/>
                <w:szCs w:val="22"/>
              </w:rPr>
              <w:t>Markenamt</w:t>
            </w:r>
            <w:proofErr w:type="spellEnd"/>
            <w:r w:rsidRPr="00CC15EE">
              <w:rPr>
                <w:rFonts w:eastAsia="Times New Roman" w:cstheme="minorHAnsi"/>
                <w:bCs/>
                <w:i/>
                <w:color w:val="000000"/>
                <w:sz w:val="22"/>
                <w:szCs w:val="22"/>
              </w:rPr>
              <w:t xml:space="preserve"> </w:t>
            </w:r>
            <w:r w:rsidR="00636601" w:rsidRPr="00CC15EE">
              <w:rPr>
                <w:rFonts w:eastAsia="Times New Roman" w:cstheme="minorHAnsi"/>
                <w:bCs/>
                <w:i/>
                <w:color w:val="000000"/>
                <w:sz w:val="22"/>
                <w:szCs w:val="22"/>
              </w:rPr>
              <w:t>-</w:t>
            </w:r>
            <w:r w:rsidRPr="00CC15EE">
              <w:rPr>
                <w:rFonts w:eastAsia="Times New Roman" w:cstheme="minorHAnsi"/>
                <w:bCs/>
                <w:color w:val="000000"/>
                <w:sz w:val="22"/>
                <w:szCs w:val="22"/>
              </w:rPr>
              <w:t xml:space="preserve"> </w:t>
            </w:r>
            <w:r w:rsidR="00636601" w:rsidRPr="00CC15EE">
              <w:rPr>
                <w:rFonts w:eastAsia="Times New Roman" w:cstheme="minorHAnsi"/>
                <w:bCs/>
                <w:color w:val="000000"/>
                <w:sz w:val="22"/>
                <w:szCs w:val="22"/>
              </w:rPr>
              <w:t xml:space="preserve">Niemieckim Urzędem ds. Patentów </w:t>
            </w:r>
            <w:r w:rsidRPr="00CC15EE">
              <w:rPr>
                <w:rFonts w:eastAsia="Times New Roman" w:cstheme="minorHAnsi"/>
                <w:bCs/>
                <w:color w:val="000000"/>
                <w:sz w:val="22"/>
                <w:szCs w:val="22"/>
              </w:rPr>
              <w:t>i Znaków Towarowych) nr 38701324</w:t>
            </w:r>
          </w:p>
          <w:p w14:paraId="4827BE09" w14:textId="06262710" w:rsidR="006D7843" w:rsidRPr="00CC15EE" w:rsidRDefault="00133268" w:rsidP="006D7843">
            <w:pPr>
              <w:pStyle w:val="Akapitzlist"/>
              <w:numPr>
                <w:ilvl w:val="0"/>
                <w:numId w:val="45"/>
              </w:numPr>
              <w:ind w:left="320" w:hanging="334"/>
              <w:rPr>
                <w:rFonts w:eastAsia="Times New Roman" w:cstheme="minorHAnsi"/>
                <w:bCs/>
                <w:color w:val="000000"/>
                <w:sz w:val="22"/>
                <w:szCs w:val="22"/>
              </w:rPr>
            </w:pPr>
            <w:r w:rsidRPr="00CC15EE">
              <w:rPr>
                <w:rFonts w:eastAsia="Times New Roman" w:cstheme="minorHAnsi"/>
                <w:bCs/>
                <w:color w:val="000000"/>
                <w:sz w:val="22"/>
                <w:szCs w:val="22"/>
              </w:rPr>
              <w:t>pełnomocnik przed UPC (</w:t>
            </w:r>
            <w:proofErr w:type="spellStart"/>
            <w:r w:rsidRPr="00CC15EE">
              <w:rPr>
                <w:rFonts w:eastAsia="Times New Roman" w:cstheme="minorHAnsi"/>
                <w:bCs/>
                <w:i/>
                <w:color w:val="000000"/>
                <w:sz w:val="22"/>
                <w:szCs w:val="22"/>
              </w:rPr>
              <w:t>Unitary</w:t>
            </w:r>
            <w:proofErr w:type="spellEnd"/>
            <w:r w:rsidRPr="00CC15EE">
              <w:rPr>
                <w:rFonts w:eastAsia="Times New Roman" w:cstheme="minorHAnsi"/>
                <w:bCs/>
                <w:i/>
                <w:color w:val="000000"/>
                <w:sz w:val="22"/>
                <w:szCs w:val="22"/>
              </w:rPr>
              <w:t xml:space="preserve"> Patent Court</w:t>
            </w:r>
            <w:r w:rsidRPr="00CC15EE">
              <w:rPr>
                <w:rFonts w:eastAsia="Times New Roman" w:cstheme="minorHAnsi"/>
                <w:bCs/>
                <w:color w:val="000000"/>
                <w:sz w:val="22"/>
                <w:szCs w:val="22"/>
              </w:rPr>
              <w:t xml:space="preserve"> </w:t>
            </w:r>
            <w:r w:rsidR="006E2F4F" w:rsidRPr="00CC15EE">
              <w:rPr>
                <w:rFonts w:eastAsia="Times New Roman" w:cstheme="minorHAnsi"/>
                <w:bCs/>
                <w:color w:val="000000"/>
                <w:sz w:val="22"/>
                <w:szCs w:val="22"/>
              </w:rPr>
              <w:t>-</w:t>
            </w:r>
            <w:r w:rsidRPr="00CC15EE">
              <w:rPr>
                <w:rFonts w:eastAsia="Times New Roman" w:cstheme="minorHAnsi"/>
                <w:bCs/>
                <w:color w:val="000000"/>
                <w:sz w:val="22"/>
                <w:szCs w:val="22"/>
              </w:rPr>
              <w:t xml:space="preserve"> Jednolitym Sądem Patentowym) AUTH_525119/2023</w:t>
            </w:r>
          </w:p>
          <w:p w14:paraId="7BF4CA4B" w14:textId="77777777" w:rsidR="006D7843" w:rsidRPr="00CC15EE" w:rsidRDefault="00133268" w:rsidP="006D7843">
            <w:pPr>
              <w:pStyle w:val="Akapitzlist"/>
              <w:numPr>
                <w:ilvl w:val="0"/>
                <w:numId w:val="45"/>
              </w:numPr>
              <w:ind w:left="320" w:hanging="334"/>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Prezes Polskiej Izby Rzeczników Patentowych w latach 2009-2013 i 2013-2017</w:t>
            </w:r>
          </w:p>
          <w:p w14:paraId="34C9DADD" w14:textId="15586A5A" w:rsidR="00133268" w:rsidRPr="00CC15EE" w:rsidRDefault="00133268" w:rsidP="006D7843">
            <w:pPr>
              <w:pStyle w:val="Akapitzlist"/>
              <w:numPr>
                <w:ilvl w:val="0"/>
                <w:numId w:val="45"/>
              </w:numPr>
              <w:ind w:left="320" w:hanging="334"/>
              <w:rPr>
                <w:rFonts w:asciiTheme="minorHAnsi" w:eastAsia="Times New Roman" w:hAnsiTheme="minorHAnsi" w:cstheme="minorHAnsi"/>
                <w:bCs/>
                <w:color w:val="000000"/>
                <w:sz w:val="22"/>
                <w:szCs w:val="22"/>
              </w:rPr>
            </w:pPr>
            <w:r w:rsidRPr="00CC15EE">
              <w:rPr>
                <w:rFonts w:asciiTheme="minorHAnsi" w:eastAsia="Times New Roman" w:hAnsiTheme="minorHAnsi" w:cstheme="minorHAnsi"/>
                <w:bCs/>
                <w:color w:val="000000"/>
                <w:sz w:val="22"/>
                <w:szCs w:val="22"/>
              </w:rPr>
              <w:t>Prezes StoWI od 2023 r.</w:t>
            </w:r>
          </w:p>
          <w:p w14:paraId="3EDE2E2C" w14:textId="77777777" w:rsidR="00133268" w:rsidRPr="00C03056" w:rsidRDefault="00133268" w:rsidP="005027DA">
            <w:pPr>
              <w:pStyle w:val="Akapitzlist"/>
              <w:ind w:left="669"/>
              <w:rPr>
                <w:rFonts w:ascii="Times New Roman" w:eastAsia="Times New Roman" w:hAnsi="Times New Roman" w:cstheme="minorHAnsi"/>
                <w:b/>
                <w:bCs/>
                <w:color w:val="000000"/>
                <w:sz w:val="2"/>
                <w:szCs w:val="2"/>
              </w:rPr>
            </w:pPr>
          </w:p>
        </w:tc>
      </w:tr>
      <w:tr w:rsidR="00133268" w:rsidRPr="001D7639" w14:paraId="29A287B7" w14:textId="77777777" w:rsidTr="005027DA">
        <w:tc>
          <w:tcPr>
            <w:tcW w:w="1276" w:type="dxa"/>
          </w:tcPr>
          <w:p w14:paraId="08179619" w14:textId="77777777" w:rsidR="00133268" w:rsidRPr="001237AA" w:rsidRDefault="00133268" w:rsidP="005027DA">
            <w:pPr>
              <w:rPr>
                <w:noProof/>
                <w:sz w:val="6"/>
                <w:szCs w:val="6"/>
                <w:vertAlign w:val="subscript"/>
              </w:rPr>
            </w:pPr>
          </w:p>
          <w:p w14:paraId="0BE5F941" w14:textId="77777777" w:rsidR="00133268" w:rsidRPr="000E4A08" w:rsidRDefault="00133268" w:rsidP="00EB0888">
            <w:pPr>
              <w:jc w:val="center"/>
              <w:rPr>
                <w:rFonts w:cstheme="minorHAnsi"/>
                <w:b/>
                <w:bCs/>
                <w:color w:val="000000"/>
                <w:sz w:val="26"/>
                <w:szCs w:val="26"/>
                <w:vertAlign w:val="subscript"/>
              </w:rPr>
            </w:pPr>
            <w:r>
              <w:rPr>
                <w:noProof/>
                <w:sz w:val="18"/>
                <w:szCs w:val="18"/>
                <w:vertAlign w:val="subscript"/>
              </w:rPr>
              <w:softHyphen/>
            </w:r>
            <w:r>
              <w:rPr>
                <w:noProof/>
                <w:sz w:val="18"/>
                <w:szCs w:val="18"/>
                <w:vertAlign w:val="subscript"/>
              </w:rPr>
              <w:softHyphen/>
            </w:r>
            <w:r>
              <w:rPr>
                <w:noProof/>
                <w:sz w:val="18"/>
                <w:szCs w:val="18"/>
                <w:vertAlign w:val="subscript"/>
              </w:rPr>
              <w:softHyphen/>
            </w:r>
            <w:r>
              <w:rPr>
                <w:noProof/>
                <w:sz w:val="18"/>
                <w:szCs w:val="18"/>
                <w:vertAlign w:val="subscript"/>
              </w:rPr>
              <w:softHyphen/>
            </w:r>
            <w:r>
              <w:rPr>
                <w:noProof/>
                <w:sz w:val="18"/>
                <w:szCs w:val="18"/>
                <w:vertAlign w:val="subscript"/>
              </w:rPr>
              <w:softHyphen/>
            </w:r>
            <w:r>
              <w:rPr>
                <w:noProof/>
                <w:sz w:val="18"/>
                <w:szCs w:val="18"/>
                <w:vertAlign w:val="subscript"/>
              </w:rPr>
              <w:softHyphen/>
            </w:r>
            <w:r>
              <w:rPr>
                <w:noProof/>
              </w:rPr>
              <w:drawing>
                <wp:inline distT="0" distB="0" distL="0" distR="0" wp14:anchorId="0BF4289A" wp14:editId="41E91FF6">
                  <wp:extent cx="662400" cy="900000"/>
                  <wp:effectExtent l="0" t="0" r="4445" b="0"/>
                  <wp:docPr id="307009370"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09370"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7807" w:type="dxa"/>
          </w:tcPr>
          <w:p w14:paraId="1097E09F" w14:textId="77777777" w:rsidR="00133268" w:rsidRPr="00C03056" w:rsidRDefault="00133268" w:rsidP="005027DA">
            <w:pPr>
              <w:rPr>
                <w:rFonts w:asciiTheme="minorHAnsi" w:hAnsiTheme="minorHAnsi" w:cstheme="minorHAnsi"/>
                <w:bCs/>
                <w:color w:val="000000"/>
                <w:sz w:val="22"/>
                <w:szCs w:val="22"/>
              </w:rPr>
            </w:pPr>
            <w:r w:rsidRPr="00C03056">
              <w:rPr>
                <w:rFonts w:asciiTheme="minorHAnsi" w:hAnsiTheme="minorHAnsi" w:cstheme="minorHAnsi"/>
                <w:bCs/>
                <w:color w:val="000000"/>
                <w:sz w:val="22"/>
                <w:szCs w:val="22"/>
              </w:rPr>
              <w:t xml:space="preserve">Ryszard MATUSIAK </w:t>
            </w:r>
          </w:p>
          <w:p w14:paraId="22B5C8DB" w14:textId="77777777" w:rsidR="00AB5E62" w:rsidRPr="00C03056" w:rsidRDefault="00AB5E62" w:rsidP="00AB5E62">
            <w:pPr>
              <w:pStyle w:val="Akapitzlist"/>
              <w:numPr>
                <w:ilvl w:val="0"/>
                <w:numId w:val="48"/>
              </w:numPr>
              <w:ind w:left="317" w:hanging="283"/>
              <w:rPr>
                <w:rFonts w:eastAsia="Times New Roman" w:cstheme="minorHAnsi"/>
                <w:bCs/>
                <w:color w:val="000000"/>
                <w:sz w:val="22"/>
                <w:szCs w:val="22"/>
              </w:rPr>
            </w:pPr>
            <w:r w:rsidRPr="00C03056">
              <w:rPr>
                <w:rFonts w:eastAsia="Times New Roman" w:cstheme="minorHAnsi"/>
                <w:bCs/>
                <w:color w:val="000000"/>
                <w:sz w:val="22"/>
                <w:szCs w:val="22"/>
              </w:rPr>
              <w:t>rzecznik patentowy w latach 1978-97</w:t>
            </w:r>
          </w:p>
          <w:p w14:paraId="32E74CF4" w14:textId="77777777" w:rsidR="00AB5E62" w:rsidRPr="00C03056" w:rsidRDefault="00AB5E62" w:rsidP="00AB5E62">
            <w:pPr>
              <w:pStyle w:val="Akapitzlist"/>
              <w:numPr>
                <w:ilvl w:val="0"/>
                <w:numId w:val="48"/>
              </w:numPr>
              <w:ind w:left="317" w:hanging="283"/>
              <w:rPr>
                <w:rFonts w:eastAsia="Times New Roman" w:cstheme="minorHAnsi"/>
                <w:bCs/>
                <w:color w:val="000000"/>
                <w:sz w:val="22"/>
                <w:szCs w:val="22"/>
              </w:rPr>
            </w:pPr>
            <w:r w:rsidRPr="00C03056">
              <w:rPr>
                <w:rFonts w:eastAsia="Times New Roman" w:cstheme="minorHAnsi"/>
                <w:bCs/>
                <w:color w:val="000000"/>
                <w:sz w:val="22"/>
                <w:szCs w:val="22"/>
              </w:rPr>
              <w:t xml:space="preserve">współzałożyciel Polskiej Izby Rzeczników Patentowych </w:t>
            </w:r>
          </w:p>
          <w:p w14:paraId="6E800CD9" w14:textId="77777777" w:rsidR="00AB5E62" w:rsidRPr="00C03056" w:rsidRDefault="00AB5E62" w:rsidP="00AB5E62">
            <w:pPr>
              <w:pStyle w:val="Akapitzlist"/>
              <w:numPr>
                <w:ilvl w:val="0"/>
                <w:numId w:val="48"/>
              </w:numPr>
              <w:ind w:left="317" w:hanging="283"/>
              <w:rPr>
                <w:rFonts w:eastAsia="Times New Roman" w:cstheme="minorHAnsi"/>
                <w:bCs/>
                <w:color w:val="000000"/>
                <w:sz w:val="22"/>
                <w:szCs w:val="22"/>
              </w:rPr>
            </w:pPr>
            <w:r w:rsidRPr="00C03056">
              <w:rPr>
                <w:rFonts w:eastAsia="Times New Roman" w:cstheme="minorHAnsi"/>
                <w:bCs/>
                <w:color w:val="000000"/>
                <w:sz w:val="22"/>
                <w:szCs w:val="22"/>
              </w:rPr>
              <w:t>uczestnik I Krajowego Zjazdu w dniu 28.08.1993 r.</w:t>
            </w:r>
          </w:p>
          <w:p w14:paraId="4179C35D" w14:textId="77777777" w:rsidR="00AB5E62" w:rsidRPr="00C03056" w:rsidRDefault="00AB5E62" w:rsidP="00AB5E62">
            <w:pPr>
              <w:pStyle w:val="Akapitzlist"/>
              <w:numPr>
                <w:ilvl w:val="0"/>
                <w:numId w:val="48"/>
              </w:numPr>
              <w:ind w:left="317" w:hanging="283"/>
              <w:rPr>
                <w:rFonts w:eastAsia="Times New Roman" w:cstheme="minorHAnsi"/>
                <w:bCs/>
                <w:color w:val="000000"/>
                <w:sz w:val="22"/>
                <w:szCs w:val="22"/>
              </w:rPr>
            </w:pPr>
            <w:r w:rsidRPr="00C03056">
              <w:rPr>
                <w:rFonts w:eastAsia="Times New Roman" w:cstheme="minorHAnsi"/>
                <w:bCs/>
                <w:color w:val="000000"/>
                <w:sz w:val="22"/>
                <w:szCs w:val="22"/>
              </w:rPr>
              <w:t>Przewodniczący Głównej Komisji Rewizyjnej SIMP 28.06.2002-26.11.2022</w:t>
            </w:r>
          </w:p>
          <w:p w14:paraId="77489B3A" w14:textId="77777777" w:rsidR="00AB5E62" w:rsidRPr="00C03056" w:rsidRDefault="00AB5E62" w:rsidP="00AB5E62">
            <w:pPr>
              <w:pStyle w:val="Akapitzlist"/>
              <w:numPr>
                <w:ilvl w:val="0"/>
                <w:numId w:val="48"/>
              </w:numPr>
              <w:ind w:left="317" w:hanging="283"/>
              <w:rPr>
                <w:rFonts w:eastAsia="Times New Roman" w:cstheme="minorHAnsi"/>
                <w:bCs/>
                <w:color w:val="000000"/>
                <w:sz w:val="22"/>
                <w:szCs w:val="22"/>
              </w:rPr>
            </w:pPr>
            <w:r w:rsidRPr="00C03056">
              <w:rPr>
                <w:rFonts w:eastAsia="Times New Roman" w:cstheme="minorHAnsi"/>
                <w:bCs/>
                <w:color w:val="000000"/>
                <w:sz w:val="22"/>
                <w:szCs w:val="22"/>
              </w:rPr>
              <w:t xml:space="preserve">Ekspert Urzędu Marszałkowskiego Województwa Wielkopolskiego </w:t>
            </w:r>
          </w:p>
          <w:p w14:paraId="3777F51C" w14:textId="77777777" w:rsidR="00AB5E62" w:rsidRPr="00C03056" w:rsidRDefault="00AB5E62" w:rsidP="00AB5E62">
            <w:pPr>
              <w:pStyle w:val="Akapitzlist"/>
              <w:numPr>
                <w:ilvl w:val="0"/>
                <w:numId w:val="48"/>
              </w:numPr>
              <w:ind w:left="317" w:hanging="283"/>
              <w:rPr>
                <w:rFonts w:eastAsia="Times New Roman" w:cstheme="minorHAnsi"/>
                <w:bCs/>
                <w:color w:val="000000"/>
                <w:sz w:val="22"/>
                <w:szCs w:val="22"/>
              </w:rPr>
            </w:pPr>
            <w:r w:rsidRPr="00C03056">
              <w:rPr>
                <w:rFonts w:eastAsia="Times New Roman" w:cstheme="minorHAnsi"/>
                <w:bCs/>
                <w:color w:val="000000"/>
                <w:sz w:val="22"/>
                <w:szCs w:val="22"/>
              </w:rPr>
              <w:t xml:space="preserve">Wpisany przez Urząd Marszałkowski Województwa Wielkopolskiego na Listę Krajową Ekspertów </w:t>
            </w:r>
          </w:p>
          <w:p w14:paraId="3F0F1ABE" w14:textId="081E5E1B" w:rsidR="00EB0888" w:rsidRPr="007245E7" w:rsidRDefault="00AB5E62" w:rsidP="003C45F0">
            <w:pPr>
              <w:pStyle w:val="Akapitzlist"/>
              <w:numPr>
                <w:ilvl w:val="0"/>
                <w:numId w:val="48"/>
              </w:numPr>
              <w:ind w:left="317" w:hanging="283"/>
              <w:rPr>
                <w:rFonts w:eastAsia="Times New Roman" w:cstheme="minorHAnsi"/>
                <w:bCs/>
                <w:color w:val="000000"/>
                <w:sz w:val="22"/>
                <w:szCs w:val="22"/>
              </w:rPr>
            </w:pPr>
            <w:r w:rsidRPr="007245E7">
              <w:rPr>
                <w:rFonts w:eastAsia="Times New Roman" w:cstheme="minorHAnsi"/>
                <w:bCs/>
                <w:color w:val="000000"/>
                <w:sz w:val="22"/>
                <w:szCs w:val="22"/>
              </w:rPr>
              <w:t xml:space="preserve">Przewodniczący </w:t>
            </w:r>
            <w:proofErr w:type="spellStart"/>
            <w:r w:rsidRPr="007245E7">
              <w:rPr>
                <w:rFonts w:eastAsia="Times New Roman" w:cstheme="minorHAnsi"/>
                <w:bCs/>
                <w:color w:val="000000"/>
                <w:sz w:val="22"/>
                <w:szCs w:val="22"/>
              </w:rPr>
              <w:t>WKTiR</w:t>
            </w:r>
            <w:proofErr w:type="spellEnd"/>
            <w:r w:rsidRPr="007245E7">
              <w:rPr>
                <w:rFonts w:eastAsia="Times New Roman" w:cstheme="minorHAnsi"/>
                <w:bCs/>
                <w:color w:val="000000"/>
                <w:sz w:val="22"/>
                <w:szCs w:val="22"/>
              </w:rPr>
              <w:t xml:space="preserve"> w Poznaniu (1981-1985)</w:t>
            </w:r>
            <w:r w:rsidR="007245E7" w:rsidRPr="007245E7">
              <w:rPr>
                <w:rFonts w:eastAsia="Times New Roman" w:cstheme="minorHAnsi"/>
                <w:bCs/>
                <w:color w:val="000000"/>
                <w:sz w:val="22"/>
                <w:szCs w:val="22"/>
              </w:rPr>
              <w:t>,</w:t>
            </w:r>
            <w:r w:rsidR="007245E7">
              <w:rPr>
                <w:rFonts w:eastAsia="Times New Roman" w:cstheme="minorHAnsi"/>
                <w:bCs/>
                <w:color w:val="000000"/>
                <w:sz w:val="22"/>
                <w:szCs w:val="22"/>
              </w:rPr>
              <w:t xml:space="preserve"> </w:t>
            </w:r>
            <w:r w:rsidRPr="007245E7">
              <w:rPr>
                <w:rFonts w:eastAsia="Times New Roman" w:cstheme="minorHAnsi"/>
                <w:bCs/>
                <w:color w:val="000000"/>
                <w:sz w:val="22"/>
                <w:szCs w:val="22"/>
              </w:rPr>
              <w:t>Rzeczoznawca SIMP</w:t>
            </w:r>
          </w:p>
          <w:p w14:paraId="6457F8A7" w14:textId="51D6D0A0" w:rsidR="00EB0888" w:rsidRPr="00EB0888" w:rsidRDefault="00EB0888" w:rsidP="00EB0888">
            <w:pPr>
              <w:pStyle w:val="Akapitzlist"/>
              <w:ind w:left="320"/>
              <w:jc w:val="both"/>
              <w:rPr>
                <w:rFonts w:eastAsia="Times New Roman" w:cstheme="minorHAnsi"/>
                <w:bCs/>
                <w:color w:val="000000"/>
                <w:sz w:val="28"/>
                <w:szCs w:val="28"/>
              </w:rPr>
            </w:pPr>
            <w:r>
              <w:rPr>
                <w:rFonts w:eastAsia="Times New Roman" w:cstheme="minorHAnsi"/>
                <w:bCs/>
                <w:color w:val="000000"/>
                <w:sz w:val="28"/>
                <w:szCs w:val="28"/>
              </w:rPr>
              <w:lastRenderedPageBreak/>
              <w:t xml:space="preserve">                                             * * *</w:t>
            </w:r>
          </w:p>
          <w:p w14:paraId="17A99C85" w14:textId="77777777" w:rsidR="00133268" w:rsidRDefault="00133268" w:rsidP="005027DA">
            <w:pPr>
              <w:rPr>
                <w:rFonts w:asciiTheme="minorHAnsi" w:hAnsiTheme="minorHAnsi" w:cstheme="minorHAnsi"/>
                <w:bCs/>
                <w:color w:val="000000"/>
                <w:sz w:val="6"/>
                <w:szCs w:val="6"/>
              </w:rPr>
            </w:pPr>
          </w:p>
          <w:p w14:paraId="6D752D71" w14:textId="77777777" w:rsidR="00EB0888" w:rsidRDefault="00EB0888" w:rsidP="005027DA">
            <w:pPr>
              <w:rPr>
                <w:rFonts w:asciiTheme="minorHAnsi" w:hAnsiTheme="minorHAnsi" w:cstheme="minorHAnsi"/>
                <w:bCs/>
                <w:color w:val="000000"/>
                <w:sz w:val="6"/>
                <w:szCs w:val="6"/>
              </w:rPr>
            </w:pPr>
          </w:p>
          <w:p w14:paraId="6956DDA3" w14:textId="77777777" w:rsidR="00EB0888" w:rsidRDefault="00EB0888" w:rsidP="005027DA">
            <w:pPr>
              <w:rPr>
                <w:rFonts w:asciiTheme="minorHAnsi" w:hAnsiTheme="minorHAnsi" w:cstheme="minorHAnsi"/>
                <w:bCs/>
                <w:color w:val="000000"/>
                <w:sz w:val="6"/>
                <w:szCs w:val="6"/>
              </w:rPr>
            </w:pPr>
          </w:p>
          <w:p w14:paraId="5279E712" w14:textId="77777777" w:rsidR="00EB0888" w:rsidRPr="006D7843" w:rsidRDefault="00EB0888" w:rsidP="005027DA">
            <w:pPr>
              <w:rPr>
                <w:rFonts w:asciiTheme="minorHAnsi" w:hAnsiTheme="minorHAnsi" w:cstheme="minorHAnsi"/>
                <w:bCs/>
                <w:color w:val="000000"/>
                <w:sz w:val="6"/>
                <w:szCs w:val="6"/>
              </w:rPr>
            </w:pPr>
          </w:p>
        </w:tc>
      </w:tr>
    </w:tbl>
    <w:p w14:paraId="4850ED2F" w14:textId="156FEEED" w:rsidR="00977386" w:rsidRPr="00EC4F25" w:rsidRDefault="007A2296" w:rsidP="00977386">
      <w:pPr>
        <w:spacing w:after="0" w:line="240" w:lineRule="auto"/>
        <w:ind w:left="284" w:hanging="284"/>
        <w:jc w:val="center"/>
      </w:pPr>
      <w:bookmarkStart w:id="41" w:name="_Hlk169168896"/>
      <w:bookmarkEnd w:id="35"/>
      <w:bookmarkEnd w:id="40"/>
      <w:r>
        <w:rPr>
          <w:noProof/>
          <w:sz w:val="20"/>
          <w:szCs w:val="20"/>
          <w:lang w:eastAsia="pl-PL"/>
        </w:rPr>
        <w:lastRenderedPageBreak/>
        <w:drawing>
          <wp:inline distT="0" distB="0" distL="0" distR="0" wp14:anchorId="4FDC7A17" wp14:editId="6918FEA6">
            <wp:extent cx="6186805" cy="2600960"/>
            <wp:effectExtent l="0" t="0" r="4445" b="8890"/>
            <wp:docPr id="1848271526" name="Obraz 184827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86805" cy="2600960"/>
                    </a:xfrm>
                    <a:prstGeom prst="rect">
                      <a:avLst/>
                    </a:prstGeom>
                    <a:noFill/>
                    <a:ln>
                      <a:noFill/>
                    </a:ln>
                  </pic:spPr>
                </pic:pic>
              </a:graphicData>
            </a:graphic>
          </wp:inline>
        </w:drawing>
      </w:r>
    </w:p>
    <w:bookmarkEnd w:id="41"/>
    <w:p w14:paraId="63A810DE" w14:textId="77777777" w:rsidR="00977386" w:rsidRPr="00572CD9" w:rsidRDefault="00977386" w:rsidP="00977386">
      <w:pPr>
        <w:spacing w:after="0" w:line="240" w:lineRule="auto"/>
        <w:ind w:firstLine="567"/>
        <w:jc w:val="both"/>
        <w:rPr>
          <w:rFonts w:ascii="Times New Roman" w:hAnsi="Times New Roman" w:cs="Times New Roman"/>
          <w:sz w:val="24"/>
          <w:szCs w:val="24"/>
        </w:rPr>
      </w:pPr>
      <w:r w:rsidRPr="00572CD9">
        <w:rPr>
          <w:rFonts w:ascii="Times New Roman" w:hAnsi="Times New Roman" w:cs="Times New Roman"/>
          <w:sz w:val="24"/>
          <w:szCs w:val="24"/>
        </w:rPr>
        <w:t xml:space="preserve">Przedstawiamy niniejszy LIST OTWARTY zgodnie z zasadą, której tradycja sięga już połowy ubiegłego wieku, a która sformułowana została w art. 63 Konstytucji Rzeczypospolitej Polskiej. Tym samym prowadzimy działania zgodne z art. 221 ustawy z dnia 14 czerwca 1960 r. Kodeks postępowania administracyjnego (Dz. U. 2023 r. poz. 775), nazywanej dalej: </w:t>
      </w:r>
      <w:r w:rsidRPr="00572CD9">
        <w:rPr>
          <w:rFonts w:ascii="Times New Roman" w:hAnsi="Times New Roman" w:cs="Times New Roman"/>
          <w:i/>
          <w:sz w:val="24"/>
          <w:szCs w:val="24"/>
        </w:rPr>
        <w:t>„</w:t>
      </w:r>
      <w:proofErr w:type="gramStart"/>
      <w:r w:rsidRPr="00572CD9">
        <w:rPr>
          <w:rFonts w:ascii="Times New Roman" w:hAnsi="Times New Roman" w:cs="Times New Roman"/>
          <w:i/>
          <w:sz w:val="24"/>
          <w:szCs w:val="24"/>
        </w:rPr>
        <w:t>k.p.a. ”</w:t>
      </w:r>
      <w:proofErr w:type="gramEnd"/>
      <w:r w:rsidRPr="00572CD9">
        <w:rPr>
          <w:rFonts w:ascii="Times New Roman" w:hAnsi="Times New Roman" w:cs="Times New Roman"/>
          <w:i/>
          <w:sz w:val="24"/>
          <w:szCs w:val="24"/>
        </w:rPr>
        <w:t>,</w:t>
      </w:r>
      <w:r w:rsidRPr="00572CD9">
        <w:rPr>
          <w:rFonts w:ascii="Times New Roman" w:hAnsi="Times New Roman" w:cs="Times New Roman"/>
          <w:sz w:val="24"/>
          <w:szCs w:val="24"/>
        </w:rPr>
        <w:t xml:space="preserve"> </w:t>
      </w:r>
      <w:bookmarkStart w:id="42" w:name="_Hlk156332556"/>
      <w:r w:rsidRPr="00572CD9">
        <w:rPr>
          <w:rFonts w:ascii="Times New Roman" w:hAnsi="Times New Roman" w:cs="Times New Roman"/>
          <w:sz w:val="24"/>
          <w:szCs w:val="24"/>
        </w:rPr>
        <w:t>doprecyzowującym prawo petycji: „</w:t>
      </w:r>
      <w:r w:rsidRPr="00572CD9">
        <w:rPr>
          <w:rFonts w:ascii="Times New Roman" w:hAnsi="Times New Roman" w:cs="Times New Roman"/>
          <w:i/>
          <w:iCs/>
          <w:sz w:val="24"/>
          <w:szCs w:val="24"/>
        </w:rPr>
        <w:t>Zagwarantowane każdemu w Konstytucji Rzeczypospolitej Polskiej prawo składania skarg i wniosków do organów państwowych</w:t>
      </w:r>
      <w:r w:rsidRPr="00572CD9">
        <w:rPr>
          <w:rFonts w:ascii="Times New Roman" w:hAnsi="Times New Roman" w:cs="Times New Roman"/>
          <w:sz w:val="24"/>
          <w:szCs w:val="24"/>
        </w:rPr>
        <w:t xml:space="preserve"> (...)” upoważniające każdego do ich składania „</w:t>
      </w:r>
      <w:r w:rsidRPr="00572CD9">
        <w:rPr>
          <w:rFonts w:ascii="Times New Roman" w:hAnsi="Times New Roman" w:cs="Times New Roman"/>
          <w:i/>
          <w:iCs/>
          <w:sz w:val="24"/>
          <w:szCs w:val="24"/>
        </w:rPr>
        <w:t>w interesie publicznym</w:t>
      </w:r>
      <w:r w:rsidRPr="00572CD9">
        <w:rPr>
          <w:rFonts w:ascii="Times New Roman" w:hAnsi="Times New Roman" w:cs="Times New Roman"/>
          <w:sz w:val="24"/>
          <w:szCs w:val="24"/>
        </w:rPr>
        <w:t xml:space="preserve"> ”, jak i „</w:t>
      </w:r>
      <w:r w:rsidRPr="00572CD9">
        <w:rPr>
          <w:rFonts w:ascii="Times New Roman" w:hAnsi="Times New Roman" w:cs="Times New Roman"/>
          <w:i/>
          <w:iCs/>
          <w:sz w:val="24"/>
          <w:szCs w:val="24"/>
        </w:rPr>
        <w:t>własnym</w:t>
      </w:r>
      <w:r w:rsidRPr="00572CD9">
        <w:rPr>
          <w:rFonts w:ascii="Times New Roman" w:hAnsi="Times New Roman" w:cs="Times New Roman"/>
          <w:sz w:val="24"/>
          <w:szCs w:val="24"/>
        </w:rPr>
        <w:t xml:space="preserve">”. </w:t>
      </w:r>
    </w:p>
    <w:p w14:paraId="419C0AF6" w14:textId="77777777" w:rsidR="00977386" w:rsidRPr="00572CD9" w:rsidRDefault="00977386" w:rsidP="00977386">
      <w:pPr>
        <w:spacing w:after="0" w:line="240" w:lineRule="auto"/>
        <w:jc w:val="both"/>
        <w:rPr>
          <w:rFonts w:ascii="Times New Roman" w:hAnsi="Times New Roman" w:cs="Times New Roman"/>
          <w:sz w:val="24"/>
          <w:szCs w:val="24"/>
        </w:rPr>
      </w:pPr>
      <w:r w:rsidRPr="00572CD9">
        <w:rPr>
          <w:rFonts w:ascii="Times New Roman" w:hAnsi="Times New Roman" w:cs="Times New Roman"/>
          <w:sz w:val="24"/>
          <w:szCs w:val="24"/>
        </w:rPr>
        <w:t xml:space="preserve">Działamy także w myśl art. 241 k.p.a., który umożliwia przedstawianie wniosków zawierających propozycje udoskonalenia prawa, szczególnie w przypadkach, gdy jest ono rażąco niespójne. </w:t>
      </w:r>
    </w:p>
    <w:p w14:paraId="091D4479" w14:textId="77777777" w:rsidR="00977386" w:rsidRPr="00572CD9" w:rsidRDefault="00977386" w:rsidP="00977386">
      <w:pPr>
        <w:spacing w:after="0" w:line="240" w:lineRule="auto"/>
        <w:ind w:firstLine="567"/>
        <w:jc w:val="both"/>
        <w:rPr>
          <w:rFonts w:ascii="Times New Roman" w:hAnsi="Times New Roman" w:cs="Times New Roman"/>
          <w:sz w:val="24"/>
          <w:szCs w:val="24"/>
        </w:rPr>
      </w:pPr>
      <w:r w:rsidRPr="00572CD9">
        <w:rPr>
          <w:rFonts w:ascii="Times New Roman" w:hAnsi="Times New Roman" w:cs="Times New Roman"/>
          <w:sz w:val="24"/>
          <w:szCs w:val="24"/>
        </w:rPr>
        <w:t>Przede wszystkim dziękujemy za nieeksponowanie dalszych działań dot. „</w:t>
      </w:r>
      <w:r w:rsidRPr="00572CD9">
        <w:rPr>
          <w:rFonts w:ascii="Times New Roman" w:hAnsi="Times New Roman" w:cs="Times New Roman"/>
          <w:i/>
          <w:iCs/>
          <w:sz w:val="24"/>
          <w:szCs w:val="24"/>
        </w:rPr>
        <w:t>wprowadzenia rozwiązań planowanych w projekcie ustawy Prawo własności przemysłowej</w:t>
      </w:r>
      <w:r w:rsidRPr="00572CD9">
        <w:rPr>
          <w:rFonts w:ascii="Times New Roman" w:hAnsi="Times New Roman" w:cs="Times New Roman"/>
          <w:sz w:val="24"/>
          <w:szCs w:val="24"/>
        </w:rPr>
        <w:t xml:space="preserve">”, które za numerem UD-263 zaprezentowane zostały na stronie Biuletynu Informacji Publicznej Kancelarii Prezesa Rady Ministrów. </w:t>
      </w:r>
    </w:p>
    <w:p w14:paraId="42D89918" w14:textId="77777777" w:rsidR="00977386" w:rsidRPr="00572CD9" w:rsidRDefault="00977386" w:rsidP="00977386">
      <w:pPr>
        <w:spacing w:after="0" w:line="240" w:lineRule="auto"/>
        <w:ind w:left="284" w:hanging="284"/>
        <w:jc w:val="both"/>
        <w:rPr>
          <w:rFonts w:ascii="Times New Roman" w:hAnsi="Times New Roman" w:cs="Times New Roman"/>
          <w:sz w:val="24"/>
          <w:szCs w:val="24"/>
        </w:rPr>
      </w:pPr>
      <w:r w:rsidRPr="00572CD9">
        <w:rPr>
          <w:rFonts w:ascii="Times New Roman" w:hAnsi="Times New Roman" w:cs="Times New Roman"/>
          <w:sz w:val="24"/>
          <w:szCs w:val="24"/>
        </w:rPr>
        <w:t>Krytyczne uwagi i apele dotyczące ich dostępne są w systemie Internet pod adresami:</w:t>
      </w:r>
    </w:p>
    <w:p w14:paraId="1F9F84EF" w14:textId="77777777" w:rsidR="006D7843" w:rsidRPr="00572CD9" w:rsidRDefault="006D7843" w:rsidP="00977386">
      <w:pPr>
        <w:spacing w:after="0" w:line="240" w:lineRule="auto"/>
        <w:ind w:left="284" w:hanging="284"/>
        <w:jc w:val="both"/>
        <w:rPr>
          <w:rFonts w:ascii="Times New Roman" w:hAnsi="Times New Roman" w:cs="Times New Roman"/>
          <w:sz w:val="6"/>
          <w:szCs w:val="6"/>
        </w:rPr>
      </w:pPr>
    </w:p>
    <w:p w14:paraId="6B9CDB2C" w14:textId="77777777" w:rsidR="00977386" w:rsidRPr="00B34BC9" w:rsidRDefault="00B82931" w:rsidP="001F6BE3">
      <w:pPr>
        <w:pStyle w:val="Akapitzlist"/>
        <w:numPr>
          <w:ilvl w:val="0"/>
          <w:numId w:val="14"/>
        </w:numPr>
        <w:ind w:left="567" w:hanging="517"/>
        <w:contextualSpacing/>
        <w:jc w:val="both"/>
        <w:rPr>
          <w:rFonts w:ascii="Times New Roman" w:hAnsi="Times New Roman"/>
          <w:color w:val="2E74B5" w:themeColor="accent5" w:themeShade="BF"/>
          <w:sz w:val="24"/>
          <w:szCs w:val="24"/>
          <w:lang w:val="en-GB"/>
        </w:rPr>
      </w:pPr>
      <w:hyperlink r:id="rId56" w:history="1">
        <w:r w:rsidR="00977386" w:rsidRPr="00B34BC9">
          <w:rPr>
            <w:rStyle w:val="Hipercze"/>
            <w:rFonts w:ascii="Times New Roman" w:hAnsi="Times New Roman"/>
            <w:color w:val="2E74B5" w:themeColor="accent5" w:themeShade="BF"/>
            <w:sz w:val="24"/>
            <w:szCs w:val="24"/>
            <w:lang w:val="en-GB"/>
          </w:rPr>
          <w:t>https://stowi.pl/interpelacj a-nr-37332/</w:t>
        </w:r>
      </w:hyperlink>
      <w:r w:rsidR="00977386" w:rsidRPr="00B34BC9">
        <w:rPr>
          <w:rFonts w:ascii="Times New Roman" w:hAnsi="Times New Roman"/>
          <w:color w:val="2E74B5" w:themeColor="accent5" w:themeShade="BF"/>
          <w:sz w:val="24"/>
          <w:szCs w:val="24"/>
          <w:lang w:val="en-GB"/>
        </w:rPr>
        <w:t xml:space="preserve"> , </w:t>
      </w:r>
    </w:p>
    <w:p w14:paraId="7B911D25" w14:textId="77777777" w:rsidR="00977386" w:rsidRPr="00B34BC9" w:rsidRDefault="00B82931" w:rsidP="001F6BE3">
      <w:pPr>
        <w:pStyle w:val="Akapitzlist"/>
        <w:numPr>
          <w:ilvl w:val="0"/>
          <w:numId w:val="14"/>
        </w:numPr>
        <w:ind w:left="567" w:hanging="517"/>
        <w:contextualSpacing/>
        <w:jc w:val="both"/>
        <w:rPr>
          <w:rFonts w:ascii="Times New Roman" w:hAnsi="Times New Roman"/>
          <w:color w:val="2E74B5" w:themeColor="accent5" w:themeShade="BF"/>
          <w:sz w:val="24"/>
          <w:szCs w:val="24"/>
          <w:lang w:val="en-GB"/>
        </w:rPr>
      </w:pPr>
      <w:hyperlink r:id="rId57" w:history="1">
        <w:r w:rsidR="00977386" w:rsidRPr="00B34BC9">
          <w:rPr>
            <w:rStyle w:val="Hipercze"/>
            <w:rFonts w:ascii="Times New Roman" w:hAnsi="Times New Roman"/>
            <w:color w:val="2E74B5" w:themeColor="accent5" w:themeShade="BF"/>
            <w:sz w:val="24"/>
            <w:szCs w:val="24"/>
            <w:lang w:val="en-GB"/>
          </w:rPr>
          <w:t>https://stowi.pl/rosyiska-ruletka-ktora-mozna-zlikwidowac-w-100-dni/</w:t>
        </w:r>
      </w:hyperlink>
      <w:r w:rsidR="00977386" w:rsidRPr="00B34BC9">
        <w:rPr>
          <w:rFonts w:ascii="Times New Roman" w:hAnsi="Times New Roman"/>
          <w:color w:val="2E74B5" w:themeColor="accent5" w:themeShade="BF"/>
          <w:sz w:val="24"/>
          <w:szCs w:val="24"/>
          <w:lang w:val="en-GB"/>
        </w:rPr>
        <w:t>,</w:t>
      </w:r>
    </w:p>
    <w:p w14:paraId="0917FF85" w14:textId="6E1C6B03" w:rsidR="00977386" w:rsidRPr="00572CD9" w:rsidRDefault="00B82931" w:rsidP="001F6BE3">
      <w:pPr>
        <w:pStyle w:val="Akapitzlist"/>
        <w:numPr>
          <w:ilvl w:val="0"/>
          <w:numId w:val="14"/>
        </w:numPr>
        <w:ind w:left="567" w:hanging="517"/>
        <w:contextualSpacing/>
        <w:jc w:val="both"/>
        <w:rPr>
          <w:rFonts w:ascii="Times New Roman" w:hAnsi="Times New Roman"/>
          <w:sz w:val="24"/>
          <w:szCs w:val="24"/>
          <w:lang w:val="en-GB"/>
        </w:rPr>
      </w:pPr>
      <w:hyperlink r:id="rId58" w:history="1">
        <w:r w:rsidR="00977386" w:rsidRPr="00B34BC9">
          <w:rPr>
            <w:rStyle w:val="Hipercze"/>
            <w:rFonts w:ascii="Times New Roman" w:hAnsi="Times New Roman"/>
            <w:color w:val="2E74B5" w:themeColor="accent5" w:themeShade="BF"/>
            <w:sz w:val="24"/>
            <w:szCs w:val="24"/>
            <w:lang w:val="en-GB"/>
          </w:rPr>
          <w:t>https://stowi.pl/projekt-ud263-aktu-prawnego-dodatkowo-blokującego-rozwoj-polskiej-innowacyjności/</w:t>
        </w:r>
      </w:hyperlink>
      <w:r w:rsidR="00977386" w:rsidRPr="00572CD9">
        <w:rPr>
          <w:rFonts w:ascii="Times New Roman" w:hAnsi="Times New Roman"/>
          <w:sz w:val="24"/>
          <w:szCs w:val="24"/>
          <w:lang w:val="en-GB"/>
        </w:rPr>
        <w:t xml:space="preserve">. </w:t>
      </w:r>
    </w:p>
    <w:p w14:paraId="78B23428" w14:textId="77777777" w:rsidR="00977386" w:rsidRPr="00572CD9" w:rsidRDefault="00977386" w:rsidP="00977386">
      <w:pPr>
        <w:pStyle w:val="Akapitzlist"/>
        <w:ind w:left="410"/>
        <w:jc w:val="both"/>
        <w:rPr>
          <w:rFonts w:ascii="Times New Roman" w:hAnsi="Times New Roman"/>
          <w:sz w:val="6"/>
          <w:szCs w:val="6"/>
          <w:lang w:val="en-GB"/>
        </w:rPr>
      </w:pPr>
    </w:p>
    <w:p w14:paraId="6787CE20" w14:textId="77777777" w:rsidR="00977386" w:rsidRPr="00572CD9" w:rsidRDefault="00977386" w:rsidP="00977386">
      <w:pPr>
        <w:spacing w:after="0" w:line="240" w:lineRule="auto"/>
        <w:ind w:firstLine="567"/>
        <w:jc w:val="both"/>
        <w:rPr>
          <w:rFonts w:ascii="Times New Roman" w:hAnsi="Times New Roman" w:cs="Times New Roman"/>
          <w:sz w:val="24"/>
          <w:szCs w:val="24"/>
        </w:rPr>
      </w:pPr>
      <w:r w:rsidRPr="00572CD9">
        <w:rPr>
          <w:rFonts w:ascii="Times New Roman" w:hAnsi="Times New Roman" w:cs="Times New Roman"/>
          <w:sz w:val="24"/>
          <w:szCs w:val="24"/>
        </w:rPr>
        <w:t xml:space="preserve">Niestety znane są także błędne opinie, eksponujące nieliczne poprawne rozwiązania zawarte w projekcie nowej ustawy Prawo własności przemysłowej UD-263. </w:t>
      </w:r>
    </w:p>
    <w:p w14:paraId="5FFB9B88" w14:textId="77777777" w:rsidR="00977386" w:rsidRPr="00572CD9" w:rsidRDefault="00977386" w:rsidP="00977386">
      <w:pPr>
        <w:spacing w:after="0" w:line="240" w:lineRule="auto"/>
        <w:ind w:left="284" w:hanging="284"/>
        <w:jc w:val="both"/>
        <w:rPr>
          <w:rFonts w:ascii="Times New Roman" w:hAnsi="Times New Roman" w:cs="Times New Roman"/>
          <w:sz w:val="2"/>
          <w:szCs w:val="2"/>
        </w:rPr>
      </w:pPr>
    </w:p>
    <w:p w14:paraId="20CC8435" w14:textId="419F7770" w:rsidR="007A2296" w:rsidRPr="00572CD9" w:rsidRDefault="00977386" w:rsidP="007A2296">
      <w:pPr>
        <w:spacing w:after="0" w:line="240" w:lineRule="auto"/>
        <w:ind w:firstLine="567"/>
        <w:jc w:val="both"/>
        <w:rPr>
          <w:rFonts w:ascii="Times New Roman" w:hAnsi="Times New Roman" w:cs="Times New Roman"/>
          <w:sz w:val="24"/>
          <w:szCs w:val="24"/>
        </w:rPr>
      </w:pPr>
      <w:r w:rsidRPr="00572CD9">
        <w:rPr>
          <w:rFonts w:ascii="Times New Roman" w:hAnsi="Times New Roman" w:cs="Times New Roman"/>
          <w:sz w:val="24"/>
          <w:szCs w:val="24"/>
        </w:rPr>
        <w:t xml:space="preserve">Prosimy o informację, czy prowadzone są obecnie jakiekolwiek prace nad projektem wspomnianej ustawy Prawo własności przemysłowej UD-263. Wyrażamy nadzieję, że zostały one definitywnie zamknięte i nie będą podejmowane żadne </w:t>
      </w:r>
      <w:r w:rsidR="007A2296" w:rsidRPr="00572CD9">
        <w:rPr>
          <w:rFonts w:ascii="Times New Roman" w:hAnsi="Times New Roman" w:cs="Times New Roman"/>
          <w:sz w:val="24"/>
          <w:szCs w:val="24"/>
        </w:rPr>
        <w:t>dalsze działania w tej sprawie.</w:t>
      </w:r>
    </w:p>
    <w:p w14:paraId="2AF16183" w14:textId="37353FDE" w:rsidR="00977386" w:rsidRDefault="007A2296" w:rsidP="007A2296">
      <w:pPr>
        <w:spacing w:after="0" w:line="240" w:lineRule="auto"/>
        <w:jc w:val="both"/>
      </w:pPr>
      <w:r>
        <w:rPr>
          <w:noProof/>
          <w:lang w:eastAsia="pl-PL"/>
        </w:rPr>
        <w:drawing>
          <wp:inline distT="0" distB="0" distL="0" distR="0" wp14:anchorId="0459E6E9" wp14:editId="26D70C74">
            <wp:extent cx="6186805" cy="1460500"/>
            <wp:effectExtent l="0" t="0" r="4445" b="6350"/>
            <wp:docPr id="1848271527" name="Obraz 184827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86805" cy="1460500"/>
                    </a:xfrm>
                    <a:prstGeom prst="rect">
                      <a:avLst/>
                    </a:prstGeom>
                    <a:noFill/>
                    <a:ln>
                      <a:noFill/>
                    </a:ln>
                  </pic:spPr>
                </pic:pic>
              </a:graphicData>
            </a:graphic>
          </wp:inline>
        </w:drawing>
      </w:r>
    </w:p>
    <w:p w14:paraId="7A990FD1" w14:textId="77777777" w:rsidR="00EB0888" w:rsidRDefault="00EB0888" w:rsidP="009A7351">
      <w:pPr>
        <w:spacing w:after="0"/>
        <w:jc w:val="center"/>
        <w:rPr>
          <w:b/>
          <w:bCs/>
          <w:sz w:val="24"/>
          <w:szCs w:val="24"/>
        </w:rPr>
      </w:pPr>
      <w:bookmarkStart w:id="43" w:name="_Hlk169372668"/>
    </w:p>
    <w:p w14:paraId="3A93EDC6" w14:textId="390E7486" w:rsidR="009A7351" w:rsidRDefault="009A7351" w:rsidP="009A7351">
      <w:pPr>
        <w:spacing w:after="0"/>
        <w:jc w:val="center"/>
        <w:rPr>
          <w:b/>
          <w:bCs/>
          <w:sz w:val="24"/>
          <w:szCs w:val="24"/>
        </w:rPr>
      </w:pPr>
      <w:r>
        <w:rPr>
          <w:b/>
          <w:bCs/>
          <w:sz w:val="24"/>
          <w:szCs w:val="24"/>
        </w:rPr>
        <w:lastRenderedPageBreak/>
        <w:t>* * *</w:t>
      </w:r>
    </w:p>
    <w:p w14:paraId="1C6DFA5D" w14:textId="47D31A91" w:rsidR="00994270" w:rsidRPr="00994270" w:rsidRDefault="00994270" w:rsidP="00994270">
      <w:pPr>
        <w:spacing w:after="0"/>
        <w:rPr>
          <w:b/>
          <w:bCs/>
          <w:sz w:val="24"/>
          <w:szCs w:val="24"/>
        </w:rPr>
      </w:pPr>
      <w:r w:rsidRPr="00994270">
        <w:rPr>
          <w:b/>
          <w:bCs/>
          <w:sz w:val="24"/>
          <w:szCs w:val="24"/>
        </w:rPr>
        <w:t>Uwaga Redakcji:</w:t>
      </w:r>
    </w:p>
    <w:p w14:paraId="0936B3B6" w14:textId="30C553B3" w:rsidR="00977386" w:rsidRPr="00680CC3" w:rsidRDefault="00572CD9" w:rsidP="00977386">
      <w:pPr>
        <w:spacing w:after="0"/>
        <w:rPr>
          <w:sz w:val="24"/>
          <w:szCs w:val="24"/>
        </w:rPr>
      </w:pPr>
      <w:r w:rsidRPr="00C01756">
        <w:rPr>
          <w:sz w:val="24"/>
          <w:szCs w:val="24"/>
        </w:rPr>
        <w:t>Niżej przedstawiona została</w:t>
      </w:r>
      <w:r w:rsidRPr="00C01756">
        <w:rPr>
          <w:sz w:val="26"/>
          <w:szCs w:val="26"/>
        </w:rPr>
        <w:t xml:space="preserve"> </w:t>
      </w:r>
      <w:r w:rsidRPr="00680CC3">
        <w:rPr>
          <w:b/>
          <w:bCs/>
          <w:sz w:val="24"/>
          <w:szCs w:val="24"/>
        </w:rPr>
        <w:t>o</w:t>
      </w:r>
      <w:r w:rsidR="00977386" w:rsidRPr="00680CC3">
        <w:rPr>
          <w:b/>
          <w:bCs/>
          <w:sz w:val="24"/>
          <w:szCs w:val="24"/>
        </w:rPr>
        <w:t>dpowiedź</w:t>
      </w:r>
      <w:r w:rsidR="009766C6" w:rsidRPr="00680CC3">
        <w:rPr>
          <w:sz w:val="24"/>
          <w:szCs w:val="24"/>
        </w:rPr>
        <w:t>,</w:t>
      </w:r>
      <w:r w:rsidR="00977386" w:rsidRPr="00680CC3">
        <w:rPr>
          <w:sz w:val="24"/>
          <w:szCs w:val="24"/>
        </w:rPr>
        <w:t xml:space="preserve"> jaką przekazała Pani </w:t>
      </w:r>
      <w:r w:rsidR="00977386" w:rsidRPr="00680CC3">
        <w:rPr>
          <w:b/>
          <w:bCs/>
          <w:sz w:val="24"/>
          <w:szCs w:val="24"/>
        </w:rPr>
        <w:t>Edyta DEMBY-SIWEK, Prezes Urzędu Patentowego RP</w:t>
      </w:r>
      <w:r w:rsidR="00680CC3" w:rsidRPr="00680CC3">
        <w:rPr>
          <w:sz w:val="24"/>
          <w:szCs w:val="24"/>
        </w:rPr>
        <w:t>.</w:t>
      </w:r>
    </w:p>
    <w:p w14:paraId="4B5C8A55" w14:textId="77777777" w:rsidR="003316F0" w:rsidRPr="003316F0" w:rsidRDefault="003316F0" w:rsidP="00977386">
      <w:pPr>
        <w:spacing w:after="0"/>
        <w:rPr>
          <w:sz w:val="10"/>
          <w:szCs w:val="10"/>
        </w:rPr>
      </w:pPr>
      <w:bookmarkStart w:id="44" w:name="_Hlk169415033"/>
    </w:p>
    <w:p w14:paraId="495763A6" w14:textId="7B6585E2" w:rsidR="00994270" w:rsidRPr="0017071E" w:rsidRDefault="00994270" w:rsidP="00680CC3">
      <w:pPr>
        <w:spacing w:after="0"/>
        <w:rPr>
          <w:rFonts w:ascii="Helvetica" w:eastAsia="Times New Roman" w:hAnsi="Helvetica"/>
          <w:b/>
          <w:bCs/>
          <w:color w:val="2E74B5" w:themeColor="accent5" w:themeShade="BF"/>
          <w:lang w:val="en-US"/>
        </w:rPr>
      </w:pPr>
      <w:r w:rsidRPr="0017071E">
        <w:rPr>
          <w:b/>
          <w:bCs/>
          <w:color w:val="2E74B5" w:themeColor="accent5" w:themeShade="BF"/>
          <w:kern w:val="0"/>
          <w:sz w:val="24"/>
          <w:szCs w:val="24"/>
          <w:lang w:val="en-US"/>
        </w:rPr>
        <w:t xml:space="preserve">Editor's </w:t>
      </w:r>
      <w:r w:rsidR="00C375B2" w:rsidRPr="0017071E">
        <w:rPr>
          <w:b/>
          <w:bCs/>
          <w:color w:val="2E74B5" w:themeColor="accent5" w:themeShade="BF"/>
          <w:kern w:val="0"/>
          <w:sz w:val="24"/>
          <w:szCs w:val="24"/>
          <w:lang w:val="en-US"/>
        </w:rPr>
        <w:t>N</w:t>
      </w:r>
      <w:r w:rsidRPr="0017071E">
        <w:rPr>
          <w:b/>
          <w:bCs/>
          <w:color w:val="2E74B5" w:themeColor="accent5" w:themeShade="BF"/>
          <w:kern w:val="0"/>
          <w:sz w:val="24"/>
          <w:szCs w:val="24"/>
          <w:lang w:val="en-US"/>
        </w:rPr>
        <w:t xml:space="preserve">ote: </w:t>
      </w:r>
    </w:p>
    <w:p w14:paraId="4702DF0F" w14:textId="1D949F0D" w:rsidR="00680CC3" w:rsidRPr="0017071E" w:rsidRDefault="00680CC3" w:rsidP="00680CC3">
      <w:pPr>
        <w:spacing w:after="0"/>
        <w:rPr>
          <w:color w:val="2E74B5" w:themeColor="accent5" w:themeShade="BF"/>
          <w:sz w:val="24"/>
          <w:szCs w:val="24"/>
          <w:lang w:val="en-US"/>
        </w:rPr>
      </w:pPr>
      <w:r w:rsidRPr="0017071E">
        <w:rPr>
          <w:color w:val="2E74B5" w:themeColor="accent5" w:themeShade="BF"/>
          <w:sz w:val="24"/>
          <w:szCs w:val="24"/>
          <w:lang w:val="en-US"/>
        </w:rPr>
        <w:t xml:space="preserve">Below is the </w:t>
      </w:r>
      <w:r w:rsidRPr="0017071E">
        <w:rPr>
          <w:b/>
          <w:bCs/>
          <w:color w:val="2E74B5" w:themeColor="accent5" w:themeShade="BF"/>
          <w:sz w:val="24"/>
          <w:szCs w:val="24"/>
          <w:lang w:val="en-US"/>
        </w:rPr>
        <w:t>response</w:t>
      </w:r>
      <w:r w:rsidRPr="0017071E">
        <w:rPr>
          <w:color w:val="2E74B5" w:themeColor="accent5" w:themeShade="BF"/>
          <w:sz w:val="24"/>
          <w:szCs w:val="24"/>
          <w:lang w:val="en-US"/>
        </w:rPr>
        <w:t xml:space="preserve"> provided by Ms. </w:t>
      </w:r>
      <w:r w:rsidRPr="0017071E">
        <w:rPr>
          <w:b/>
          <w:bCs/>
          <w:color w:val="2E74B5" w:themeColor="accent5" w:themeShade="BF"/>
          <w:sz w:val="24"/>
          <w:szCs w:val="24"/>
          <w:lang w:val="en-US"/>
        </w:rPr>
        <w:t>Edyta DEMBY-SIWEK, President of the Polish Patent Office</w:t>
      </w:r>
      <w:r w:rsidRPr="0017071E">
        <w:rPr>
          <w:color w:val="2E74B5" w:themeColor="accent5" w:themeShade="BF"/>
          <w:sz w:val="24"/>
          <w:szCs w:val="24"/>
          <w:lang w:val="en-US"/>
        </w:rPr>
        <w:t>.</w:t>
      </w:r>
    </w:p>
    <w:bookmarkEnd w:id="43"/>
    <w:p w14:paraId="01DDB756" w14:textId="77777777" w:rsidR="0042124F" w:rsidRPr="00680CC3" w:rsidRDefault="0042124F" w:rsidP="0042124F">
      <w:pPr>
        <w:spacing w:after="0" w:line="240" w:lineRule="auto"/>
        <w:rPr>
          <w:b/>
          <w:bCs/>
          <w:sz w:val="10"/>
          <w:szCs w:val="10"/>
          <w:lang w:val="en-US"/>
        </w:rPr>
      </w:pPr>
    </w:p>
    <w:p w14:paraId="687C3A11" w14:textId="64DC1544" w:rsidR="0042124F" w:rsidRDefault="0042124F" w:rsidP="0042124F">
      <w:pPr>
        <w:spacing w:after="0" w:line="240" w:lineRule="auto"/>
        <w:rPr>
          <w:sz w:val="24"/>
          <w:szCs w:val="24"/>
        </w:rPr>
      </w:pPr>
      <w:r>
        <w:rPr>
          <w:b/>
          <w:bCs/>
          <w:sz w:val="24"/>
          <w:szCs w:val="24"/>
        </w:rPr>
        <w:t>P</w:t>
      </w:r>
      <w:r w:rsidRPr="00C05C33">
        <w:rPr>
          <w:b/>
          <w:bCs/>
          <w:sz w:val="24"/>
          <w:szCs w:val="24"/>
        </w:rPr>
        <w:t>ojęcia kluczowe</w:t>
      </w:r>
      <w:r w:rsidRPr="00FA6806">
        <w:rPr>
          <w:b/>
          <w:bCs/>
          <w:sz w:val="24"/>
          <w:szCs w:val="24"/>
        </w:rPr>
        <w:t xml:space="preserve">: </w:t>
      </w:r>
      <w:r w:rsidRPr="00E00E0B">
        <w:rPr>
          <w:sz w:val="24"/>
          <w:szCs w:val="24"/>
        </w:rPr>
        <w:t>LIST OTWARTY, PRAWO WŁASNOŚCI PRZEMYSŁOWEJ, PROJEKT UD263, ZAMKNIĘCIE PRAC</w:t>
      </w:r>
    </w:p>
    <w:p w14:paraId="3923B8CF" w14:textId="77777777" w:rsidR="00F2317A" w:rsidRPr="00F2317A" w:rsidRDefault="00F2317A" w:rsidP="0042124F">
      <w:pPr>
        <w:spacing w:after="0" w:line="240" w:lineRule="auto"/>
        <w:rPr>
          <w:sz w:val="10"/>
          <w:szCs w:val="10"/>
        </w:rPr>
      </w:pPr>
    </w:p>
    <w:bookmarkEnd w:id="44"/>
    <w:p w14:paraId="0A7FEB8D" w14:textId="2A75BC82" w:rsidR="0042124F" w:rsidRPr="00017FFD" w:rsidRDefault="0042124F" w:rsidP="0042124F">
      <w:pPr>
        <w:spacing w:after="0"/>
        <w:rPr>
          <w:color w:val="2E74B5" w:themeColor="accent5" w:themeShade="BF"/>
          <w:sz w:val="26"/>
          <w:szCs w:val="26"/>
        </w:rPr>
      </w:pPr>
      <w:r w:rsidRPr="00C05C33">
        <w:rPr>
          <w:b/>
          <w:bCs/>
          <w:sz w:val="24"/>
          <w:szCs w:val="24"/>
        </w:rPr>
        <w:t>Miejsce publikacji:</w:t>
      </w:r>
      <w:r w:rsidRPr="00C05C33">
        <w:rPr>
          <w:sz w:val="24"/>
          <w:szCs w:val="24"/>
        </w:rPr>
        <w:t xml:space="preserve"> </w:t>
      </w:r>
      <w:hyperlink r:id="rId60" w:history="1">
        <w:r w:rsidRPr="0017071E">
          <w:rPr>
            <w:rStyle w:val="Hipercze"/>
            <w:color w:val="2E74B5" w:themeColor="accent5" w:themeShade="BF"/>
            <w:sz w:val="24"/>
            <w:szCs w:val="24"/>
          </w:rPr>
          <w:t>https://stowi.pl/list-otwarty-dot-koniecznosci-potwierdzenia-zakonczenia-prac-nad-projektem-ustawy-prawo-wlasnosci-przemyslowej-ud-263/</w:t>
        </w:r>
      </w:hyperlink>
      <w:r w:rsidRPr="00017FFD">
        <w:rPr>
          <w:color w:val="2E74B5" w:themeColor="accent5" w:themeShade="BF"/>
        </w:rPr>
        <w:t xml:space="preserve"> </w:t>
      </w:r>
      <w:r w:rsidRPr="00017FFD">
        <w:rPr>
          <w:color w:val="2E74B5" w:themeColor="accent5" w:themeShade="BF"/>
        </w:rPr>
        <w:br/>
      </w:r>
    </w:p>
    <w:p w14:paraId="12990DC9" w14:textId="77777777" w:rsidR="00977386" w:rsidRPr="0042124F" w:rsidRDefault="00977386" w:rsidP="00977386">
      <w:pPr>
        <w:spacing w:after="0"/>
        <w:rPr>
          <w:b/>
          <w:bCs/>
        </w:rPr>
      </w:pPr>
    </w:p>
    <w:p w14:paraId="14B28222" w14:textId="77777777" w:rsidR="00977386" w:rsidRPr="00EC4F25" w:rsidRDefault="00977386" w:rsidP="00977386">
      <w:pPr>
        <w:spacing w:after="0" w:line="240" w:lineRule="auto"/>
        <w:jc w:val="center"/>
      </w:pPr>
      <w:r w:rsidRPr="00EC4F25">
        <w:rPr>
          <w:noProof/>
          <w:lang w:eastAsia="pl-PL"/>
        </w:rPr>
        <w:drawing>
          <wp:inline distT="0" distB="0" distL="0" distR="0" wp14:anchorId="57349063" wp14:editId="16941756">
            <wp:extent cx="4965700" cy="3384550"/>
            <wp:effectExtent l="0" t="0" r="6350" b="6350"/>
            <wp:docPr id="176593605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65700" cy="3384550"/>
                    </a:xfrm>
                    <a:prstGeom prst="rect">
                      <a:avLst/>
                    </a:prstGeom>
                    <a:noFill/>
                    <a:ln>
                      <a:noFill/>
                    </a:ln>
                  </pic:spPr>
                </pic:pic>
              </a:graphicData>
            </a:graphic>
          </wp:inline>
        </w:drawing>
      </w:r>
    </w:p>
    <w:p w14:paraId="1F3708FA" w14:textId="66EAA910" w:rsidR="00977386" w:rsidRPr="00EC4F25" w:rsidRDefault="00977386" w:rsidP="00977386">
      <w:pPr>
        <w:spacing w:after="0" w:line="240" w:lineRule="auto"/>
        <w:jc w:val="center"/>
      </w:pPr>
      <w:r w:rsidRPr="00EC4F25">
        <w:rPr>
          <w:noProof/>
          <w:lang w:eastAsia="pl-PL"/>
        </w:rPr>
        <w:lastRenderedPageBreak/>
        <w:drawing>
          <wp:inline distT="0" distB="0" distL="0" distR="0" wp14:anchorId="4A4FEAE6" wp14:editId="132D7578">
            <wp:extent cx="5812403" cy="6525096"/>
            <wp:effectExtent l="0" t="0" r="0" b="9525"/>
            <wp:docPr id="124656007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8275" cy="6531688"/>
                    </a:xfrm>
                    <a:prstGeom prst="rect">
                      <a:avLst/>
                    </a:prstGeom>
                    <a:noFill/>
                    <a:ln>
                      <a:noFill/>
                    </a:ln>
                  </pic:spPr>
                </pic:pic>
              </a:graphicData>
            </a:graphic>
          </wp:inline>
        </w:drawing>
      </w:r>
    </w:p>
    <w:p w14:paraId="7EE00D18" w14:textId="77777777" w:rsidR="00572CD9" w:rsidRDefault="00572CD9" w:rsidP="00977386">
      <w:pPr>
        <w:spacing w:after="0" w:line="240" w:lineRule="auto"/>
        <w:ind w:firstLine="567"/>
        <w:jc w:val="center"/>
      </w:pPr>
    </w:p>
    <w:p w14:paraId="5D1A8214" w14:textId="3481B50F" w:rsidR="002D0CD5" w:rsidRPr="001E4CF6" w:rsidRDefault="00994270" w:rsidP="002D0CD5">
      <w:pPr>
        <w:spacing w:after="0"/>
        <w:rPr>
          <w:kern w:val="0"/>
          <w:u w:val="single"/>
        </w:rPr>
      </w:pPr>
      <w:bookmarkStart w:id="45" w:name="_Hlk169373242"/>
      <w:bookmarkStart w:id="46" w:name="_Hlk169206723"/>
      <w:bookmarkEnd w:id="42"/>
      <w:r w:rsidRPr="00CF68CE">
        <w:rPr>
          <w:b/>
          <w:bCs/>
          <w:sz w:val="24"/>
          <w:szCs w:val="24"/>
        </w:rPr>
        <w:t>Uwaga Redakcji:</w:t>
      </w:r>
    </w:p>
    <w:p w14:paraId="5CFD22FD" w14:textId="165A0185" w:rsidR="002D0CD5" w:rsidRDefault="00D80D45" w:rsidP="002D0CD5">
      <w:pPr>
        <w:shd w:val="clear" w:color="auto" w:fill="FFFFFF"/>
        <w:spacing w:after="0" w:line="240" w:lineRule="auto"/>
        <w:jc w:val="both"/>
        <w:rPr>
          <w:sz w:val="24"/>
          <w:szCs w:val="24"/>
        </w:rPr>
      </w:pPr>
      <w:r>
        <w:rPr>
          <w:sz w:val="24"/>
          <w:szCs w:val="24"/>
        </w:rPr>
        <w:t xml:space="preserve">Gdy ktoś czyta tego rodzaju </w:t>
      </w:r>
      <w:r w:rsidR="002D0CD5" w:rsidRPr="00260E45">
        <w:rPr>
          <w:b/>
          <w:bCs/>
          <w:sz w:val="24"/>
          <w:szCs w:val="24"/>
        </w:rPr>
        <w:t>odpowiedź</w:t>
      </w:r>
      <w:r w:rsidR="002D0CD5">
        <w:rPr>
          <w:sz w:val="24"/>
          <w:szCs w:val="24"/>
        </w:rPr>
        <w:t xml:space="preserve"> </w:t>
      </w:r>
      <w:r>
        <w:rPr>
          <w:sz w:val="24"/>
          <w:szCs w:val="24"/>
        </w:rPr>
        <w:t xml:space="preserve">jak ta, </w:t>
      </w:r>
      <w:r w:rsidRPr="00260E45">
        <w:rPr>
          <w:b/>
          <w:bCs/>
          <w:sz w:val="24"/>
          <w:szCs w:val="24"/>
        </w:rPr>
        <w:t xml:space="preserve">której </w:t>
      </w:r>
      <w:r w:rsidR="002D0CD5" w:rsidRPr="00260E45">
        <w:rPr>
          <w:b/>
          <w:bCs/>
          <w:sz w:val="24"/>
          <w:szCs w:val="24"/>
        </w:rPr>
        <w:t xml:space="preserve">udzieliła </w:t>
      </w:r>
      <w:r w:rsidRPr="00260E45">
        <w:rPr>
          <w:b/>
          <w:bCs/>
          <w:sz w:val="24"/>
          <w:szCs w:val="24"/>
        </w:rPr>
        <w:t xml:space="preserve">Pani </w:t>
      </w:r>
      <w:r w:rsidR="002D0CD5" w:rsidRPr="00260E45">
        <w:rPr>
          <w:b/>
          <w:bCs/>
          <w:sz w:val="24"/>
          <w:szCs w:val="24"/>
        </w:rPr>
        <w:t>Edyta DEMBY-SIWEK</w:t>
      </w:r>
      <w:r w:rsidR="00CF68CE">
        <w:rPr>
          <w:sz w:val="24"/>
          <w:szCs w:val="24"/>
        </w:rPr>
        <w:t>, Prezes Urzędu Patentowego RP</w:t>
      </w:r>
      <w:r w:rsidR="002D0CD5">
        <w:rPr>
          <w:sz w:val="24"/>
          <w:szCs w:val="24"/>
        </w:rPr>
        <w:t xml:space="preserve"> </w:t>
      </w:r>
      <w:r>
        <w:rPr>
          <w:sz w:val="24"/>
          <w:szCs w:val="24"/>
        </w:rPr>
        <w:t>-</w:t>
      </w:r>
      <w:r w:rsidR="002D0CD5">
        <w:rPr>
          <w:sz w:val="24"/>
          <w:szCs w:val="24"/>
        </w:rPr>
        <w:t xml:space="preserve"> </w:t>
      </w:r>
      <w:r>
        <w:rPr>
          <w:sz w:val="24"/>
          <w:szCs w:val="24"/>
        </w:rPr>
        <w:t xml:space="preserve">nasuwa się w sposób słowo: </w:t>
      </w:r>
      <w:r w:rsidR="002D0CD5">
        <w:rPr>
          <w:sz w:val="24"/>
          <w:szCs w:val="24"/>
        </w:rPr>
        <w:t>„</w:t>
      </w:r>
      <w:r w:rsidR="002D0CD5" w:rsidRPr="002D0CD5">
        <w:rPr>
          <w:i/>
          <w:iCs/>
          <w:sz w:val="24"/>
          <w:szCs w:val="24"/>
        </w:rPr>
        <w:t>Pudło!</w:t>
      </w:r>
      <w:r w:rsidR="002D0CD5">
        <w:rPr>
          <w:sz w:val="24"/>
          <w:szCs w:val="24"/>
        </w:rPr>
        <w:t>”, ale my tego przez grzeczność nie powiemy.</w:t>
      </w:r>
    </w:p>
    <w:p w14:paraId="6B157156" w14:textId="77777777" w:rsidR="004C4B7E" w:rsidRPr="004C4B7E" w:rsidRDefault="004C4B7E" w:rsidP="002D0CD5">
      <w:pPr>
        <w:shd w:val="clear" w:color="auto" w:fill="FFFFFF"/>
        <w:spacing w:after="0" w:line="240" w:lineRule="auto"/>
        <w:jc w:val="both"/>
        <w:rPr>
          <w:b/>
          <w:bCs/>
          <w:kern w:val="0"/>
          <w:sz w:val="10"/>
          <w:szCs w:val="10"/>
        </w:rPr>
      </w:pPr>
    </w:p>
    <w:p w14:paraId="61E539BD" w14:textId="18371A92" w:rsidR="00E27C35" w:rsidRPr="00E27C35" w:rsidRDefault="005F601A" w:rsidP="00E27C35">
      <w:pPr>
        <w:shd w:val="clear" w:color="auto" w:fill="FFFFFF"/>
        <w:spacing w:after="0" w:line="240" w:lineRule="auto"/>
        <w:jc w:val="both"/>
        <w:rPr>
          <w:kern w:val="0"/>
          <w:sz w:val="24"/>
          <w:szCs w:val="24"/>
          <w:lang w:val="en-US"/>
        </w:rPr>
      </w:pPr>
      <w:r w:rsidRPr="008B5A97">
        <w:rPr>
          <w:rFonts w:cstheme="minorHAnsi"/>
          <w:b/>
          <w:bCs/>
          <w:kern w:val="0"/>
          <w:sz w:val="24"/>
          <w:szCs w:val="24"/>
          <w:lang w:val="en-US"/>
        </w:rPr>
        <w:t>Editorial</w:t>
      </w:r>
      <w:r w:rsidR="0047143F" w:rsidRPr="008B5A97">
        <w:rPr>
          <w:rFonts w:cstheme="minorHAnsi"/>
          <w:b/>
          <w:bCs/>
          <w:kern w:val="0"/>
          <w:sz w:val="24"/>
          <w:szCs w:val="24"/>
          <w:lang w:val="en-US"/>
        </w:rPr>
        <w:t xml:space="preserve"> </w:t>
      </w:r>
      <w:r w:rsidRPr="008B5A97">
        <w:rPr>
          <w:rFonts w:cstheme="minorHAnsi"/>
          <w:b/>
          <w:bCs/>
          <w:kern w:val="0"/>
          <w:sz w:val="24"/>
          <w:szCs w:val="24"/>
          <w:lang w:val="en-US"/>
        </w:rPr>
        <w:t>N</w:t>
      </w:r>
      <w:r w:rsidR="0047143F" w:rsidRPr="008B5A97">
        <w:rPr>
          <w:rFonts w:cstheme="minorHAnsi"/>
          <w:b/>
          <w:bCs/>
          <w:kern w:val="0"/>
          <w:sz w:val="24"/>
          <w:szCs w:val="24"/>
          <w:lang w:val="en-US"/>
        </w:rPr>
        <w:t>ote:</w:t>
      </w:r>
      <w:r w:rsidR="0042124F" w:rsidRPr="008B5A97">
        <w:rPr>
          <w:rFonts w:cstheme="minorHAnsi"/>
          <w:b/>
          <w:bCs/>
          <w:kern w:val="0"/>
          <w:sz w:val="24"/>
          <w:szCs w:val="24"/>
          <w:lang w:val="en-US"/>
        </w:rPr>
        <w:t xml:space="preserve"> </w:t>
      </w:r>
      <w:bookmarkEnd w:id="45"/>
    </w:p>
    <w:p w14:paraId="0AEBC9D8" w14:textId="215B9DFA" w:rsidR="005E7D3A" w:rsidRPr="0017071E" w:rsidRDefault="005F601A" w:rsidP="005E7D3A">
      <w:pPr>
        <w:spacing w:after="0"/>
        <w:rPr>
          <w:color w:val="2E74B5" w:themeColor="accent5" w:themeShade="BF"/>
          <w:shd w:val="clear" w:color="auto" w:fill="FFFFFF"/>
          <w:lang w:val="en-US"/>
        </w:rPr>
      </w:pPr>
      <w:r w:rsidRPr="0017071E">
        <w:rPr>
          <w:color w:val="2E74B5" w:themeColor="accent5" w:themeShade="BF"/>
          <w:shd w:val="clear" w:color="auto" w:fill="FFFFFF"/>
          <w:lang w:val="en-US"/>
        </w:rPr>
        <w:t xml:space="preserve">When someone reads a </w:t>
      </w:r>
      <w:r w:rsidRPr="0017071E">
        <w:rPr>
          <w:b/>
          <w:bCs/>
          <w:color w:val="2E74B5" w:themeColor="accent5" w:themeShade="BF"/>
          <w:shd w:val="clear" w:color="auto" w:fill="FFFFFF"/>
          <w:lang w:val="en-US"/>
        </w:rPr>
        <w:t>response</w:t>
      </w:r>
      <w:r w:rsidRPr="0017071E">
        <w:rPr>
          <w:color w:val="2E74B5" w:themeColor="accent5" w:themeShade="BF"/>
          <w:shd w:val="clear" w:color="auto" w:fill="FFFFFF"/>
          <w:lang w:val="en-US"/>
        </w:rPr>
        <w:t xml:space="preserve"> like the one given by </w:t>
      </w:r>
      <w:r w:rsidRPr="0017071E">
        <w:rPr>
          <w:b/>
          <w:bCs/>
          <w:color w:val="2E74B5" w:themeColor="accent5" w:themeShade="BF"/>
          <w:shd w:val="clear" w:color="auto" w:fill="FFFFFF"/>
          <w:lang w:val="en-US"/>
        </w:rPr>
        <w:t>Ms. Edyta DEMBY-SIWEK</w:t>
      </w:r>
      <w:r w:rsidRPr="0017071E">
        <w:rPr>
          <w:color w:val="2E74B5" w:themeColor="accent5" w:themeShade="BF"/>
          <w:shd w:val="clear" w:color="auto" w:fill="FFFFFF"/>
          <w:lang w:val="en-US"/>
        </w:rPr>
        <w:t>, President of the Polish Patent Office, the word "</w:t>
      </w:r>
      <w:r w:rsidRPr="0017071E">
        <w:rPr>
          <w:i/>
          <w:iCs/>
          <w:color w:val="2E74B5" w:themeColor="accent5" w:themeShade="BF"/>
          <w:shd w:val="clear" w:color="auto" w:fill="FFFFFF"/>
          <w:lang w:val="en-US"/>
        </w:rPr>
        <w:t>A miss!</w:t>
      </w:r>
      <w:r w:rsidRPr="0017071E">
        <w:rPr>
          <w:color w:val="2E74B5" w:themeColor="accent5" w:themeShade="BF"/>
          <w:shd w:val="clear" w:color="auto" w:fill="FFFFFF"/>
          <w:lang w:val="en-US"/>
        </w:rPr>
        <w:t>" comes to mind, but we will refrain from saying so out of courtesy.</w:t>
      </w:r>
      <w:r w:rsidR="00CF68B7" w:rsidRPr="0017071E">
        <w:rPr>
          <w:color w:val="2E74B5" w:themeColor="accent5" w:themeShade="BF"/>
          <w:shd w:val="clear" w:color="auto" w:fill="FFFFFF"/>
          <w:lang w:val="en-US"/>
        </w:rPr>
        <w:t> </w:t>
      </w:r>
      <w:r w:rsidR="00E27C35" w:rsidRPr="0017071E">
        <w:rPr>
          <w:color w:val="2E74B5" w:themeColor="accent5" w:themeShade="BF"/>
          <w:shd w:val="clear" w:color="auto" w:fill="FFFFFF"/>
          <w:lang w:val="en-US"/>
        </w:rPr>
        <w:t xml:space="preserve">  </w:t>
      </w:r>
    </w:p>
    <w:p w14:paraId="64FB974D" w14:textId="77777777" w:rsidR="005E7D3A" w:rsidRPr="008B5A97" w:rsidRDefault="005E7D3A" w:rsidP="005E7D3A">
      <w:pPr>
        <w:spacing w:after="0"/>
        <w:rPr>
          <w:b/>
          <w:bCs/>
          <w:sz w:val="10"/>
          <w:szCs w:val="10"/>
          <w:lang w:val="en-US"/>
        </w:rPr>
      </w:pPr>
    </w:p>
    <w:p w14:paraId="63560EFB" w14:textId="2C982CCE" w:rsidR="0047143F" w:rsidRPr="00017FFD" w:rsidRDefault="005E7D3A" w:rsidP="005E7D3A">
      <w:pPr>
        <w:spacing w:after="0"/>
        <w:rPr>
          <w:color w:val="2E74B5" w:themeColor="accent5" w:themeShade="BF"/>
          <w:shd w:val="clear" w:color="auto" w:fill="FFFFFF"/>
        </w:rPr>
      </w:pPr>
      <w:r w:rsidRPr="00C05C33">
        <w:rPr>
          <w:b/>
          <w:bCs/>
        </w:rPr>
        <w:t>Miejsce publikacji:</w:t>
      </w:r>
      <w:r w:rsidRPr="00C05C33">
        <w:t xml:space="preserve"> </w:t>
      </w:r>
      <w:r w:rsidRPr="00260E45">
        <w:rPr>
          <w:b/>
          <w:bCs/>
          <w:kern w:val="0"/>
        </w:rPr>
        <w:t xml:space="preserve"> </w:t>
      </w:r>
      <w:hyperlink r:id="rId63" w:history="1">
        <w:r w:rsidRPr="0017071E">
          <w:rPr>
            <w:rStyle w:val="Hipercze"/>
            <w:color w:val="2E74B5" w:themeColor="accent5" w:themeShade="BF"/>
            <w:kern w:val="0"/>
            <w:sz w:val="24"/>
            <w:szCs w:val="24"/>
          </w:rPr>
          <w:t>https://stowi.pl/list-otwarty-dot-koniecznosci-potwierdzenia-zakonczenia-prac-nad-projektem-ustawy-prawo-wlasnosci-przemyslowej-ud-263/</w:t>
        </w:r>
      </w:hyperlink>
    </w:p>
    <w:p w14:paraId="6FF58988" w14:textId="77777777" w:rsidR="00260E45" w:rsidRPr="005E7D3A" w:rsidRDefault="00260E45" w:rsidP="002D0CD5">
      <w:pPr>
        <w:shd w:val="clear" w:color="auto" w:fill="FFFFFF"/>
        <w:spacing w:after="0" w:line="240" w:lineRule="auto"/>
        <w:jc w:val="both"/>
        <w:rPr>
          <w:rFonts w:cstheme="minorHAnsi"/>
          <w:b/>
          <w:bCs/>
          <w:kern w:val="0"/>
          <w:sz w:val="10"/>
          <w:szCs w:val="10"/>
        </w:rPr>
      </w:pPr>
    </w:p>
    <w:bookmarkEnd w:id="46"/>
    <w:p w14:paraId="47231232" w14:textId="15527433" w:rsidR="00A95BF0" w:rsidRPr="00BA068C" w:rsidRDefault="003A6D3D" w:rsidP="00BA068C">
      <w:pPr>
        <w:ind w:left="3402"/>
        <w:rPr>
          <w:b/>
          <w:bCs/>
          <w:sz w:val="28"/>
          <w:szCs w:val="24"/>
        </w:rPr>
      </w:pPr>
      <w:r w:rsidRPr="00260E45">
        <w:rPr>
          <w:rFonts w:cstheme="minorHAnsi"/>
          <w:b/>
          <w:bCs/>
          <w:noProof/>
          <w:color w:val="C00000"/>
          <w:sz w:val="30"/>
          <w:szCs w:val="26"/>
          <w:lang w:eastAsia="pl-PL"/>
        </w:rPr>
        <w:br w:type="page"/>
      </w:r>
      <w:bookmarkStart w:id="47" w:name="_Hlk156410841"/>
      <w:r w:rsidR="00312AD3" w:rsidRPr="00EC4F25">
        <w:rPr>
          <w:rFonts w:cstheme="minorHAnsi"/>
          <w:b/>
          <w:bCs/>
          <w:noProof/>
          <w:color w:val="C00000"/>
          <w:sz w:val="30"/>
          <w:szCs w:val="26"/>
          <w:lang w:eastAsia="pl-PL"/>
        </w:rPr>
        <w:lastRenderedPageBreak/>
        <mc:AlternateContent>
          <mc:Choice Requires="wps">
            <w:drawing>
              <wp:anchor distT="0" distB="0" distL="114300" distR="114300" simplePos="0" relativeHeight="251825152" behindDoc="0" locked="0" layoutInCell="1" allowOverlap="1" wp14:anchorId="01504EB8" wp14:editId="4A20318A">
                <wp:simplePos x="0" y="0"/>
                <wp:positionH relativeFrom="margin">
                  <wp:posOffset>-99105</wp:posOffset>
                </wp:positionH>
                <wp:positionV relativeFrom="paragraph">
                  <wp:posOffset>-178465</wp:posOffset>
                </wp:positionV>
                <wp:extent cx="786809" cy="372745"/>
                <wp:effectExtent l="0" t="0" r="0" b="8255"/>
                <wp:wrapNone/>
                <wp:docPr id="1249170706" name="Pole tekstowe 1"/>
                <wp:cNvGraphicFramePr/>
                <a:graphic xmlns:a="http://schemas.openxmlformats.org/drawingml/2006/main">
                  <a:graphicData uri="http://schemas.microsoft.com/office/word/2010/wordprocessingShape">
                    <wps:wsp>
                      <wps:cNvSpPr txBox="1"/>
                      <wps:spPr>
                        <a:xfrm>
                          <a:off x="0" y="0"/>
                          <a:ext cx="786809" cy="372745"/>
                        </a:xfrm>
                        <a:prstGeom prst="rect">
                          <a:avLst/>
                        </a:prstGeom>
                        <a:solidFill>
                          <a:schemeClr val="lt1"/>
                        </a:solidFill>
                        <a:ln w="6350">
                          <a:noFill/>
                        </a:ln>
                      </wps:spPr>
                      <wps:txbx>
                        <w:txbxContent>
                          <w:p w14:paraId="277DF39D" w14:textId="1DAAD969" w:rsidR="00541DD6" w:rsidRPr="00FA4053" w:rsidRDefault="00A17C3C" w:rsidP="00312AD3">
                            <w:pPr>
                              <w:pStyle w:val="NumeracjaRozdzial"/>
                            </w:pPr>
                            <w:r>
                              <w:t>4</w:t>
                            </w:r>
                            <w:r w:rsidR="00541DD6" w:rsidRPr="00FA4053">
                              <w:t>.</w:t>
                            </w:r>
                          </w:p>
                          <w:p w14:paraId="25F793A5" w14:textId="77777777" w:rsidR="00541DD6" w:rsidRDefault="00541DD6" w:rsidP="00A95BF0">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04EB8" id="_x0000_s1032" type="#_x0000_t202" style="position:absolute;left:0;text-align:left;margin-left:-7.8pt;margin-top:-14.05pt;width:61.95pt;height:29.3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" fillcolor="white [3201]" stroked="f" strokeweight=".5pt">
                <v:textbox>
                  <w:txbxContent>
                    <w:p w14:paraId="277DF39D" w14:textId="1DAAD969" w:rsidR="00541DD6" w:rsidRPr="00FA4053" w:rsidRDefault="00A17C3C" w:rsidP="00312AD3">
                      <w:pPr>
                        <w:pStyle w:val="NumeracjaRozdzial"/>
                      </w:pPr>
                      <w:r>
                        <w:t>4</w:t>
                      </w:r>
                      <w:r w:rsidR="00541DD6" w:rsidRPr="00FA4053">
                        <w:t>.</w:t>
                      </w:r>
                    </w:p>
                    <w:p w14:paraId="25F793A5" w14:textId="77777777" w:rsidR="00541DD6" w:rsidRDefault="00541DD6" w:rsidP="00A95BF0">
                      <w:pPr>
                        <w:spacing w:after="144"/>
                      </w:pPr>
                    </w:p>
                  </w:txbxContent>
                </v:textbox>
                <w10:wrap anchorx="margin"/>
              </v:shape>
            </w:pict>
          </mc:Fallback>
        </mc:AlternateContent>
      </w:r>
      <w:r w:rsidR="00E76D44" w:rsidRPr="00260E45">
        <w:rPr>
          <w:rStyle w:val="Nagwek2Znak"/>
        </w:rPr>
        <w:br/>
      </w:r>
      <w:r w:rsidR="005E7D3A" w:rsidRPr="00E76D44">
        <w:rPr>
          <w:rFonts w:cstheme="minorHAnsi"/>
          <w:b/>
          <w:bCs/>
          <w:noProof/>
          <w:sz w:val="24"/>
          <w:szCs w:val="24"/>
        </w:rPr>
        <w:drawing>
          <wp:anchor distT="0" distB="0" distL="114300" distR="114300" simplePos="0" relativeHeight="251826176" behindDoc="0" locked="0" layoutInCell="1" allowOverlap="1" wp14:anchorId="724DEC3A" wp14:editId="2E995AF1">
            <wp:simplePos x="0" y="0"/>
            <wp:positionH relativeFrom="margin">
              <wp:posOffset>107343</wp:posOffset>
            </wp:positionH>
            <wp:positionV relativeFrom="paragraph">
              <wp:posOffset>211455</wp:posOffset>
            </wp:positionV>
            <wp:extent cx="1979930" cy="1079500"/>
            <wp:effectExtent l="0" t="0" r="1270" b="6350"/>
            <wp:wrapThrough wrapText="bothSides">
              <wp:wrapPolygon edited="0">
                <wp:start x="0" y="0"/>
                <wp:lineTo x="0" y="21346"/>
                <wp:lineTo x="21406" y="21346"/>
                <wp:lineTo x="21406" y="0"/>
                <wp:lineTo x="0" y="0"/>
              </wp:wrapPolygon>
            </wp:wrapThrough>
            <wp:docPr id="1249170707" name="Obraz 12" descr="Obraz zawierający tekst, papier, Produkty papierowe, lis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45161" name="Obraz 12" descr="Obraz zawierający tekst, papier, Produkty papierowe, list&#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993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4E9B6" w14:textId="77777777" w:rsidR="00BA068C" w:rsidRPr="00E76D44" w:rsidRDefault="00BA068C" w:rsidP="00BA068C">
      <w:pPr>
        <w:ind w:left="3402"/>
        <w:rPr>
          <w:rFonts w:cstheme="minorHAnsi"/>
          <w:b/>
          <w:bCs/>
          <w:noProof/>
          <w:sz w:val="24"/>
          <w:szCs w:val="24"/>
          <w:lang w:eastAsia="pl-PL"/>
        </w:rPr>
      </w:pPr>
      <w:bookmarkStart w:id="48" w:name="_Toc170117974"/>
      <w:r w:rsidRPr="00E76D44">
        <w:rPr>
          <w:rStyle w:val="Nagwek2Znak"/>
        </w:rPr>
        <w:t>LIST OTWARTY - zawierający prośbę o udostępnianie przez Urząd Patentowy RP informacji o udzielanych prawach</w:t>
      </w:r>
      <w:bookmarkEnd w:id="48"/>
    </w:p>
    <w:p w14:paraId="04D83BCA" w14:textId="558753CF" w:rsidR="00B237EA" w:rsidRPr="00EC4F25" w:rsidRDefault="00B237EA" w:rsidP="00B237EA">
      <w:pPr>
        <w:spacing w:after="0" w:line="240" w:lineRule="auto"/>
        <w:ind w:left="284" w:hanging="284"/>
        <w:jc w:val="center"/>
        <w:rPr>
          <w:b/>
          <w:bCs/>
          <w:sz w:val="26"/>
          <w:szCs w:val="26"/>
        </w:rPr>
      </w:pPr>
    </w:p>
    <w:p w14:paraId="4EAA8EB8" w14:textId="1F841681" w:rsidR="00B237EA" w:rsidRDefault="00B237EA" w:rsidP="00B237EA">
      <w:pPr>
        <w:spacing w:after="0" w:line="240" w:lineRule="auto"/>
        <w:rPr>
          <w:b/>
          <w:bCs/>
          <w:sz w:val="26"/>
          <w:szCs w:val="26"/>
        </w:rPr>
      </w:pPr>
      <w:bookmarkStart w:id="49" w:name="_Hlk159595740"/>
    </w:p>
    <w:tbl>
      <w:tblPr>
        <w:tblStyle w:val="Tabela-Siatka"/>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6"/>
        <w:gridCol w:w="7766"/>
        <w:gridCol w:w="861"/>
      </w:tblGrid>
      <w:tr w:rsidR="00FA78EE" w14:paraId="7AA1C4F5" w14:textId="77777777" w:rsidTr="00636601">
        <w:trPr>
          <w:gridAfter w:val="1"/>
          <w:wAfter w:w="861" w:type="dxa"/>
        </w:trPr>
        <w:tc>
          <w:tcPr>
            <w:tcW w:w="1296" w:type="dxa"/>
          </w:tcPr>
          <w:p w14:paraId="5FC58F81" w14:textId="77777777" w:rsidR="00FA78EE" w:rsidRPr="00EC4F25" w:rsidRDefault="00FA78EE" w:rsidP="00C346B4">
            <w:pPr>
              <w:rPr>
                <w:rFonts w:cstheme="minorHAnsi"/>
                <w:b/>
                <w:bCs/>
                <w:noProof/>
                <w:sz w:val="18"/>
                <w:szCs w:val="18"/>
              </w:rPr>
            </w:pPr>
          </w:p>
        </w:tc>
        <w:tc>
          <w:tcPr>
            <w:tcW w:w="7766" w:type="dxa"/>
          </w:tcPr>
          <w:p w14:paraId="391F2380" w14:textId="4B89DBD6" w:rsidR="00FA78EE" w:rsidRPr="006A1234" w:rsidRDefault="00FA78EE" w:rsidP="00C346B4">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FA78EE" w14:paraId="14AE2782" w14:textId="77777777" w:rsidTr="00636601">
        <w:tc>
          <w:tcPr>
            <w:tcW w:w="1296" w:type="dxa"/>
          </w:tcPr>
          <w:p w14:paraId="63C86F9C" w14:textId="77777777" w:rsidR="007330B7" w:rsidRPr="007330B7" w:rsidRDefault="007330B7" w:rsidP="00C346B4">
            <w:pPr>
              <w:rPr>
                <w:noProof/>
                <w:sz w:val="6"/>
                <w:szCs w:val="6"/>
              </w:rPr>
            </w:pPr>
          </w:p>
          <w:p w14:paraId="2B0DD494" w14:textId="3CB0C027" w:rsidR="00FA78EE" w:rsidRDefault="00D011AA" w:rsidP="00C346B4">
            <w:pPr>
              <w:rPr>
                <w:rFonts w:cstheme="minorHAnsi"/>
                <w:b/>
                <w:bCs/>
                <w:color w:val="000000"/>
                <w:sz w:val="26"/>
                <w:szCs w:val="26"/>
              </w:rPr>
            </w:pPr>
            <w:r>
              <w:rPr>
                <w:noProof/>
              </w:rPr>
              <w:drawing>
                <wp:inline distT="0" distB="0" distL="0" distR="0" wp14:anchorId="19A86AFB" wp14:editId="092F7DE8">
                  <wp:extent cx="662400" cy="900000"/>
                  <wp:effectExtent l="0" t="0" r="4445" b="0"/>
                  <wp:docPr id="556194120"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4120"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627" w:type="dxa"/>
            <w:gridSpan w:val="2"/>
          </w:tcPr>
          <w:p w14:paraId="4CA1090E" w14:textId="1CDD91F3" w:rsidR="00FA78EE" w:rsidRPr="00484B4E" w:rsidRDefault="00FA78EE" w:rsidP="00C346B4">
            <w:pPr>
              <w:rPr>
                <w:rFonts w:asciiTheme="minorHAnsi" w:hAnsiTheme="minorHAnsi" w:cstheme="minorHAnsi"/>
                <w:bCs/>
                <w:color w:val="000000"/>
                <w:sz w:val="22"/>
                <w:szCs w:val="22"/>
              </w:rPr>
            </w:pPr>
            <w:r w:rsidRPr="00484B4E">
              <w:rPr>
                <w:rFonts w:asciiTheme="minorHAnsi" w:hAnsiTheme="minorHAnsi" w:cstheme="minorHAnsi"/>
                <w:bCs/>
                <w:color w:val="000000"/>
                <w:sz w:val="22"/>
                <w:szCs w:val="22"/>
              </w:rPr>
              <w:t>Marek BESLER</w:t>
            </w:r>
          </w:p>
          <w:p w14:paraId="4C57AB15" w14:textId="6B031EBF" w:rsidR="00C03056" w:rsidRPr="00C03056" w:rsidRDefault="00123357" w:rsidP="00C03056">
            <w:pPr>
              <w:pStyle w:val="Akapitzlist"/>
              <w:numPr>
                <w:ilvl w:val="0"/>
                <w:numId w:val="47"/>
              </w:numPr>
              <w:ind w:left="320" w:hanging="334"/>
              <w:rPr>
                <w:rFonts w:eastAsia="Times New Roman" w:cstheme="minorHAnsi"/>
                <w:bCs/>
                <w:color w:val="000000"/>
              </w:rPr>
            </w:pPr>
            <w:r>
              <w:rPr>
                <w:rFonts w:eastAsia="Times New Roman" w:cstheme="minorHAnsi"/>
                <w:bCs/>
                <w:color w:val="000000"/>
              </w:rPr>
              <w:t>współorzekający w Komisji Odwoławczej przy Urzędzie Patentowym w sprawach własności przemysłowej, składom której przewodniczyli sędziowie Sądu Najwyższego, w latach 1979 -2001</w:t>
            </w:r>
            <w:r w:rsidR="00C03056" w:rsidRPr="00C03056">
              <w:rPr>
                <w:rFonts w:eastAsia="Times New Roman" w:cstheme="minorHAnsi"/>
                <w:bCs/>
                <w:color w:val="000000"/>
              </w:rPr>
              <w:t xml:space="preserve"> </w:t>
            </w:r>
          </w:p>
          <w:p w14:paraId="7023084A" w14:textId="6716F7BE" w:rsidR="00FA78EE" w:rsidRPr="00C03056" w:rsidRDefault="00FA78EE" w:rsidP="001F6BE3">
            <w:pPr>
              <w:pStyle w:val="Akapitzlist"/>
              <w:numPr>
                <w:ilvl w:val="0"/>
                <w:numId w:val="47"/>
              </w:numPr>
              <w:ind w:left="297" w:hanging="283"/>
              <w:rPr>
                <w:rFonts w:eastAsia="Times New Roman" w:cstheme="minorHAnsi"/>
                <w:bCs/>
                <w:color w:val="000000"/>
              </w:rPr>
            </w:pPr>
            <w:r w:rsidRPr="00C03056">
              <w:rPr>
                <w:rFonts w:eastAsia="Times New Roman" w:cstheme="minorHAnsi"/>
                <w:bCs/>
                <w:color w:val="000000"/>
              </w:rPr>
              <w:t>rzecznik patentowy nr 1571</w:t>
            </w:r>
          </w:p>
          <w:p w14:paraId="0B01E6BD" w14:textId="77777777" w:rsidR="00FA78EE" w:rsidRPr="00C03056" w:rsidRDefault="00FA78EE" w:rsidP="001F6BE3">
            <w:pPr>
              <w:pStyle w:val="Akapitzlist"/>
              <w:numPr>
                <w:ilvl w:val="0"/>
                <w:numId w:val="47"/>
              </w:numPr>
              <w:ind w:left="297" w:hanging="283"/>
              <w:rPr>
                <w:rFonts w:eastAsia="Times New Roman" w:cstheme="minorHAnsi"/>
                <w:bCs/>
                <w:color w:val="000000"/>
              </w:rPr>
            </w:pPr>
            <w:r w:rsidRPr="00C03056">
              <w:rPr>
                <w:rFonts w:eastAsia="Times New Roman" w:cstheme="minorHAnsi"/>
                <w:bCs/>
                <w:color w:val="000000"/>
              </w:rPr>
              <w:t>profesjonalny pełnomocnik przed EUIPO (</w:t>
            </w:r>
            <w:r w:rsidRPr="00C03056">
              <w:rPr>
                <w:rFonts w:eastAsia="Times New Roman" w:cstheme="minorHAnsi"/>
                <w:bCs/>
                <w:i/>
                <w:color w:val="000000"/>
              </w:rPr>
              <w:t>European Union Intellectual Property Office</w:t>
            </w:r>
            <w:r w:rsidRPr="00C03056">
              <w:rPr>
                <w:rFonts w:eastAsia="Times New Roman" w:cstheme="minorHAnsi"/>
                <w:bCs/>
                <w:color w:val="000000"/>
              </w:rPr>
              <w:t xml:space="preserve"> – Urząd Unii Europejskiej ds. Własności Intelektualnej), nr 27177</w:t>
            </w:r>
          </w:p>
          <w:p w14:paraId="62FD8AD8" w14:textId="77777777" w:rsidR="00FA78EE" w:rsidRPr="00C03056" w:rsidRDefault="00FA78EE" w:rsidP="001F6BE3">
            <w:pPr>
              <w:pStyle w:val="Akapitzlist"/>
              <w:numPr>
                <w:ilvl w:val="0"/>
                <w:numId w:val="47"/>
              </w:numPr>
              <w:ind w:left="297" w:hanging="283"/>
              <w:rPr>
                <w:rFonts w:eastAsia="Times New Roman" w:cstheme="minorHAnsi"/>
                <w:bCs/>
                <w:color w:val="000000"/>
              </w:rPr>
            </w:pPr>
            <w:r w:rsidRPr="00C03056">
              <w:rPr>
                <w:rFonts w:eastAsia="Times New Roman" w:cstheme="minorHAnsi"/>
                <w:bCs/>
                <w:color w:val="000000"/>
              </w:rPr>
              <w:t>Europejski Rzecznik Patentowy nr 138820</w:t>
            </w:r>
          </w:p>
          <w:p w14:paraId="33C4646D" w14:textId="77777777" w:rsidR="00FA78EE" w:rsidRPr="00C03056" w:rsidRDefault="00FA78EE" w:rsidP="001F6BE3">
            <w:pPr>
              <w:pStyle w:val="Akapitzlist"/>
              <w:numPr>
                <w:ilvl w:val="0"/>
                <w:numId w:val="47"/>
              </w:numPr>
              <w:ind w:left="297" w:hanging="283"/>
              <w:rPr>
                <w:rFonts w:eastAsia="Times New Roman" w:cstheme="minorHAnsi"/>
                <w:bCs/>
                <w:color w:val="000000"/>
              </w:rPr>
            </w:pPr>
            <w:r w:rsidRPr="00C03056">
              <w:rPr>
                <w:rFonts w:eastAsia="Times New Roman" w:cstheme="minorHAnsi"/>
                <w:bCs/>
                <w:color w:val="000000"/>
              </w:rPr>
              <w:t>Prezes Polskiej Izby Rzeczników Patentowych w latach 2002-2005</w:t>
            </w:r>
          </w:p>
          <w:p w14:paraId="66ECD965" w14:textId="77777777" w:rsidR="00D011AA" w:rsidRPr="00C03056" w:rsidRDefault="00D011AA" w:rsidP="001F6BE3">
            <w:pPr>
              <w:pStyle w:val="Akapitzlist"/>
              <w:numPr>
                <w:ilvl w:val="0"/>
                <w:numId w:val="47"/>
              </w:numPr>
              <w:ind w:left="297" w:hanging="283"/>
              <w:rPr>
                <w:rFonts w:eastAsia="Times New Roman" w:cstheme="minorHAnsi"/>
                <w:bCs/>
                <w:color w:val="000000"/>
              </w:rPr>
            </w:pPr>
            <w:r w:rsidRPr="00C03056">
              <w:rPr>
                <w:rFonts w:eastAsia="Times New Roman" w:cstheme="minorHAnsi"/>
                <w:bCs/>
                <w:color w:val="000000"/>
              </w:rPr>
              <w:t>Wiceprezes Zarządu StoWI od 2023 r.</w:t>
            </w:r>
          </w:p>
          <w:p w14:paraId="275CE10B" w14:textId="094457AE" w:rsidR="00D011AA" w:rsidRPr="00C03056" w:rsidRDefault="00D011AA" w:rsidP="001F6BE3">
            <w:pPr>
              <w:pStyle w:val="Akapitzlist"/>
              <w:numPr>
                <w:ilvl w:val="0"/>
                <w:numId w:val="47"/>
              </w:numPr>
              <w:ind w:left="297" w:hanging="283"/>
              <w:rPr>
                <w:rFonts w:eastAsia="Times New Roman" w:cstheme="minorHAnsi"/>
                <w:bCs/>
                <w:color w:val="000000"/>
              </w:rPr>
            </w:pPr>
            <w:r w:rsidRPr="00C03056">
              <w:rPr>
                <w:rFonts w:eastAsia="Times New Roman" w:cstheme="minorHAnsi"/>
                <w:bCs/>
                <w:color w:val="000000"/>
              </w:rPr>
              <w:t>Redaktor naczelny Kwartalnika „THINK-TANK WSZY</w:t>
            </w:r>
            <w:r w:rsidR="00670256" w:rsidRPr="00C03056">
              <w:rPr>
                <w:rFonts w:eastAsia="Times New Roman" w:cstheme="minorHAnsi"/>
                <w:bCs/>
                <w:color w:val="000000"/>
              </w:rPr>
              <w:t>S</w:t>
            </w:r>
            <w:r w:rsidRPr="00C03056">
              <w:rPr>
                <w:rFonts w:eastAsia="Times New Roman" w:cstheme="minorHAnsi"/>
                <w:bCs/>
                <w:color w:val="000000"/>
              </w:rPr>
              <w:t>TKO o IP w PL” od listopada 2023 r.</w:t>
            </w:r>
          </w:p>
          <w:p w14:paraId="0A5C5ED1" w14:textId="77777777" w:rsidR="00FA78EE" w:rsidRPr="00755F82" w:rsidRDefault="00FA78EE" w:rsidP="007330B7">
            <w:pPr>
              <w:rPr>
                <w:rFonts w:cstheme="minorHAnsi"/>
                <w:bCs/>
                <w:color w:val="000000"/>
                <w:sz w:val="6"/>
                <w:szCs w:val="6"/>
              </w:rPr>
            </w:pPr>
          </w:p>
        </w:tc>
      </w:tr>
      <w:tr w:rsidR="00FA78EE" w14:paraId="45903D39" w14:textId="77777777" w:rsidTr="00636601">
        <w:tc>
          <w:tcPr>
            <w:tcW w:w="1296" w:type="dxa"/>
          </w:tcPr>
          <w:p w14:paraId="43B7CFF9" w14:textId="77777777" w:rsidR="007330B7" w:rsidRPr="007330B7" w:rsidRDefault="007330B7" w:rsidP="00C346B4">
            <w:pPr>
              <w:rPr>
                <w:rFonts w:cstheme="minorHAnsi"/>
                <w:b/>
                <w:bCs/>
                <w:noProof/>
                <w:sz w:val="6"/>
                <w:szCs w:val="6"/>
              </w:rPr>
            </w:pPr>
          </w:p>
          <w:p w14:paraId="782E66D0" w14:textId="7F3C3485" w:rsidR="00FA78EE" w:rsidRPr="00EC4F25" w:rsidRDefault="007330B7" w:rsidP="00C346B4">
            <w:pPr>
              <w:rPr>
                <w:rFonts w:cstheme="minorHAnsi"/>
                <w:b/>
                <w:bCs/>
                <w:noProof/>
                <w:sz w:val="18"/>
                <w:szCs w:val="18"/>
              </w:rPr>
            </w:pPr>
            <w:r>
              <w:rPr>
                <w:rFonts w:cstheme="minorHAnsi"/>
                <w:b/>
                <w:bCs/>
                <w:noProof/>
                <w:sz w:val="18"/>
                <w:szCs w:val="18"/>
              </w:rPr>
              <w:drawing>
                <wp:inline distT="0" distB="0" distL="0" distR="0" wp14:anchorId="5A2A0487" wp14:editId="01FD8852">
                  <wp:extent cx="666000" cy="900000"/>
                  <wp:effectExtent l="0" t="0" r="1270" b="0"/>
                  <wp:docPr id="166558537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85372" name="Obraz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66000" cy="900000"/>
                          </a:xfrm>
                          <a:prstGeom prst="rect">
                            <a:avLst/>
                          </a:prstGeom>
                          <a:noFill/>
                          <a:ln>
                            <a:noFill/>
                          </a:ln>
                        </pic:spPr>
                      </pic:pic>
                    </a:graphicData>
                  </a:graphic>
                </wp:inline>
              </w:drawing>
            </w:r>
          </w:p>
        </w:tc>
        <w:tc>
          <w:tcPr>
            <w:tcW w:w="8627" w:type="dxa"/>
            <w:gridSpan w:val="2"/>
          </w:tcPr>
          <w:p w14:paraId="272B296F" w14:textId="77777777" w:rsidR="00FA78EE" w:rsidRPr="00C03056" w:rsidRDefault="00FA78EE" w:rsidP="00C346B4">
            <w:pPr>
              <w:rPr>
                <w:rFonts w:asciiTheme="minorHAnsi" w:hAnsiTheme="minorHAnsi" w:cstheme="minorHAnsi"/>
                <w:bCs/>
                <w:color w:val="000000"/>
              </w:rPr>
            </w:pPr>
            <w:r w:rsidRPr="00C03056">
              <w:rPr>
                <w:rFonts w:asciiTheme="minorHAnsi" w:hAnsiTheme="minorHAnsi" w:cstheme="minorHAnsi"/>
                <w:bCs/>
                <w:color w:val="000000"/>
              </w:rPr>
              <w:t xml:space="preserve">Krystyna KOZŁOWSKA </w:t>
            </w:r>
          </w:p>
          <w:p w14:paraId="3DE14225" w14:textId="77777777" w:rsidR="00FA78EE" w:rsidRPr="00C03056" w:rsidRDefault="00FA78EE" w:rsidP="001F6BE3">
            <w:pPr>
              <w:pStyle w:val="Akapitzlist"/>
              <w:numPr>
                <w:ilvl w:val="0"/>
                <w:numId w:val="50"/>
              </w:numPr>
              <w:ind w:left="297" w:hanging="283"/>
              <w:rPr>
                <w:rFonts w:eastAsia="Times New Roman" w:cstheme="minorHAnsi"/>
                <w:bCs/>
                <w:color w:val="000000"/>
              </w:rPr>
            </w:pPr>
            <w:r w:rsidRPr="00C03056">
              <w:rPr>
                <w:rFonts w:eastAsia="Times New Roman" w:cstheme="minorHAnsi"/>
                <w:bCs/>
                <w:color w:val="000000"/>
              </w:rPr>
              <w:t>rzecznik patentowy</w:t>
            </w:r>
          </w:p>
          <w:p w14:paraId="05B34F79" w14:textId="77777777" w:rsidR="00FA78EE" w:rsidRPr="00C03056" w:rsidRDefault="00FA78EE" w:rsidP="001F6BE3">
            <w:pPr>
              <w:pStyle w:val="Akapitzlist"/>
              <w:numPr>
                <w:ilvl w:val="0"/>
                <w:numId w:val="50"/>
              </w:numPr>
              <w:ind w:left="297" w:hanging="283"/>
              <w:rPr>
                <w:rFonts w:eastAsia="Times New Roman" w:cstheme="minorHAnsi"/>
                <w:bCs/>
                <w:color w:val="000000"/>
              </w:rPr>
            </w:pPr>
            <w:r w:rsidRPr="00C03056">
              <w:rPr>
                <w:rFonts w:eastAsia="Times New Roman" w:cstheme="minorHAnsi"/>
                <w:bCs/>
                <w:color w:val="000000"/>
              </w:rPr>
              <w:t>współzałożyciel Polskiej Izby Rzeczników Prezes Polskiej Izby Rzeczników Patentowych</w:t>
            </w:r>
          </w:p>
          <w:p w14:paraId="4AFC9A1E" w14:textId="77777777" w:rsidR="00FA78EE" w:rsidRPr="00C03056" w:rsidRDefault="00FA78EE" w:rsidP="001F6BE3">
            <w:pPr>
              <w:pStyle w:val="Akapitzlist"/>
              <w:numPr>
                <w:ilvl w:val="0"/>
                <w:numId w:val="50"/>
              </w:numPr>
              <w:ind w:left="297" w:hanging="283"/>
              <w:rPr>
                <w:rFonts w:eastAsia="Times New Roman" w:cstheme="minorHAnsi"/>
                <w:bCs/>
                <w:color w:val="000000"/>
              </w:rPr>
            </w:pPr>
            <w:r w:rsidRPr="00C03056">
              <w:rPr>
                <w:rFonts w:eastAsia="Times New Roman" w:cstheme="minorHAnsi"/>
                <w:bCs/>
                <w:color w:val="000000"/>
              </w:rPr>
              <w:t>uczestnik I Krajowego Zjazdu w dniu 28.08.1993 r.</w:t>
            </w:r>
          </w:p>
          <w:p w14:paraId="6A6127BB" w14:textId="77777777" w:rsidR="00FA78EE" w:rsidRPr="00C03056" w:rsidRDefault="00FA78EE" w:rsidP="001F6BE3">
            <w:pPr>
              <w:pStyle w:val="Akapitzlist"/>
              <w:numPr>
                <w:ilvl w:val="0"/>
                <w:numId w:val="50"/>
              </w:numPr>
              <w:ind w:left="297" w:hanging="283"/>
              <w:rPr>
                <w:rFonts w:ascii="Times New Roman" w:eastAsia="Times New Roman" w:hAnsi="Times New Roman" w:cstheme="minorHAnsi"/>
                <w:bCs/>
                <w:color w:val="000000"/>
              </w:rPr>
            </w:pPr>
            <w:r w:rsidRPr="00C03056">
              <w:rPr>
                <w:rFonts w:eastAsia="Times New Roman" w:cstheme="minorHAnsi"/>
                <w:bCs/>
                <w:color w:val="000000"/>
              </w:rPr>
              <w:t>Dziekan Okręgu Dolnośląskiego 1997 – 5.10.2021</w:t>
            </w:r>
          </w:p>
          <w:p w14:paraId="23FB7142" w14:textId="77777777" w:rsidR="00FA78EE" w:rsidRPr="00755F82" w:rsidRDefault="00FA78EE" w:rsidP="00C258D4">
            <w:pPr>
              <w:ind w:left="297" w:hanging="283"/>
              <w:rPr>
                <w:rFonts w:cstheme="minorHAnsi"/>
                <w:bCs/>
                <w:color w:val="000000"/>
                <w:sz w:val="6"/>
                <w:szCs w:val="6"/>
              </w:rPr>
            </w:pPr>
          </w:p>
          <w:p w14:paraId="57B13D79" w14:textId="5CE2A521" w:rsidR="00FA78EE" w:rsidRPr="00636601" w:rsidRDefault="00FA78EE" w:rsidP="007330B7">
            <w:pPr>
              <w:rPr>
                <w:rFonts w:cstheme="minorHAnsi"/>
                <w:bCs/>
                <w:color w:val="000000"/>
                <w:sz w:val="6"/>
                <w:szCs w:val="6"/>
              </w:rPr>
            </w:pPr>
          </w:p>
        </w:tc>
      </w:tr>
      <w:tr w:rsidR="00FA78EE" w14:paraId="570FD03C" w14:textId="77777777" w:rsidTr="00636601">
        <w:tc>
          <w:tcPr>
            <w:tcW w:w="1296" w:type="dxa"/>
          </w:tcPr>
          <w:p w14:paraId="3EB525ED" w14:textId="77777777" w:rsidR="007330B7" w:rsidRPr="007330B7" w:rsidRDefault="007330B7" w:rsidP="00C346B4">
            <w:pPr>
              <w:rPr>
                <w:noProof/>
                <w:sz w:val="6"/>
                <w:szCs w:val="6"/>
              </w:rPr>
            </w:pPr>
          </w:p>
          <w:p w14:paraId="49898D9F" w14:textId="2777EC68" w:rsidR="00FA78EE" w:rsidRPr="00EC4F25" w:rsidRDefault="007330B7" w:rsidP="00C346B4">
            <w:pPr>
              <w:rPr>
                <w:rFonts w:cstheme="minorHAnsi"/>
                <w:b/>
                <w:bCs/>
                <w:noProof/>
                <w:sz w:val="18"/>
                <w:szCs w:val="18"/>
              </w:rPr>
            </w:pPr>
            <w:r>
              <w:rPr>
                <w:noProof/>
              </w:rPr>
              <w:drawing>
                <wp:inline distT="0" distB="0" distL="0" distR="0" wp14:anchorId="2E113736" wp14:editId="1A2906B4">
                  <wp:extent cx="662400" cy="900000"/>
                  <wp:effectExtent l="0" t="0" r="4445" b="0"/>
                  <wp:docPr id="811193689"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93689"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627" w:type="dxa"/>
            <w:gridSpan w:val="2"/>
          </w:tcPr>
          <w:p w14:paraId="3D0AE567" w14:textId="77777777" w:rsidR="00FA78EE" w:rsidRPr="00C03056" w:rsidRDefault="00FA78EE" w:rsidP="00C346B4">
            <w:pPr>
              <w:rPr>
                <w:rFonts w:asciiTheme="minorHAnsi" w:hAnsiTheme="minorHAnsi" w:cstheme="minorHAnsi"/>
                <w:bCs/>
                <w:color w:val="000000"/>
              </w:rPr>
            </w:pPr>
            <w:r w:rsidRPr="00C03056">
              <w:rPr>
                <w:rFonts w:asciiTheme="minorHAnsi" w:hAnsiTheme="minorHAnsi" w:cstheme="minorHAnsi"/>
                <w:bCs/>
                <w:color w:val="000000"/>
              </w:rPr>
              <w:t xml:space="preserve">Ryszard MATUSIAK </w:t>
            </w:r>
          </w:p>
          <w:p w14:paraId="43A76771"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rzecznik patentowy w latach 1978-97</w:t>
            </w:r>
          </w:p>
          <w:p w14:paraId="08382A01"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 xml:space="preserve">współzałożyciel Polskiej Izby Rzeczników Patentowych </w:t>
            </w:r>
          </w:p>
          <w:p w14:paraId="6DB02B92"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uczestnik I Krajowego Zjazdu w dniu 28.08.1993 r.</w:t>
            </w:r>
          </w:p>
          <w:p w14:paraId="1A847D9F"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Przewodniczący Głównej Komisji Rewizyjnej SIMP 28.06.2002-26.11.2022</w:t>
            </w:r>
          </w:p>
          <w:p w14:paraId="67D400B8"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 xml:space="preserve">Ekspert Urzędu Marszałkowskiego Województwa Wielkopolskiego </w:t>
            </w:r>
          </w:p>
          <w:p w14:paraId="4B2C8961"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 xml:space="preserve">Wpisany przez Urząd Marszałkowski Województwa Wielkopolskiego na Listę Krajową Ekspertów </w:t>
            </w:r>
          </w:p>
          <w:p w14:paraId="21707432" w14:textId="77777777" w:rsidR="00AB5E62"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 xml:space="preserve">Przewodniczący </w:t>
            </w:r>
            <w:proofErr w:type="spellStart"/>
            <w:r w:rsidRPr="00C03056">
              <w:rPr>
                <w:rFonts w:eastAsia="Times New Roman" w:cs="Calibri"/>
                <w:bCs/>
                <w:color w:val="000000"/>
              </w:rPr>
              <w:t>WKTiR</w:t>
            </w:r>
            <w:proofErr w:type="spellEnd"/>
            <w:r w:rsidRPr="00C03056">
              <w:rPr>
                <w:rFonts w:eastAsia="Times New Roman" w:cs="Calibri"/>
                <w:bCs/>
                <w:color w:val="000000"/>
              </w:rPr>
              <w:t xml:space="preserve"> w Poznaniu (1981-1985) </w:t>
            </w:r>
          </w:p>
          <w:p w14:paraId="44541EE1" w14:textId="77777777" w:rsidR="00FA78EE" w:rsidRPr="00C03056" w:rsidRDefault="00AB5E62" w:rsidP="00355D81">
            <w:pPr>
              <w:pStyle w:val="Akapitzlist"/>
              <w:numPr>
                <w:ilvl w:val="0"/>
                <w:numId w:val="58"/>
              </w:numPr>
              <w:ind w:left="317" w:hanging="283"/>
              <w:rPr>
                <w:rFonts w:eastAsia="Times New Roman" w:cs="Calibri"/>
                <w:bCs/>
                <w:color w:val="000000"/>
              </w:rPr>
            </w:pPr>
            <w:r w:rsidRPr="00C03056">
              <w:rPr>
                <w:rFonts w:eastAsia="Times New Roman" w:cs="Calibri"/>
                <w:bCs/>
                <w:color w:val="000000"/>
              </w:rPr>
              <w:t>Rzeczoznawca SIMP</w:t>
            </w:r>
          </w:p>
          <w:p w14:paraId="5A7F0C82" w14:textId="3DDEA519" w:rsidR="00AB5E62" w:rsidRPr="00755F82" w:rsidRDefault="00AB5E62" w:rsidP="00AB5E62">
            <w:pPr>
              <w:pStyle w:val="Akapitzlist"/>
              <w:ind w:left="317"/>
              <w:rPr>
                <w:rFonts w:asciiTheme="majorHAnsi" w:eastAsia="Times New Roman" w:hAnsiTheme="majorHAnsi" w:cstheme="majorHAnsi"/>
                <w:bCs/>
                <w:color w:val="000000"/>
                <w:sz w:val="6"/>
                <w:szCs w:val="6"/>
              </w:rPr>
            </w:pPr>
          </w:p>
        </w:tc>
      </w:tr>
      <w:tr w:rsidR="00FA78EE" w14:paraId="0B0A32A6" w14:textId="77777777" w:rsidTr="00636601">
        <w:tc>
          <w:tcPr>
            <w:tcW w:w="1296" w:type="dxa"/>
          </w:tcPr>
          <w:p w14:paraId="58C43FEE" w14:textId="77777777" w:rsidR="00C258D4" w:rsidRPr="00C258D4" w:rsidRDefault="00C258D4" w:rsidP="00C346B4">
            <w:pPr>
              <w:tabs>
                <w:tab w:val="left" w:pos="2261"/>
              </w:tabs>
              <w:rPr>
                <w:noProof/>
                <w:sz w:val="6"/>
                <w:szCs w:val="6"/>
              </w:rPr>
            </w:pPr>
          </w:p>
          <w:p w14:paraId="14B4750D" w14:textId="21DDE5C3" w:rsidR="00FA78EE" w:rsidRDefault="007330B7" w:rsidP="00C346B4">
            <w:pPr>
              <w:tabs>
                <w:tab w:val="left" w:pos="2261"/>
              </w:tabs>
              <w:rPr>
                <w:rFonts w:cstheme="minorHAnsi"/>
                <w:b/>
                <w:bCs/>
                <w:color w:val="000000"/>
                <w:sz w:val="26"/>
                <w:szCs w:val="26"/>
              </w:rPr>
            </w:pPr>
            <w:r>
              <w:rPr>
                <w:noProof/>
              </w:rPr>
              <w:drawing>
                <wp:inline distT="0" distB="0" distL="0" distR="0" wp14:anchorId="1A5BE797" wp14:editId="52D04D58">
                  <wp:extent cx="658800" cy="900000"/>
                  <wp:effectExtent l="0" t="0" r="8255" b="0"/>
                  <wp:docPr id="1376500081"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00081"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627" w:type="dxa"/>
            <w:gridSpan w:val="2"/>
          </w:tcPr>
          <w:p w14:paraId="64D64D48" w14:textId="77777777" w:rsidR="00FA78EE" w:rsidRPr="00C03056" w:rsidRDefault="00FA78EE" w:rsidP="00C346B4">
            <w:pPr>
              <w:rPr>
                <w:rFonts w:asciiTheme="minorHAnsi" w:hAnsiTheme="minorHAnsi" w:cstheme="minorHAnsi"/>
                <w:bCs/>
                <w:color w:val="000000"/>
              </w:rPr>
            </w:pPr>
            <w:r w:rsidRPr="00C03056">
              <w:rPr>
                <w:rFonts w:asciiTheme="minorHAnsi" w:hAnsiTheme="minorHAnsi" w:cstheme="minorHAnsi"/>
                <w:bCs/>
                <w:color w:val="000000"/>
              </w:rPr>
              <w:t>Anna KORBELA</w:t>
            </w:r>
          </w:p>
          <w:p w14:paraId="07EC9459" w14:textId="72321EA9" w:rsidR="00755F82" w:rsidRPr="00C03056" w:rsidRDefault="00E86418" w:rsidP="001F6BE3">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 xml:space="preserve">w 1994 r. </w:t>
            </w:r>
            <w:r w:rsidR="00FE4722">
              <w:rPr>
                <w:rFonts w:cstheme="minorHAnsi"/>
                <w:bCs/>
                <w:color w:val="000000"/>
              </w:rPr>
              <w:t xml:space="preserve">zdała </w:t>
            </w:r>
            <w:r w:rsidR="00755F82" w:rsidRPr="00C03056">
              <w:rPr>
                <w:rFonts w:eastAsia="Times New Roman" w:cstheme="minorHAnsi"/>
                <w:bCs/>
                <w:color w:val="000000"/>
              </w:rPr>
              <w:t xml:space="preserve">egzamin sędziowski poprzedzony etatową aplikacją sędziowską (złożony z </w:t>
            </w:r>
            <w:r w:rsidR="00123357" w:rsidRPr="00C03056">
              <w:rPr>
                <w:rFonts w:eastAsia="Times New Roman" w:cstheme="minorHAnsi"/>
                <w:bCs/>
                <w:color w:val="000000"/>
              </w:rPr>
              <w:t xml:space="preserve">dobrym </w:t>
            </w:r>
            <w:r w:rsidR="00755F82" w:rsidRPr="00C03056">
              <w:rPr>
                <w:rFonts w:eastAsia="Times New Roman" w:cstheme="minorHAnsi"/>
                <w:bCs/>
                <w:color w:val="000000"/>
              </w:rPr>
              <w:t>wynikiem, umożliwiającym podjęcie kariery sędziowskiej</w:t>
            </w:r>
            <w:r w:rsidR="00D76DA8" w:rsidRPr="00C03056">
              <w:rPr>
                <w:rFonts w:eastAsia="Times New Roman" w:cstheme="minorHAnsi"/>
                <w:bCs/>
                <w:color w:val="000000"/>
              </w:rPr>
              <w:t>)</w:t>
            </w:r>
          </w:p>
          <w:p w14:paraId="4DA616D2" w14:textId="4C8AE7D4" w:rsidR="00FA78EE" w:rsidRPr="00C03056" w:rsidRDefault="00FA78EE" w:rsidP="001F6BE3">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rzecznik patentowy nr 3040</w:t>
            </w:r>
          </w:p>
          <w:p w14:paraId="77C66328" w14:textId="77777777" w:rsidR="00FA78EE" w:rsidRPr="00C03056" w:rsidRDefault="00FA78EE" w:rsidP="001F6BE3">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radca prawny nr 364/96</w:t>
            </w:r>
          </w:p>
          <w:p w14:paraId="10D6F2D1" w14:textId="6E109586" w:rsidR="00FA78EE" w:rsidRPr="00C03056" w:rsidRDefault="00FA78EE" w:rsidP="001F6BE3">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profesjonalny pełnomocnik przed EUIPO (</w:t>
            </w:r>
            <w:r w:rsidRPr="00C03056">
              <w:rPr>
                <w:rFonts w:eastAsia="Times New Roman" w:cstheme="minorHAnsi"/>
                <w:bCs/>
                <w:i/>
                <w:color w:val="000000"/>
              </w:rPr>
              <w:t>European Union Intellectual Property Office</w:t>
            </w:r>
            <w:r w:rsidRPr="00C03056">
              <w:rPr>
                <w:rFonts w:eastAsia="Times New Roman" w:cstheme="minorHAnsi"/>
                <w:bCs/>
                <w:color w:val="000000"/>
              </w:rPr>
              <w:t xml:space="preserve"> </w:t>
            </w:r>
            <w:r w:rsidR="006E2F4F" w:rsidRPr="00C03056">
              <w:rPr>
                <w:rFonts w:eastAsia="Times New Roman" w:cstheme="minorHAnsi"/>
                <w:bCs/>
                <w:color w:val="000000"/>
              </w:rPr>
              <w:t>-</w:t>
            </w:r>
            <w:r w:rsidRPr="00C03056">
              <w:rPr>
                <w:rFonts w:eastAsia="Times New Roman" w:cstheme="minorHAnsi"/>
                <w:bCs/>
                <w:color w:val="000000"/>
              </w:rPr>
              <w:t xml:space="preserve"> </w:t>
            </w:r>
            <w:r w:rsidR="003A208A" w:rsidRPr="00C03056">
              <w:rPr>
                <w:rFonts w:eastAsia="Times New Roman" w:cstheme="minorHAnsi"/>
                <w:bCs/>
                <w:color w:val="000000"/>
              </w:rPr>
              <w:t xml:space="preserve">Urzędem </w:t>
            </w:r>
            <w:r w:rsidRPr="00C03056">
              <w:rPr>
                <w:rFonts w:eastAsia="Times New Roman" w:cstheme="minorHAnsi"/>
                <w:bCs/>
                <w:color w:val="000000"/>
              </w:rPr>
              <w:t>Unii Europejskiej ds. Własności Intelektualnej), nr 27595</w:t>
            </w:r>
          </w:p>
          <w:p w14:paraId="212DE404" w14:textId="77777777" w:rsidR="00FA78EE" w:rsidRPr="00C03056" w:rsidRDefault="00FA78EE" w:rsidP="001F6BE3">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Europejski Rzecznik Patentowy nr 137760</w:t>
            </w:r>
          </w:p>
          <w:p w14:paraId="789127BF" w14:textId="74861B21" w:rsidR="00FA78EE" w:rsidRPr="00C03056" w:rsidRDefault="00FA78EE" w:rsidP="001F6BE3">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pełnomocnik uprawniony do działania przed DPMA (</w:t>
            </w:r>
            <w:proofErr w:type="spellStart"/>
            <w:r w:rsidRPr="00C03056">
              <w:rPr>
                <w:rFonts w:eastAsia="Times New Roman" w:cstheme="minorHAnsi"/>
                <w:bCs/>
                <w:i/>
                <w:color w:val="000000"/>
              </w:rPr>
              <w:t>Deutsches</w:t>
            </w:r>
            <w:proofErr w:type="spellEnd"/>
            <w:r w:rsidRPr="00C03056">
              <w:rPr>
                <w:rFonts w:eastAsia="Times New Roman" w:cstheme="minorHAnsi"/>
                <w:bCs/>
                <w:i/>
                <w:color w:val="000000"/>
              </w:rPr>
              <w:t xml:space="preserve"> Patent- </w:t>
            </w:r>
            <w:proofErr w:type="spellStart"/>
            <w:r w:rsidRPr="00C03056">
              <w:rPr>
                <w:rFonts w:eastAsia="Times New Roman" w:cstheme="minorHAnsi"/>
                <w:bCs/>
                <w:i/>
                <w:color w:val="000000"/>
              </w:rPr>
              <w:t>und</w:t>
            </w:r>
            <w:proofErr w:type="spellEnd"/>
            <w:r w:rsidRPr="00C03056">
              <w:rPr>
                <w:rFonts w:eastAsia="Times New Roman" w:cstheme="minorHAnsi"/>
                <w:bCs/>
                <w:i/>
                <w:color w:val="000000"/>
              </w:rPr>
              <w:t xml:space="preserve"> </w:t>
            </w:r>
            <w:proofErr w:type="spellStart"/>
            <w:r w:rsidRPr="00C03056">
              <w:rPr>
                <w:rFonts w:eastAsia="Times New Roman" w:cstheme="minorHAnsi"/>
                <w:bCs/>
                <w:i/>
                <w:color w:val="000000"/>
              </w:rPr>
              <w:t>Markenamt</w:t>
            </w:r>
            <w:proofErr w:type="spellEnd"/>
            <w:r w:rsidRPr="00C03056">
              <w:rPr>
                <w:rFonts w:eastAsia="Times New Roman" w:cstheme="minorHAnsi"/>
                <w:bCs/>
                <w:color w:val="000000"/>
              </w:rPr>
              <w:t xml:space="preserve"> </w:t>
            </w:r>
            <w:r w:rsidR="00636601" w:rsidRPr="00C03056">
              <w:rPr>
                <w:rFonts w:eastAsia="Times New Roman" w:cstheme="minorHAnsi"/>
                <w:bCs/>
                <w:color w:val="000000"/>
              </w:rPr>
              <w:t>-</w:t>
            </w:r>
            <w:r w:rsidRPr="00C03056">
              <w:rPr>
                <w:rFonts w:eastAsia="Times New Roman" w:cstheme="minorHAnsi"/>
                <w:bCs/>
                <w:color w:val="000000"/>
              </w:rPr>
              <w:t xml:space="preserve"> Niemiecki</w:t>
            </w:r>
            <w:r w:rsidR="00636601" w:rsidRPr="00C03056">
              <w:rPr>
                <w:rFonts w:eastAsia="Times New Roman" w:cstheme="minorHAnsi"/>
                <w:bCs/>
                <w:color w:val="000000"/>
              </w:rPr>
              <w:t>m</w:t>
            </w:r>
            <w:r w:rsidRPr="00C03056">
              <w:rPr>
                <w:rFonts w:eastAsia="Times New Roman" w:cstheme="minorHAnsi"/>
                <w:bCs/>
                <w:color w:val="000000"/>
              </w:rPr>
              <w:t xml:space="preserve"> Urz</w:t>
            </w:r>
            <w:r w:rsidR="00636601" w:rsidRPr="00C03056">
              <w:rPr>
                <w:rFonts w:eastAsia="Times New Roman" w:cstheme="minorHAnsi"/>
                <w:bCs/>
                <w:color w:val="000000"/>
              </w:rPr>
              <w:t>ę</w:t>
            </w:r>
            <w:r w:rsidRPr="00C03056">
              <w:rPr>
                <w:rFonts w:eastAsia="Times New Roman" w:cstheme="minorHAnsi"/>
                <w:bCs/>
                <w:color w:val="000000"/>
              </w:rPr>
              <w:t>d</w:t>
            </w:r>
            <w:r w:rsidR="00636601" w:rsidRPr="00C03056">
              <w:rPr>
                <w:rFonts w:eastAsia="Times New Roman" w:cstheme="minorHAnsi"/>
                <w:bCs/>
                <w:color w:val="000000"/>
              </w:rPr>
              <w:t>em</w:t>
            </w:r>
            <w:r w:rsidRPr="00C03056">
              <w:rPr>
                <w:rFonts w:eastAsia="Times New Roman" w:cstheme="minorHAnsi"/>
                <w:bCs/>
                <w:color w:val="000000"/>
              </w:rPr>
              <w:t xml:space="preserve"> ds. Patentów i Znaków Towarowych) nr 38701324</w:t>
            </w:r>
          </w:p>
          <w:p w14:paraId="3D8635C0" w14:textId="31DBA444" w:rsidR="00636601" w:rsidRPr="00C03056" w:rsidRDefault="00FA78EE" w:rsidP="00636601">
            <w:pPr>
              <w:pStyle w:val="Akapitzlist"/>
              <w:numPr>
                <w:ilvl w:val="0"/>
                <w:numId w:val="45"/>
              </w:numPr>
              <w:ind w:left="297" w:hanging="283"/>
              <w:rPr>
                <w:rFonts w:eastAsia="Times New Roman" w:cstheme="minorHAnsi"/>
                <w:bCs/>
                <w:color w:val="000000"/>
              </w:rPr>
            </w:pPr>
            <w:r w:rsidRPr="00C03056">
              <w:rPr>
                <w:rFonts w:eastAsia="Times New Roman" w:cstheme="minorHAnsi"/>
                <w:bCs/>
                <w:color w:val="000000"/>
              </w:rPr>
              <w:t>pełnomocnik przed UPC (</w:t>
            </w:r>
            <w:proofErr w:type="spellStart"/>
            <w:r w:rsidRPr="00C03056">
              <w:rPr>
                <w:rFonts w:eastAsia="Times New Roman" w:cstheme="minorHAnsi"/>
                <w:bCs/>
                <w:i/>
                <w:color w:val="000000"/>
              </w:rPr>
              <w:t>Unitary</w:t>
            </w:r>
            <w:proofErr w:type="spellEnd"/>
            <w:r w:rsidRPr="00C03056">
              <w:rPr>
                <w:rFonts w:eastAsia="Times New Roman" w:cstheme="minorHAnsi"/>
                <w:bCs/>
                <w:i/>
                <w:color w:val="000000"/>
              </w:rPr>
              <w:t xml:space="preserve"> Patent Court</w:t>
            </w:r>
            <w:r w:rsidRPr="00C03056">
              <w:rPr>
                <w:rFonts w:eastAsia="Times New Roman" w:cstheme="minorHAnsi"/>
                <w:bCs/>
                <w:color w:val="000000"/>
              </w:rPr>
              <w:t xml:space="preserve"> </w:t>
            </w:r>
            <w:r w:rsidR="003A208A" w:rsidRPr="00C03056">
              <w:rPr>
                <w:rFonts w:eastAsia="Times New Roman" w:cstheme="minorHAnsi"/>
                <w:bCs/>
                <w:color w:val="000000"/>
              </w:rPr>
              <w:t>-</w:t>
            </w:r>
            <w:r w:rsidRPr="00C03056">
              <w:rPr>
                <w:rFonts w:eastAsia="Times New Roman" w:cstheme="minorHAnsi"/>
                <w:bCs/>
                <w:color w:val="000000"/>
              </w:rPr>
              <w:t xml:space="preserve"> Jednolitym Sądem Patentowym) AUTH_525119/2023</w:t>
            </w:r>
          </w:p>
          <w:p w14:paraId="2F872B1B" w14:textId="77777777" w:rsidR="00636601" w:rsidRPr="00C03056" w:rsidRDefault="00FA78EE" w:rsidP="00636601">
            <w:pPr>
              <w:pStyle w:val="Akapitzlist"/>
              <w:numPr>
                <w:ilvl w:val="0"/>
                <w:numId w:val="45"/>
              </w:numPr>
              <w:ind w:left="297" w:hanging="283"/>
              <w:rPr>
                <w:rFonts w:asciiTheme="minorHAnsi" w:eastAsia="Times New Roman" w:hAnsiTheme="minorHAnsi" w:cstheme="minorHAnsi"/>
                <w:bCs/>
                <w:color w:val="000000"/>
              </w:rPr>
            </w:pPr>
            <w:r w:rsidRPr="00C03056">
              <w:rPr>
                <w:rFonts w:asciiTheme="minorHAnsi" w:eastAsia="Times New Roman" w:hAnsiTheme="minorHAnsi" w:cstheme="minorHAnsi"/>
                <w:bCs/>
                <w:color w:val="000000"/>
              </w:rPr>
              <w:t>Prezes Polskiej Izby Rzeczników Patentowych w latach 2009-2013 i 2013-2017</w:t>
            </w:r>
          </w:p>
          <w:p w14:paraId="75332C69" w14:textId="01081E83" w:rsidR="00C258D4" w:rsidRPr="00C03056" w:rsidRDefault="00C258D4" w:rsidP="00636601">
            <w:pPr>
              <w:pStyle w:val="Akapitzlist"/>
              <w:numPr>
                <w:ilvl w:val="0"/>
                <w:numId w:val="45"/>
              </w:numPr>
              <w:ind w:left="297" w:hanging="283"/>
              <w:rPr>
                <w:rFonts w:asciiTheme="minorHAnsi" w:eastAsia="Times New Roman" w:hAnsiTheme="minorHAnsi" w:cstheme="minorHAnsi"/>
                <w:bCs/>
                <w:color w:val="000000"/>
              </w:rPr>
            </w:pPr>
            <w:r w:rsidRPr="00C03056">
              <w:rPr>
                <w:rFonts w:asciiTheme="minorHAnsi" w:eastAsia="Times New Roman" w:hAnsiTheme="minorHAnsi" w:cstheme="minorHAnsi"/>
                <w:bCs/>
                <w:color w:val="000000"/>
              </w:rPr>
              <w:t xml:space="preserve">Prezes StoWI od 2023 r. </w:t>
            </w:r>
          </w:p>
          <w:p w14:paraId="0FB0C1DF" w14:textId="77777777" w:rsidR="00C258D4" w:rsidRPr="00755F82" w:rsidRDefault="00C258D4" w:rsidP="00C258D4">
            <w:pPr>
              <w:rPr>
                <w:rFonts w:cstheme="minorHAnsi"/>
                <w:b/>
                <w:bCs/>
                <w:color w:val="000000"/>
                <w:sz w:val="6"/>
                <w:szCs w:val="6"/>
              </w:rPr>
            </w:pPr>
          </w:p>
        </w:tc>
      </w:tr>
      <w:tr w:rsidR="007330B7" w:rsidRPr="00312AD3" w14:paraId="115D7EAE" w14:textId="77777777" w:rsidTr="006366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96" w:type="dxa"/>
            <w:tcBorders>
              <w:top w:val="nil"/>
              <w:left w:val="nil"/>
              <w:bottom w:val="nil"/>
              <w:right w:val="nil"/>
            </w:tcBorders>
          </w:tcPr>
          <w:p w14:paraId="443A16D1" w14:textId="6C91953A" w:rsidR="00C258D4" w:rsidRPr="00C258D4" w:rsidRDefault="00636601" w:rsidP="005027DA">
            <w:pPr>
              <w:tabs>
                <w:tab w:val="left" w:pos="2261"/>
              </w:tabs>
              <w:rPr>
                <w:noProof/>
                <w:sz w:val="6"/>
                <w:szCs w:val="6"/>
              </w:rPr>
            </w:pPr>
            <w:r>
              <w:rPr>
                <w:noProof/>
              </w:rPr>
              <w:drawing>
                <wp:anchor distT="0" distB="0" distL="114300" distR="114300" simplePos="0" relativeHeight="252291072" behindDoc="0" locked="0" layoutInCell="1" allowOverlap="1" wp14:anchorId="56D4AC42" wp14:editId="511655E3">
                  <wp:simplePos x="0" y="0"/>
                  <wp:positionH relativeFrom="column">
                    <wp:posOffset>22860</wp:posOffset>
                  </wp:positionH>
                  <wp:positionV relativeFrom="paragraph">
                    <wp:posOffset>41910</wp:posOffset>
                  </wp:positionV>
                  <wp:extent cx="676275" cy="899795"/>
                  <wp:effectExtent l="0" t="0" r="9525" b="0"/>
                  <wp:wrapNone/>
                  <wp:docPr id="84364345" name="Obraz 17" descr="Obraz zawierający osoba, ubrania, człowiek,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79556" name="Obraz 17" descr="Obraz zawierający osoba, ubrania, człowiek, okno&#10;&#10;Opis wygenerowany automatyczni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76275" cy="899795"/>
                          </a:xfrm>
                          <a:prstGeom prst="rect">
                            <a:avLst/>
                          </a:prstGeom>
                          <a:noFill/>
                          <a:ln>
                            <a:noFill/>
                          </a:ln>
                        </pic:spPr>
                      </pic:pic>
                    </a:graphicData>
                  </a:graphic>
                </wp:anchor>
              </w:drawing>
            </w:r>
          </w:p>
          <w:p w14:paraId="3F0E680A" w14:textId="1F787E4A" w:rsidR="007330B7" w:rsidRPr="00EC4F25" w:rsidRDefault="007330B7" w:rsidP="005027DA">
            <w:pPr>
              <w:tabs>
                <w:tab w:val="left" w:pos="2261"/>
              </w:tabs>
              <w:rPr>
                <w:b/>
                <w:bCs/>
                <w:noProof/>
                <w:sz w:val="18"/>
                <w:szCs w:val="18"/>
              </w:rPr>
            </w:pPr>
          </w:p>
        </w:tc>
        <w:tc>
          <w:tcPr>
            <w:tcW w:w="8627" w:type="dxa"/>
            <w:gridSpan w:val="2"/>
            <w:tcBorders>
              <w:top w:val="nil"/>
              <w:left w:val="nil"/>
              <w:bottom w:val="nil"/>
              <w:right w:val="nil"/>
            </w:tcBorders>
          </w:tcPr>
          <w:p w14:paraId="26BA1C3B" w14:textId="77777777" w:rsidR="007330B7" w:rsidRPr="00C03056" w:rsidRDefault="007330B7" w:rsidP="005027DA">
            <w:pPr>
              <w:rPr>
                <w:rFonts w:asciiTheme="minorHAnsi" w:hAnsiTheme="minorHAnsi" w:cstheme="minorHAnsi"/>
                <w:bCs/>
                <w:color w:val="000000"/>
              </w:rPr>
            </w:pPr>
            <w:r w:rsidRPr="00C03056">
              <w:rPr>
                <w:rFonts w:asciiTheme="minorHAnsi" w:hAnsiTheme="minorHAnsi" w:cstheme="minorHAnsi"/>
                <w:bCs/>
                <w:color w:val="000000"/>
              </w:rPr>
              <w:t>Tadeusz REJMAN</w:t>
            </w:r>
          </w:p>
          <w:p w14:paraId="57B53588" w14:textId="77777777" w:rsidR="007330B7" w:rsidRPr="00C03056" w:rsidRDefault="007330B7" w:rsidP="001F6BE3">
            <w:pPr>
              <w:pStyle w:val="Akapitzlist"/>
              <w:numPr>
                <w:ilvl w:val="0"/>
                <w:numId w:val="49"/>
              </w:numPr>
              <w:ind w:left="297" w:hanging="283"/>
              <w:rPr>
                <w:rFonts w:eastAsia="Times New Roman" w:cstheme="minorHAnsi"/>
                <w:bCs/>
                <w:color w:val="000000"/>
              </w:rPr>
            </w:pPr>
            <w:r w:rsidRPr="00C03056">
              <w:rPr>
                <w:rFonts w:eastAsia="Times New Roman" w:cstheme="minorHAnsi"/>
                <w:bCs/>
                <w:color w:val="000000"/>
              </w:rPr>
              <w:t>rzecznik patentowy</w:t>
            </w:r>
          </w:p>
          <w:p w14:paraId="5DD37CC5" w14:textId="77777777" w:rsidR="007330B7" w:rsidRPr="00C03056" w:rsidRDefault="007330B7" w:rsidP="001F6BE3">
            <w:pPr>
              <w:pStyle w:val="Akapitzlist"/>
              <w:numPr>
                <w:ilvl w:val="0"/>
                <w:numId w:val="49"/>
              </w:numPr>
              <w:ind w:left="297" w:hanging="283"/>
              <w:rPr>
                <w:rFonts w:eastAsia="Times New Roman" w:cstheme="minorHAnsi"/>
                <w:bCs/>
                <w:color w:val="000000"/>
              </w:rPr>
            </w:pPr>
            <w:r w:rsidRPr="00C03056">
              <w:rPr>
                <w:rFonts w:eastAsia="Times New Roman" w:cstheme="minorHAnsi"/>
                <w:bCs/>
                <w:color w:val="000000"/>
              </w:rPr>
              <w:t>współzałożyciel Polskiej Izby Rzeczników Patentowych</w:t>
            </w:r>
          </w:p>
          <w:p w14:paraId="15666DA8" w14:textId="77777777" w:rsidR="007330B7" w:rsidRPr="00C03056" w:rsidRDefault="007330B7" w:rsidP="001F6BE3">
            <w:pPr>
              <w:pStyle w:val="Akapitzlist"/>
              <w:numPr>
                <w:ilvl w:val="0"/>
                <w:numId w:val="49"/>
              </w:numPr>
              <w:ind w:left="297" w:hanging="283"/>
              <w:rPr>
                <w:rFonts w:ascii="Times New Roman" w:eastAsia="Times New Roman" w:hAnsi="Times New Roman" w:cstheme="minorHAnsi"/>
                <w:bCs/>
                <w:color w:val="000000"/>
              </w:rPr>
            </w:pPr>
            <w:r w:rsidRPr="00C03056">
              <w:rPr>
                <w:rFonts w:eastAsia="Times New Roman" w:cstheme="minorHAnsi"/>
                <w:bCs/>
                <w:color w:val="000000"/>
              </w:rPr>
              <w:t>uczestnik I Krajowego Zjazdu w dniu 28.08.1993 r.</w:t>
            </w:r>
          </w:p>
          <w:p w14:paraId="78207CB7" w14:textId="6582948B" w:rsidR="000420EF" w:rsidRPr="00312AD3" w:rsidRDefault="000420EF" w:rsidP="00755F82">
            <w:pPr>
              <w:jc w:val="both"/>
              <w:rPr>
                <w:rFonts w:cstheme="minorHAnsi"/>
                <w:bCs/>
                <w:color w:val="000000"/>
              </w:rPr>
            </w:pPr>
            <w:r>
              <w:rPr>
                <w:rFonts w:cstheme="minorHAnsi"/>
                <w:bCs/>
                <w:color w:val="000000"/>
              </w:rPr>
              <w:t xml:space="preserve">                                                                  * * *</w:t>
            </w:r>
          </w:p>
        </w:tc>
      </w:tr>
    </w:tbl>
    <w:p w14:paraId="5E195EAC" w14:textId="0FC1775C" w:rsidR="00B237EA" w:rsidRPr="00EC4F25" w:rsidRDefault="006365F0" w:rsidP="00B237EA">
      <w:pPr>
        <w:spacing w:after="0" w:line="240" w:lineRule="auto"/>
        <w:jc w:val="center"/>
        <w:rPr>
          <w:b/>
          <w:bCs/>
        </w:rPr>
      </w:pPr>
      <w:bookmarkStart w:id="50" w:name="_Hlk169168990"/>
      <w:bookmarkEnd w:id="47"/>
      <w:r>
        <w:rPr>
          <w:b/>
          <w:bCs/>
          <w:noProof/>
          <w:lang w:eastAsia="pl-PL"/>
        </w:rPr>
        <w:lastRenderedPageBreak/>
        <w:drawing>
          <wp:inline distT="0" distB="0" distL="0" distR="0" wp14:anchorId="729D5260" wp14:editId="40441AB5">
            <wp:extent cx="6186805" cy="2647950"/>
            <wp:effectExtent l="0" t="0" r="4445" b="0"/>
            <wp:docPr id="1848271541" name="Obraz 184827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86805" cy="2647950"/>
                    </a:xfrm>
                    <a:prstGeom prst="rect">
                      <a:avLst/>
                    </a:prstGeom>
                    <a:noFill/>
                    <a:ln>
                      <a:noFill/>
                    </a:ln>
                  </pic:spPr>
                </pic:pic>
              </a:graphicData>
            </a:graphic>
          </wp:inline>
        </w:drawing>
      </w:r>
    </w:p>
    <w:bookmarkEnd w:id="50"/>
    <w:p w14:paraId="0E51DBAE" w14:textId="77777777"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Zwracamy się z apelem o pilną zmianę praktyki Urzędu Patentowego RP, w efekcie której - w przypadku toczących się postępowań spornych - przez długie lata nie jest możliwe ustalenie stanu prawnego określającego status prawa wyłącznego udzielonego przez Urząd Patentowy Rzeczypospolitej Polskiej (</w:t>
      </w:r>
      <w:r w:rsidRPr="00504C11">
        <w:rPr>
          <w:rFonts w:ascii="Times New Roman" w:hAnsi="Times New Roman" w:cs="Times New Roman"/>
          <w:sz w:val="24"/>
          <w:szCs w:val="24"/>
          <w:u w:val="single"/>
        </w:rPr>
        <w:t>także_ w przypadku, gdy prawo to zostało unieważnione ostateczną, w administracyjnym toku instancji decyzją Urzędu Patentowego</w:t>
      </w:r>
      <w:r w:rsidRPr="00504C11">
        <w:rPr>
          <w:rFonts w:ascii="Times New Roman" w:hAnsi="Times New Roman" w:cs="Times New Roman"/>
          <w:sz w:val="24"/>
          <w:szCs w:val="24"/>
        </w:rPr>
        <w:t xml:space="preserve"> RP). Prosimy także o potraktowanie jako pilotażowego przypadku patentu Pat.212219 (P.386337) „</w:t>
      </w:r>
      <w:r w:rsidRPr="00504C11">
        <w:rPr>
          <w:rFonts w:ascii="Times New Roman" w:hAnsi="Times New Roman" w:cs="Times New Roman"/>
          <w:i/>
          <w:iCs/>
          <w:sz w:val="24"/>
          <w:szCs w:val="24"/>
        </w:rPr>
        <w:t>Sposób wytwarzania granulowanego nawozu wapniowo-magnezowego”</w:t>
      </w:r>
      <w:r w:rsidRPr="00504C11">
        <w:rPr>
          <w:rFonts w:ascii="Times New Roman" w:hAnsi="Times New Roman" w:cs="Times New Roman"/>
          <w:sz w:val="24"/>
          <w:szCs w:val="24"/>
        </w:rPr>
        <w:t xml:space="preserve"> powoływanego w innych sprawach (w których strona atakowana reprezentowana jest przez dwie spośród osób niżej podpisanych). </w:t>
      </w:r>
      <w:r w:rsidRPr="00504C11">
        <w:rPr>
          <w:rFonts w:ascii="Times New Roman" w:hAnsi="Times New Roman" w:cs="Times New Roman"/>
          <w:sz w:val="24"/>
          <w:szCs w:val="24"/>
          <w:u w:val="single"/>
        </w:rPr>
        <w:t>Zainteresowani nie mają jednak dostępu do informacji o statusie ww. prawa wyłącznego)</w:t>
      </w:r>
      <w:r w:rsidRPr="00504C11">
        <w:rPr>
          <w:rFonts w:ascii="Times New Roman" w:hAnsi="Times New Roman" w:cs="Times New Roman"/>
          <w:sz w:val="24"/>
          <w:szCs w:val="24"/>
        </w:rPr>
        <w:t xml:space="preserve">. Urząd w tym zakresie odsyła do Rejestru patentowego UP RP, w którym </w:t>
      </w:r>
      <w:r w:rsidRPr="00504C11">
        <w:rPr>
          <w:rFonts w:ascii="Times New Roman" w:hAnsi="Times New Roman" w:cs="Times New Roman"/>
          <w:sz w:val="24"/>
          <w:szCs w:val="24"/>
          <w:u w:val="single"/>
        </w:rPr>
        <w:t>jednak brak istotnych informacji o aktualnym stanie prawnym ww. prawa wyłącznego</w:t>
      </w:r>
      <w:r w:rsidRPr="00504C11">
        <w:rPr>
          <w:rFonts w:ascii="Times New Roman" w:hAnsi="Times New Roman" w:cs="Times New Roman"/>
          <w:sz w:val="24"/>
          <w:szCs w:val="24"/>
        </w:rPr>
        <w:t>, zaś udostępnione są w nim jedynie lakoniczne i fragmentaryczne informacje o postępowaniach, które toczyły się w Urzędzie Patentowym RP w sprawie Pat.212219:</w:t>
      </w:r>
    </w:p>
    <w:p w14:paraId="75656AF7" w14:textId="387676F9" w:rsidR="00B237EA" w:rsidRPr="00504C11" w:rsidRDefault="00B237EA" w:rsidP="001F6BE3">
      <w:pPr>
        <w:pStyle w:val="Akapitzlist"/>
        <w:numPr>
          <w:ilvl w:val="0"/>
          <w:numId w:val="39"/>
        </w:numPr>
        <w:ind w:left="993" w:hanging="426"/>
        <w:jc w:val="both"/>
        <w:rPr>
          <w:rFonts w:ascii="Times New Roman" w:hAnsi="Times New Roman"/>
          <w:sz w:val="24"/>
          <w:szCs w:val="24"/>
        </w:rPr>
      </w:pPr>
      <w:r w:rsidRPr="00504C11">
        <w:rPr>
          <w:rFonts w:ascii="Times New Roman" w:hAnsi="Times New Roman"/>
          <w:sz w:val="24"/>
          <w:szCs w:val="24"/>
        </w:rPr>
        <w:t>Sp.</w:t>
      </w:r>
      <w:r w:rsidR="009D21B7" w:rsidRPr="00504C11">
        <w:rPr>
          <w:rFonts w:ascii="Times New Roman" w:hAnsi="Times New Roman"/>
          <w:sz w:val="24"/>
          <w:szCs w:val="24"/>
        </w:rPr>
        <w:t>11</w:t>
      </w:r>
      <w:r w:rsidRPr="00504C11">
        <w:rPr>
          <w:rFonts w:ascii="Times New Roman" w:hAnsi="Times New Roman"/>
          <w:sz w:val="24"/>
          <w:szCs w:val="24"/>
        </w:rPr>
        <w:t xml:space="preserve">6.2014 </w:t>
      </w:r>
    </w:p>
    <w:p w14:paraId="4EC56DE1" w14:textId="15893B17" w:rsidR="00B237EA" w:rsidRPr="00504C11" w:rsidRDefault="00B237EA" w:rsidP="001F6BE3">
      <w:pPr>
        <w:pStyle w:val="Akapitzlist"/>
        <w:numPr>
          <w:ilvl w:val="0"/>
          <w:numId w:val="39"/>
        </w:numPr>
        <w:ind w:left="993" w:hanging="426"/>
        <w:jc w:val="both"/>
        <w:rPr>
          <w:rFonts w:ascii="Times New Roman" w:hAnsi="Times New Roman"/>
          <w:sz w:val="24"/>
          <w:szCs w:val="24"/>
        </w:rPr>
      </w:pPr>
      <w:r w:rsidRPr="00504C11">
        <w:rPr>
          <w:rFonts w:ascii="Times New Roman" w:hAnsi="Times New Roman"/>
          <w:sz w:val="24"/>
          <w:szCs w:val="24"/>
        </w:rPr>
        <w:t>Sp.44.2015 - poniższe informacje są jedynymi dostępnymi w rejestrach Urzędu Patentowego, dot. ww. postępowań (w załączeniu):</w:t>
      </w:r>
    </w:p>
    <w:p w14:paraId="07153D2A" w14:textId="77777777" w:rsidR="00B237EA" w:rsidRPr="00D15CE8" w:rsidRDefault="00B237EA" w:rsidP="00B237EA">
      <w:pPr>
        <w:spacing w:after="0" w:line="240" w:lineRule="auto"/>
        <w:ind w:firstLine="708"/>
        <w:jc w:val="both"/>
        <w:rPr>
          <w:sz w:val="24"/>
          <w:szCs w:val="24"/>
        </w:rPr>
      </w:pPr>
    </w:p>
    <w:p w14:paraId="54D8215D" w14:textId="77777777" w:rsidR="00B237EA" w:rsidRPr="00EC4F25" w:rsidRDefault="00B237EA" w:rsidP="003921DB">
      <w:pPr>
        <w:spacing w:after="0" w:line="240" w:lineRule="auto"/>
        <w:jc w:val="center"/>
        <w:rPr>
          <w:b/>
          <w:bCs/>
        </w:rPr>
      </w:pPr>
      <w:r w:rsidRPr="00EC4F25">
        <w:rPr>
          <w:noProof/>
          <w:lang w:eastAsia="pl-PL"/>
        </w:rPr>
        <w:drawing>
          <wp:inline distT="0" distB="0" distL="0" distR="0" wp14:anchorId="234BBA94" wp14:editId="1E3FB388">
            <wp:extent cx="6073033" cy="1285875"/>
            <wp:effectExtent l="0" t="0" r="4445" b="0"/>
            <wp:docPr id="1815970433" name="Obraz 30" descr="Obraz zawierający tekst, zrzut ekranu, paragon, biał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70433" name="Obraz 30" descr="Obraz zawierający tekst, zrzut ekranu, paragon, biały&#10;&#10;Opis wygenerowany automatycznie"/>
                    <pic:cNvPicPr>
                      <a:picLocks noChangeAspect="1" noChangeArrowheads="1"/>
                    </pic:cNvPicPr>
                  </pic:nvPicPr>
                  <pic:blipFill rotWithShape="1">
                    <a:blip r:embed="rId68">
                      <a:extLst>
                        <a:ext uri="{28A0092B-C50C-407E-A947-70E740481C1C}">
                          <a14:useLocalDpi xmlns:a14="http://schemas.microsoft.com/office/drawing/2010/main" val="0"/>
                        </a:ext>
                      </a:extLst>
                    </a:blip>
                    <a:srcRect t="13403" b="7889"/>
                    <a:stretch/>
                  </pic:blipFill>
                  <pic:spPr bwMode="auto">
                    <a:xfrm>
                      <a:off x="0" y="0"/>
                      <a:ext cx="6082249" cy="1287826"/>
                    </a:xfrm>
                    <a:prstGeom prst="rect">
                      <a:avLst/>
                    </a:prstGeom>
                    <a:noFill/>
                    <a:ln>
                      <a:noFill/>
                    </a:ln>
                    <a:extLst>
                      <a:ext uri="{53640926-AAD7-44D8-BBD7-CCE9431645EC}">
                        <a14:shadowObscured xmlns:a14="http://schemas.microsoft.com/office/drawing/2010/main"/>
                      </a:ext>
                    </a:extLst>
                  </pic:spPr>
                </pic:pic>
              </a:graphicData>
            </a:graphic>
          </wp:inline>
        </w:drawing>
      </w:r>
    </w:p>
    <w:p w14:paraId="3CC462C7" w14:textId="77777777" w:rsidR="00B237EA" w:rsidRPr="00504C11" w:rsidRDefault="00B237EA" w:rsidP="00B237EA">
      <w:pPr>
        <w:spacing w:after="0" w:line="240" w:lineRule="auto"/>
        <w:jc w:val="both"/>
        <w:rPr>
          <w:rFonts w:ascii="Times New Roman" w:hAnsi="Times New Roman" w:cs="Times New Roman"/>
          <w:sz w:val="24"/>
          <w:szCs w:val="24"/>
        </w:rPr>
      </w:pPr>
      <w:r w:rsidRPr="00504C11">
        <w:rPr>
          <w:rFonts w:ascii="Times New Roman" w:hAnsi="Times New Roman" w:cs="Times New Roman"/>
          <w:sz w:val="24"/>
          <w:szCs w:val="24"/>
        </w:rPr>
        <w:t xml:space="preserve">W ww. przypadku Wojewódzki Sąd Administracyjny utrzymał w mocy decyzję o unieważnieniu patentu Pat.212219 (P.386337), lecz informacja ta nie jest udostępniana przez Urząd Patentowy RP, </w:t>
      </w:r>
      <w:r w:rsidRPr="00504C11">
        <w:rPr>
          <w:rFonts w:ascii="Times New Roman" w:hAnsi="Times New Roman" w:cs="Times New Roman"/>
          <w:sz w:val="24"/>
          <w:szCs w:val="24"/>
          <w:u w:val="single"/>
        </w:rPr>
        <w:t>rubryka rejestru Urzędu Patentowego RP czeka na wypełnienie istotną treścią</w:t>
      </w:r>
      <w:r w:rsidRPr="00504C11">
        <w:rPr>
          <w:rFonts w:ascii="Times New Roman" w:hAnsi="Times New Roman" w:cs="Times New Roman"/>
          <w:sz w:val="24"/>
          <w:szCs w:val="24"/>
        </w:rPr>
        <w:t>. Wiedzę o decyzjach kończących postępowanie przed Urzędem Patentowym RP można pozyskać jedynie pośrednio (i z opóźnieniem) w wyniku długotrwałych poszukiwań w Centralnej Bazie Orzeczeń Sądów Administracyjnych (gdy odszukamy je w zanonimizowanej wersji):</w:t>
      </w:r>
    </w:p>
    <w:p w14:paraId="550E410A" w14:textId="77777777" w:rsidR="00B237EA" w:rsidRPr="00504C11" w:rsidRDefault="00B237EA" w:rsidP="00B237EA">
      <w:pPr>
        <w:spacing w:after="0" w:line="240" w:lineRule="auto"/>
        <w:jc w:val="both"/>
        <w:rPr>
          <w:sz w:val="12"/>
          <w:szCs w:val="12"/>
        </w:rPr>
      </w:pPr>
    </w:p>
    <w:p w14:paraId="1EE1F7D3" w14:textId="77777777" w:rsidR="00B237EA" w:rsidRPr="00EC4F25" w:rsidRDefault="00B237EA" w:rsidP="003921DB">
      <w:pPr>
        <w:spacing w:after="0" w:line="240" w:lineRule="auto"/>
        <w:jc w:val="center"/>
        <w:rPr>
          <w:b/>
          <w:bCs/>
        </w:rPr>
      </w:pPr>
      <w:r w:rsidRPr="00EC4F25">
        <w:rPr>
          <w:noProof/>
          <w:lang w:eastAsia="pl-PL"/>
        </w:rPr>
        <w:lastRenderedPageBreak/>
        <w:drawing>
          <wp:inline distT="0" distB="0" distL="0" distR="0" wp14:anchorId="0BAC43A5" wp14:editId="23676BDA">
            <wp:extent cx="6177691" cy="3286125"/>
            <wp:effectExtent l="0" t="0" r="0" b="0"/>
            <wp:docPr id="726725715" name="Obraz 31" descr="Obraz zawierający tekst, zrzut ekranu, dokumen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25715" name="Obraz 31" descr="Obraz zawierający tekst, zrzut ekranu, dokument&#10;&#10;Opis wygenerowany automatycznie"/>
                    <pic:cNvPicPr>
                      <a:picLocks noChangeAspect="1" noChangeArrowheads="1"/>
                    </pic:cNvPicPr>
                  </pic:nvPicPr>
                  <pic:blipFill rotWithShape="1">
                    <a:blip r:embed="rId69">
                      <a:extLst>
                        <a:ext uri="{28A0092B-C50C-407E-A947-70E740481C1C}">
                          <a14:useLocalDpi xmlns:a14="http://schemas.microsoft.com/office/drawing/2010/main" val="0"/>
                        </a:ext>
                      </a:extLst>
                    </a:blip>
                    <a:srcRect t="4512" b="3910"/>
                    <a:stretch/>
                  </pic:blipFill>
                  <pic:spPr bwMode="auto">
                    <a:xfrm>
                      <a:off x="0" y="0"/>
                      <a:ext cx="6184245" cy="3289611"/>
                    </a:xfrm>
                    <a:prstGeom prst="rect">
                      <a:avLst/>
                    </a:prstGeom>
                    <a:noFill/>
                    <a:ln>
                      <a:noFill/>
                    </a:ln>
                    <a:extLst>
                      <a:ext uri="{53640926-AAD7-44D8-BBD7-CCE9431645EC}">
                        <a14:shadowObscured xmlns:a14="http://schemas.microsoft.com/office/drawing/2010/main"/>
                      </a:ext>
                    </a:extLst>
                  </pic:spPr>
                </pic:pic>
              </a:graphicData>
            </a:graphic>
          </wp:inline>
        </w:drawing>
      </w:r>
    </w:p>
    <w:p w14:paraId="5DED0F4D" w14:textId="77777777" w:rsidR="00B237EA" w:rsidRPr="00504C11" w:rsidRDefault="00B237EA" w:rsidP="00B237EA">
      <w:pPr>
        <w:spacing w:after="0" w:line="240" w:lineRule="auto"/>
        <w:jc w:val="both"/>
        <w:rPr>
          <w:b/>
          <w:bCs/>
          <w:sz w:val="6"/>
          <w:szCs w:val="6"/>
        </w:rPr>
      </w:pPr>
    </w:p>
    <w:p w14:paraId="6A70D8E8" w14:textId="77777777"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 xml:space="preserve">Wydawać by się mogło, że ustalenie zaawansowania postępowań spornych zmierzających do unieważnienia ww. patentu wymaga jedynie odwiedzenia Rejestrów, względnie baz internetowych Urzędu Patentowego RP. </w:t>
      </w:r>
    </w:p>
    <w:p w14:paraId="063E379E" w14:textId="77777777" w:rsidR="00B237EA" w:rsidRPr="00504C11" w:rsidRDefault="00B237EA" w:rsidP="00B237EA">
      <w:pPr>
        <w:spacing w:after="0" w:line="240" w:lineRule="auto"/>
        <w:ind w:firstLine="708"/>
        <w:jc w:val="both"/>
        <w:rPr>
          <w:rFonts w:ascii="Times New Roman" w:hAnsi="Times New Roman" w:cs="Times New Roman"/>
          <w:sz w:val="6"/>
          <w:szCs w:val="6"/>
        </w:rPr>
      </w:pPr>
    </w:p>
    <w:p w14:paraId="1BE85B21" w14:textId="77777777"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Tymczasem tak nie jest ani w przypadku Rejestrów, ani też dane te nie są dostępne w innych bazach danych dostępnych na stronie Urzędu Patentowego RP.</w:t>
      </w:r>
    </w:p>
    <w:p w14:paraId="3BFCB357" w14:textId="77777777" w:rsidR="00B237EA" w:rsidRPr="00504C11" w:rsidRDefault="00B237EA" w:rsidP="00B237EA">
      <w:pPr>
        <w:spacing w:after="0" w:line="240" w:lineRule="auto"/>
        <w:ind w:firstLine="708"/>
        <w:jc w:val="both"/>
        <w:rPr>
          <w:rFonts w:ascii="Times New Roman" w:hAnsi="Times New Roman" w:cs="Times New Roman"/>
          <w:sz w:val="6"/>
          <w:szCs w:val="6"/>
        </w:rPr>
      </w:pPr>
    </w:p>
    <w:p w14:paraId="6878ECD7" w14:textId="77777777"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 xml:space="preserve">W tym stanie rzeczy: </w:t>
      </w:r>
    </w:p>
    <w:p w14:paraId="0222E4F4" w14:textId="77777777" w:rsidR="00B237EA" w:rsidRPr="00504C11" w:rsidRDefault="00B237EA" w:rsidP="00B237EA">
      <w:pPr>
        <w:spacing w:after="0" w:line="240" w:lineRule="auto"/>
        <w:ind w:firstLine="708"/>
        <w:jc w:val="both"/>
        <w:rPr>
          <w:rFonts w:ascii="Times New Roman" w:hAnsi="Times New Roman" w:cs="Times New Roman"/>
          <w:sz w:val="4"/>
          <w:szCs w:val="4"/>
        </w:rPr>
      </w:pPr>
    </w:p>
    <w:p w14:paraId="0FB606E3" w14:textId="77777777" w:rsidR="00B237EA" w:rsidRPr="00504C11" w:rsidRDefault="00B237EA" w:rsidP="00504C11">
      <w:pPr>
        <w:pStyle w:val="Akapitzlist"/>
        <w:numPr>
          <w:ilvl w:val="0"/>
          <w:numId w:val="15"/>
        </w:numPr>
        <w:ind w:left="567" w:hanging="425"/>
        <w:contextualSpacing/>
        <w:jc w:val="both"/>
        <w:rPr>
          <w:rFonts w:ascii="Times New Roman" w:hAnsi="Times New Roman"/>
          <w:sz w:val="24"/>
          <w:szCs w:val="24"/>
        </w:rPr>
      </w:pPr>
      <w:r w:rsidRPr="00504C11">
        <w:rPr>
          <w:rFonts w:ascii="Times New Roman" w:hAnsi="Times New Roman"/>
          <w:sz w:val="24"/>
          <w:szCs w:val="24"/>
        </w:rPr>
        <w:t>uprzejmie prosimy o udostępnienie doraźnie informacji o orzeczeniach wydanych we wskazanej sprawie, a także środkach zaskarżenia otrzymanych i składanych w tej sprawie przez organ</w:t>
      </w:r>
      <w:r w:rsidRPr="00504C11">
        <w:rPr>
          <w:rFonts w:ascii="Times New Roman" w:hAnsi="Times New Roman"/>
        </w:rPr>
        <w:t xml:space="preserve"> </w:t>
      </w:r>
      <w:r w:rsidRPr="00504C11">
        <w:rPr>
          <w:rFonts w:ascii="Times New Roman" w:hAnsi="Times New Roman"/>
          <w:sz w:val="24"/>
          <w:szCs w:val="24"/>
        </w:rPr>
        <w:t xml:space="preserve">administracji państwowej, gdyż z pewnością Urząd Patentowy RP (choć bez wątpienia </w:t>
      </w:r>
      <w:r w:rsidRPr="00504C11">
        <w:rPr>
          <w:rFonts w:ascii="Times New Roman" w:hAnsi="Times New Roman"/>
          <w:i/>
          <w:iCs/>
          <w:sz w:val="24"/>
          <w:szCs w:val="24"/>
        </w:rPr>
        <w:t>„nie jest dysponentem akt</w:t>
      </w:r>
      <w:r w:rsidRPr="00504C11">
        <w:rPr>
          <w:rFonts w:ascii="Times New Roman" w:hAnsi="Times New Roman"/>
          <w:sz w:val="24"/>
          <w:szCs w:val="24"/>
        </w:rPr>
        <w:t xml:space="preserve">”) zachowuje w aktach roboczych kopie otrzymywanych i wysyłanych środków zaskarżania, pism procesowych oraz orzeczeń, </w:t>
      </w:r>
    </w:p>
    <w:p w14:paraId="5532E651" w14:textId="77777777" w:rsidR="00B237EA" w:rsidRPr="00C03056" w:rsidRDefault="00B237EA" w:rsidP="00504C11">
      <w:pPr>
        <w:pStyle w:val="Akapitzlist"/>
        <w:numPr>
          <w:ilvl w:val="0"/>
          <w:numId w:val="15"/>
        </w:numPr>
        <w:ind w:left="567" w:hanging="425"/>
        <w:contextualSpacing/>
        <w:jc w:val="both"/>
        <w:rPr>
          <w:rFonts w:ascii="Times New Roman" w:hAnsi="Times New Roman"/>
          <w:color w:val="2E74B5" w:themeColor="accent5" w:themeShade="BF"/>
          <w:sz w:val="24"/>
          <w:szCs w:val="24"/>
        </w:rPr>
      </w:pPr>
      <w:r w:rsidRPr="00504C11">
        <w:rPr>
          <w:rFonts w:ascii="Times New Roman" w:hAnsi="Times New Roman"/>
          <w:sz w:val="24"/>
          <w:szCs w:val="24"/>
        </w:rPr>
        <w:t xml:space="preserve">przy tym wnosimy o udostępnienie informacji w tej sprawie drogą elektroniczną na adres poczty elektronicznej </w:t>
      </w:r>
      <w:hyperlink r:id="rId70" w:history="1">
        <w:r w:rsidRPr="00C03056">
          <w:rPr>
            <w:rStyle w:val="Hipercze"/>
            <w:rFonts w:ascii="Times New Roman" w:hAnsi="Times New Roman"/>
            <w:color w:val="2E74B5" w:themeColor="accent5" w:themeShade="BF"/>
            <w:sz w:val="24"/>
            <w:szCs w:val="24"/>
          </w:rPr>
          <w:t>biuro.czestochowa@aak-ip.eu</w:t>
        </w:r>
      </w:hyperlink>
      <w:r w:rsidRPr="00C03056">
        <w:rPr>
          <w:rFonts w:ascii="Times New Roman" w:hAnsi="Times New Roman"/>
          <w:color w:val="2E74B5" w:themeColor="accent5" w:themeShade="BF"/>
          <w:sz w:val="24"/>
          <w:szCs w:val="24"/>
        </w:rPr>
        <w:t xml:space="preserve"> , </w:t>
      </w:r>
    </w:p>
    <w:p w14:paraId="1CBA9695" w14:textId="77777777" w:rsidR="00B237EA" w:rsidRPr="00504C11" w:rsidRDefault="00B237EA" w:rsidP="00504C11">
      <w:pPr>
        <w:pStyle w:val="Akapitzlist"/>
        <w:numPr>
          <w:ilvl w:val="0"/>
          <w:numId w:val="15"/>
        </w:numPr>
        <w:ind w:left="567" w:hanging="425"/>
        <w:contextualSpacing/>
        <w:jc w:val="both"/>
        <w:rPr>
          <w:rFonts w:ascii="Times New Roman" w:hAnsi="Times New Roman"/>
          <w:sz w:val="24"/>
          <w:szCs w:val="24"/>
        </w:rPr>
      </w:pPr>
      <w:r w:rsidRPr="00504C11">
        <w:rPr>
          <w:rFonts w:ascii="Times New Roman" w:hAnsi="Times New Roman"/>
          <w:sz w:val="24"/>
          <w:szCs w:val="24"/>
        </w:rPr>
        <w:t>uprzejmie prosimy także o podjęcie działań, w wyniku których:</w:t>
      </w:r>
    </w:p>
    <w:p w14:paraId="3D2F8DD9" w14:textId="77777777" w:rsidR="00B237EA" w:rsidRPr="00504C11" w:rsidRDefault="00B237EA" w:rsidP="00B237EA">
      <w:pPr>
        <w:spacing w:after="0" w:line="240" w:lineRule="auto"/>
        <w:ind w:left="993" w:hanging="426"/>
        <w:jc w:val="both"/>
        <w:rPr>
          <w:rFonts w:ascii="Times New Roman" w:hAnsi="Times New Roman" w:cs="Times New Roman"/>
          <w:sz w:val="10"/>
          <w:szCs w:val="10"/>
        </w:rPr>
      </w:pPr>
    </w:p>
    <w:p w14:paraId="64618EC1" w14:textId="77777777" w:rsidR="00B237EA" w:rsidRPr="00504C11" w:rsidRDefault="00B237EA" w:rsidP="00A65523">
      <w:pPr>
        <w:spacing w:after="0" w:line="240" w:lineRule="auto"/>
        <w:ind w:left="567"/>
        <w:jc w:val="both"/>
        <w:rPr>
          <w:rFonts w:ascii="Times New Roman" w:hAnsi="Times New Roman" w:cs="Times New Roman"/>
          <w:sz w:val="24"/>
          <w:szCs w:val="24"/>
        </w:rPr>
      </w:pPr>
      <w:r w:rsidRPr="00504C11">
        <w:rPr>
          <w:rFonts w:ascii="Times New Roman" w:hAnsi="Times New Roman" w:cs="Times New Roman"/>
          <w:i/>
          <w:iCs/>
          <w:sz w:val="24"/>
          <w:szCs w:val="24"/>
        </w:rPr>
        <w:t>de lege lata</w:t>
      </w:r>
      <w:r w:rsidRPr="00504C11">
        <w:rPr>
          <w:rFonts w:ascii="Times New Roman" w:hAnsi="Times New Roman" w:cs="Times New Roman"/>
          <w:sz w:val="24"/>
          <w:szCs w:val="24"/>
        </w:rPr>
        <w:t xml:space="preserve"> do rejestrów Urzędu Patentowego RP: </w:t>
      </w:r>
    </w:p>
    <w:p w14:paraId="0DAE628D" w14:textId="77777777" w:rsidR="00B237EA" w:rsidRPr="00504C11" w:rsidRDefault="00B237EA" w:rsidP="00A65523">
      <w:pPr>
        <w:spacing w:after="0" w:line="240" w:lineRule="auto"/>
        <w:ind w:left="567"/>
        <w:jc w:val="both"/>
        <w:rPr>
          <w:rFonts w:ascii="Times New Roman" w:hAnsi="Times New Roman" w:cs="Times New Roman"/>
          <w:sz w:val="24"/>
          <w:szCs w:val="24"/>
        </w:rPr>
      </w:pPr>
      <w:r w:rsidRPr="00504C11">
        <w:rPr>
          <w:rFonts w:ascii="Times New Roman" w:hAnsi="Times New Roman" w:cs="Times New Roman"/>
          <w:sz w:val="24"/>
          <w:szCs w:val="24"/>
          <w:u w:val="single"/>
        </w:rPr>
        <w:t>wpisywane będą na bieżąco wszelkie informacje o stanie prawnym udzielonych patentów</w:t>
      </w:r>
      <w:r w:rsidRPr="00504C11">
        <w:rPr>
          <w:rFonts w:ascii="Times New Roman" w:hAnsi="Times New Roman" w:cs="Times New Roman"/>
          <w:sz w:val="24"/>
          <w:szCs w:val="24"/>
        </w:rPr>
        <w:t xml:space="preserve"> wymagane z mocy § 8 pkt. F rozporządzenia Prezesa Rady Ministrów z dnia 12 stycznia 2017 r. w sprawie rejestrów prowadzonych przez Urząd Patentowy Rzeczypospolitej Polskiej (Dz.U. poz. 115), które to rozporządzenie dalej nazywane jest gdyż obecnie obowiązek ten nie jest realizowany, w efekcie dla osób trzecich informacje o decyzjach w przedmiocie wniosków o unieważnienie są niedostępne, a sytuacja ta niestety nie zapewnia czystości, przejrzystości i bezpieczeństwa obrotu prawnego (często wywołuje poważne szkody i niekorzystne następstwa dla przedsiębiorców, co skutkuje zmniejszeniem wpływów do budżetu państwa), a także</w:t>
      </w:r>
    </w:p>
    <w:p w14:paraId="760765EE" w14:textId="77777777" w:rsidR="00B237EA" w:rsidRPr="00504C11" w:rsidRDefault="00B237EA" w:rsidP="00A65523">
      <w:pPr>
        <w:spacing w:after="0" w:line="240" w:lineRule="auto"/>
        <w:ind w:left="567"/>
        <w:jc w:val="both"/>
        <w:rPr>
          <w:rFonts w:ascii="Times New Roman" w:hAnsi="Times New Roman" w:cs="Times New Roman"/>
          <w:sz w:val="24"/>
          <w:szCs w:val="24"/>
        </w:rPr>
      </w:pPr>
      <w:r w:rsidRPr="00504C11">
        <w:rPr>
          <w:rFonts w:ascii="Times New Roman" w:hAnsi="Times New Roman" w:cs="Times New Roman"/>
          <w:i/>
          <w:iCs/>
          <w:sz w:val="24"/>
          <w:szCs w:val="24"/>
        </w:rPr>
        <w:t>de lege ferenda</w:t>
      </w:r>
      <w:r w:rsidRPr="00504C11">
        <w:rPr>
          <w:rFonts w:ascii="Times New Roman" w:hAnsi="Times New Roman" w:cs="Times New Roman"/>
          <w:sz w:val="24"/>
          <w:szCs w:val="24"/>
        </w:rPr>
        <w:t xml:space="preserve"> </w:t>
      </w:r>
      <w:r w:rsidRPr="00504C11">
        <w:rPr>
          <w:rFonts w:ascii="Times New Roman" w:hAnsi="Times New Roman" w:cs="Times New Roman"/>
          <w:sz w:val="24"/>
          <w:szCs w:val="24"/>
          <w:u w:val="single"/>
        </w:rPr>
        <w:t>uzupełniona zostanie treść rozporządzenia RSR</w:t>
      </w:r>
      <w:r w:rsidRPr="00504C11">
        <w:rPr>
          <w:rFonts w:ascii="Times New Roman" w:hAnsi="Times New Roman" w:cs="Times New Roman"/>
          <w:sz w:val="24"/>
          <w:szCs w:val="24"/>
        </w:rPr>
        <w:t xml:space="preserve">, aby w jej wyniku do rejestrów Urzędu Patentowego wpisywane były wszelkie orzeczenia (np. także wyroki sądów, w tym sądów administracyjnych), gdyż </w:t>
      </w:r>
      <w:r w:rsidRPr="00504C11">
        <w:rPr>
          <w:rFonts w:ascii="Times New Roman" w:hAnsi="Times New Roman" w:cs="Times New Roman"/>
          <w:sz w:val="24"/>
          <w:szCs w:val="24"/>
          <w:u w:val="single"/>
        </w:rPr>
        <w:t>obecnie w treści § 8 pkt. 6</w:t>
      </w:r>
      <w:r w:rsidRPr="00504C11">
        <w:rPr>
          <w:rFonts w:ascii="Times New Roman" w:hAnsi="Times New Roman" w:cs="Times New Roman"/>
          <w:sz w:val="24"/>
          <w:szCs w:val="24"/>
        </w:rPr>
        <w:t xml:space="preserve"> dotyczącym </w:t>
      </w:r>
      <w:r w:rsidRPr="00504C11">
        <w:rPr>
          <w:rFonts w:ascii="Times New Roman" w:hAnsi="Times New Roman" w:cs="Times New Roman"/>
          <w:i/>
          <w:iCs/>
          <w:sz w:val="24"/>
          <w:szCs w:val="24"/>
        </w:rPr>
        <w:t>„rubryki F"</w:t>
      </w:r>
      <w:r w:rsidRPr="00504C11">
        <w:rPr>
          <w:rFonts w:ascii="Times New Roman" w:hAnsi="Times New Roman" w:cs="Times New Roman"/>
          <w:sz w:val="24"/>
          <w:szCs w:val="24"/>
        </w:rPr>
        <w:t xml:space="preserve"> nie </w:t>
      </w:r>
      <w:r w:rsidRPr="00504C11">
        <w:rPr>
          <w:rFonts w:ascii="Times New Roman" w:hAnsi="Times New Roman" w:cs="Times New Roman"/>
          <w:sz w:val="24"/>
          <w:szCs w:val="24"/>
          <w:u w:val="single"/>
        </w:rPr>
        <w:t>przewidziano miejsca na wpisywanie danych, których ujawnianie przewiduje art. 228 ust.1</w:t>
      </w:r>
      <w:r w:rsidRPr="00504C11">
        <w:rPr>
          <w:rFonts w:ascii="Times New Roman" w:hAnsi="Times New Roman" w:cs="Times New Roman"/>
          <w:sz w:val="24"/>
          <w:szCs w:val="24"/>
          <w:u w:val="single"/>
          <w:vertAlign w:val="superscript"/>
        </w:rPr>
        <w:t>1</w:t>
      </w:r>
      <w:r w:rsidRPr="00504C11">
        <w:rPr>
          <w:rFonts w:ascii="Times New Roman" w:hAnsi="Times New Roman" w:cs="Times New Roman"/>
          <w:sz w:val="24"/>
          <w:szCs w:val="24"/>
        </w:rPr>
        <w:t xml:space="preserve"> ustawy z dnia 30 czerwca 2000 r. Prawo własności przemysłowej (Dz. U. 2021 r. poz. 324), którym ustawodawca nakazał, by -3- dokonywano tu „</w:t>
      </w:r>
      <w:r w:rsidRPr="00504C11">
        <w:rPr>
          <w:rFonts w:ascii="Times New Roman" w:hAnsi="Times New Roman" w:cs="Times New Roman"/>
          <w:i/>
          <w:iCs/>
          <w:sz w:val="24"/>
          <w:szCs w:val="24"/>
        </w:rPr>
        <w:t xml:space="preserve">wpisów o stanie prawnym </w:t>
      </w:r>
      <w:r w:rsidRPr="00504C11">
        <w:rPr>
          <w:rFonts w:ascii="Times New Roman" w:hAnsi="Times New Roman" w:cs="Times New Roman"/>
          <w:i/>
          <w:iCs/>
          <w:sz w:val="24"/>
          <w:szCs w:val="24"/>
        </w:rPr>
        <w:lastRenderedPageBreak/>
        <w:t>udzielonych patentów",</w:t>
      </w:r>
      <w:r w:rsidRPr="00504C11">
        <w:rPr>
          <w:rFonts w:ascii="Times New Roman" w:hAnsi="Times New Roman" w:cs="Times New Roman"/>
          <w:sz w:val="24"/>
          <w:szCs w:val="24"/>
        </w:rPr>
        <w:t xml:space="preserve"> a jest to bezwzględnym warunkiem zapewnienia wszystkim czystości i przejrzystości krajowego obrotu prawnego.</w:t>
      </w:r>
    </w:p>
    <w:p w14:paraId="14DE49D5" w14:textId="77777777" w:rsidR="00B237EA" w:rsidRPr="00504C11" w:rsidRDefault="00B237EA" w:rsidP="00B237EA">
      <w:pPr>
        <w:spacing w:after="0" w:line="240" w:lineRule="auto"/>
        <w:ind w:left="709" w:hanging="1"/>
        <w:jc w:val="both"/>
        <w:rPr>
          <w:rFonts w:ascii="Times New Roman" w:hAnsi="Times New Roman" w:cs="Times New Roman"/>
          <w:sz w:val="6"/>
          <w:szCs w:val="6"/>
        </w:rPr>
      </w:pPr>
    </w:p>
    <w:p w14:paraId="1279753F" w14:textId="47EBC4D8"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 xml:space="preserve">W wyniku tradycji anonimizacji orzeczeń (której źródła i odmienność od praktyk przyjętych na świecie możemy chętnie omówić szerzej) dochodzi do nieracjonalnych sytuacji, gdy uczestnicy obrotu gospodarczego niebędący stronami danego postępowania spornego przez całe lata nie mogą ustalić, czy prawo udzielone przez Urząd Patentowy RP istotnie kreuje wyłączność danego podmiotu, czy też nie. Odpowiedzi Urzędu Patentowego RP, który wyjaśnia, że </w:t>
      </w:r>
      <w:r w:rsidRPr="00504C11">
        <w:rPr>
          <w:rFonts w:ascii="Times New Roman" w:hAnsi="Times New Roman" w:cs="Times New Roman"/>
          <w:i/>
          <w:iCs/>
          <w:sz w:val="24"/>
          <w:szCs w:val="24"/>
        </w:rPr>
        <w:t xml:space="preserve">„nie jest dysponentem akt postępowania sądowo-administracyjnego” </w:t>
      </w:r>
      <w:r w:rsidRPr="00504C11">
        <w:rPr>
          <w:rFonts w:ascii="Times New Roman" w:hAnsi="Times New Roman" w:cs="Times New Roman"/>
          <w:sz w:val="24"/>
          <w:szCs w:val="24"/>
        </w:rPr>
        <w:t>- są nieprecyzyjne i mylące, gdyż Urząd uczestniczy w postępowaniach spornych na kolejnych, sądowo-administracyjnych jego etapach na prawach strony (jako uczestnik postępowania, skarżący, a niekiedy nawet jako „</w:t>
      </w:r>
      <w:r w:rsidRPr="00504C11">
        <w:rPr>
          <w:rFonts w:ascii="Times New Roman" w:hAnsi="Times New Roman" w:cs="Times New Roman"/>
          <w:i/>
          <w:iCs/>
          <w:sz w:val="24"/>
          <w:szCs w:val="24"/>
        </w:rPr>
        <w:t>kasator”</w:t>
      </w:r>
      <w:r w:rsidRPr="00504C11">
        <w:rPr>
          <w:rFonts w:ascii="Times New Roman" w:hAnsi="Times New Roman" w:cs="Times New Roman"/>
          <w:sz w:val="24"/>
          <w:szCs w:val="24"/>
        </w:rPr>
        <w:t xml:space="preserve">), otrzymuje zatem odpisy pism i środków odwoławczych składanych w sprawach (od kilku lat także odpowiada na nie). Urząd Patentowy RP dysponuje zatem wiedzą o postępowaniach toczących się przed sądami administracyjnymi w sprawie praw udzielanych przez Urząd. Sytuacja ta wymaga </w:t>
      </w:r>
      <w:r w:rsidR="006365F0" w:rsidRPr="00504C11">
        <w:rPr>
          <w:rFonts w:ascii="Times New Roman" w:hAnsi="Times New Roman" w:cs="Times New Roman"/>
          <w:sz w:val="24"/>
          <w:szCs w:val="24"/>
        </w:rPr>
        <w:t>przeanalizowania i unormowania.</w:t>
      </w:r>
    </w:p>
    <w:p w14:paraId="3AEB6E68" w14:textId="77777777" w:rsidR="006365F0" w:rsidRPr="00504C11" w:rsidRDefault="006365F0" w:rsidP="006365F0">
      <w:pPr>
        <w:spacing w:after="0" w:line="240" w:lineRule="auto"/>
        <w:ind w:firstLine="707"/>
        <w:jc w:val="both"/>
        <w:rPr>
          <w:rFonts w:ascii="Times New Roman" w:hAnsi="Times New Roman" w:cs="Times New Roman"/>
          <w:sz w:val="6"/>
          <w:szCs w:val="6"/>
        </w:rPr>
      </w:pPr>
    </w:p>
    <w:p w14:paraId="5893AF8D" w14:textId="77777777"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Niniejszy apel (i wniosek o udzielenie informacji, w tej konkretnej, wskazanej wyżej sprawie) zgodny jest z normą postępowania administracyjnego, tzw. fasadą informowania stron^, która zobowiązuje organ administracji publicznej do udzielania niezbędnych wyjaśnień, w celu ochrony strony i innych osób biorących udział w postępowaniu przed negatywnymi konsekwencjami braku wiedzy. Zasada ta sformułowana została w art. 9 ustawy z dnia 14 czerwca 1960 r. Kodeks postępowania administracyjnego (Dz. U. 2021 r. poz. 735 z późn. zm.), niezależnie od dostępu do informacji gwarantowanej stronom postępowań administracyjnych - konieczne jest zapewnienie osobom trzecim dostępu do informacji o statusie praw wyłącznych udzielanych przez Urząd Patentowy RP.</w:t>
      </w:r>
    </w:p>
    <w:p w14:paraId="34C2A0DF" w14:textId="77777777" w:rsidR="00B237EA" w:rsidRPr="00504C11" w:rsidRDefault="00B237EA" w:rsidP="00B237EA">
      <w:pPr>
        <w:spacing w:after="0" w:line="240" w:lineRule="auto"/>
        <w:ind w:firstLine="707"/>
        <w:jc w:val="both"/>
        <w:rPr>
          <w:rFonts w:ascii="Times New Roman" w:hAnsi="Times New Roman" w:cs="Times New Roman"/>
          <w:sz w:val="2"/>
          <w:szCs w:val="2"/>
        </w:rPr>
      </w:pPr>
    </w:p>
    <w:p w14:paraId="5271B9FE" w14:textId="39049F31" w:rsidR="00B237EA" w:rsidRPr="00504C11" w:rsidRDefault="006365F0" w:rsidP="006365F0">
      <w:pPr>
        <w:spacing w:after="0" w:line="240" w:lineRule="auto"/>
        <w:ind w:firstLine="707"/>
        <w:jc w:val="center"/>
        <w:rPr>
          <w:rFonts w:ascii="Times New Roman" w:hAnsi="Times New Roman" w:cs="Times New Roman"/>
          <w:sz w:val="24"/>
          <w:szCs w:val="24"/>
        </w:rPr>
      </w:pPr>
      <w:r w:rsidRPr="00504C11">
        <w:rPr>
          <w:rFonts w:ascii="Times New Roman" w:hAnsi="Times New Roman" w:cs="Times New Roman"/>
          <w:sz w:val="24"/>
          <w:szCs w:val="24"/>
        </w:rPr>
        <w:t>* * *</w:t>
      </w:r>
    </w:p>
    <w:p w14:paraId="6FF924CE" w14:textId="77777777" w:rsidR="00B237EA" w:rsidRPr="00504C11" w:rsidRDefault="00B237EA" w:rsidP="00A65523">
      <w:pPr>
        <w:spacing w:after="0" w:line="240" w:lineRule="auto"/>
        <w:ind w:firstLine="567"/>
        <w:jc w:val="both"/>
        <w:rPr>
          <w:rFonts w:ascii="Times New Roman" w:hAnsi="Times New Roman" w:cs="Times New Roman"/>
          <w:sz w:val="24"/>
          <w:szCs w:val="24"/>
        </w:rPr>
      </w:pPr>
      <w:r w:rsidRPr="00504C11">
        <w:rPr>
          <w:rFonts w:ascii="Times New Roman" w:hAnsi="Times New Roman" w:cs="Times New Roman"/>
          <w:sz w:val="24"/>
          <w:szCs w:val="24"/>
        </w:rPr>
        <w:t xml:space="preserve">Zwracamy się z apelem, aby podjęte zostały opisane wyżej, pilnie potrzebne działania. </w:t>
      </w:r>
    </w:p>
    <w:p w14:paraId="4405E361" w14:textId="77777777" w:rsidR="00B237EA" w:rsidRPr="00504C11" w:rsidRDefault="00B237EA" w:rsidP="00B237EA">
      <w:pPr>
        <w:spacing w:after="0" w:line="240" w:lineRule="auto"/>
        <w:ind w:firstLine="707"/>
        <w:jc w:val="both"/>
        <w:rPr>
          <w:rFonts w:ascii="Times New Roman" w:hAnsi="Times New Roman" w:cs="Times New Roman"/>
          <w:sz w:val="10"/>
          <w:szCs w:val="10"/>
        </w:rPr>
      </w:pPr>
    </w:p>
    <w:p w14:paraId="30F0D37C" w14:textId="53A19729" w:rsidR="00B237EA" w:rsidRPr="00504C11" w:rsidRDefault="00B237EA" w:rsidP="00A65523">
      <w:pPr>
        <w:spacing w:after="0" w:line="240" w:lineRule="auto"/>
        <w:ind w:firstLine="567"/>
        <w:jc w:val="both"/>
        <w:rPr>
          <w:rFonts w:ascii="Times New Roman" w:hAnsi="Times New Roman" w:cs="Times New Roman"/>
          <w:i/>
          <w:iCs/>
          <w:sz w:val="24"/>
          <w:szCs w:val="24"/>
        </w:rPr>
      </w:pPr>
      <w:r w:rsidRPr="00504C11">
        <w:rPr>
          <w:rFonts w:ascii="Times New Roman" w:hAnsi="Times New Roman" w:cs="Times New Roman"/>
          <w:i/>
          <w:iCs/>
          <w:sz w:val="24"/>
          <w:szCs w:val="24"/>
        </w:rPr>
        <w:t xml:space="preserve">Pozostajemy z poważaniem i przekazujemy wyrazy szacunku wszystkim Ekspertom, którzy troszczą się o dobrą </w:t>
      </w:r>
      <w:r w:rsidR="006365F0" w:rsidRPr="00504C11">
        <w:rPr>
          <w:rFonts w:ascii="Times New Roman" w:hAnsi="Times New Roman" w:cs="Times New Roman"/>
          <w:i/>
          <w:iCs/>
          <w:sz w:val="24"/>
          <w:szCs w:val="24"/>
        </w:rPr>
        <w:t xml:space="preserve">przyszłość polskiej gospodarki </w:t>
      </w:r>
      <w:r w:rsidR="00D15CE8" w:rsidRPr="00504C11">
        <w:rPr>
          <w:rFonts w:ascii="Times New Roman" w:hAnsi="Times New Roman" w:cs="Times New Roman"/>
          <w:i/>
          <w:iCs/>
          <w:sz w:val="24"/>
          <w:szCs w:val="24"/>
        </w:rPr>
        <w:t>–</w:t>
      </w:r>
    </w:p>
    <w:p w14:paraId="7C1574CF" w14:textId="77777777" w:rsidR="00D15CE8" w:rsidRPr="00504C11" w:rsidRDefault="00D15CE8" w:rsidP="00A65523">
      <w:pPr>
        <w:spacing w:after="0" w:line="240" w:lineRule="auto"/>
        <w:ind w:firstLine="567"/>
        <w:jc w:val="both"/>
        <w:rPr>
          <w:rFonts w:ascii="Times New Roman" w:hAnsi="Times New Roman" w:cs="Times New Roman"/>
          <w:i/>
          <w:iCs/>
          <w:sz w:val="24"/>
          <w:szCs w:val="24"/>
        </w:rPr>
      </w:pPr>
    </w:p>
    <w:p w14:paraId="0912847B" w14:textId="6DA8A4CD" w:rsidR="006365F0" w:rsidRPr="00EC4F25" w:rsidRDefault="006365F0" w:rsidP="00D15CE8">
      <w:pPr>
        <w:spacing w:after="0" w:line="240" w:lineRule="auto"/>
        <w:jc w:val="center"/>
        <w:rPr>
          <w:i/>
          <w:iCs/>
        </w:rPr>
      </w:pPr>
      <w:r>
        <w:rPr>
          <w:i/>
          <w:iCs/>
          <w:noProof/>
          <w:lang w:eastAsia="pl-PL"/>
        </w:rPr>
        <w:drawing>
          <wp:inline distT="0" distB="0" distL="0" distR="0" wp14:anchorId="5C0F1234" wp14:editId="04B2522E">
            <wp:extent cx="6034861" cy="3069771"/>
            <wp:effectExtent l="0" t="0" r="4445" b="0"/>
            <wp:docPr id="1848271542" name="Obraz 184827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7772" cy="3096685"/>
                    </a:xfrm>
                    <a:prstGeom prst="rect">
                      <a:avLst/>
                    </a:prstGeom>
                    <a:noFill/>
                    <a:ln>
                      <a:noFill/>
                    </a:ln>
                  </pic:spPr>
                </pic:pic>
              </a:graphicData>
            </a:graphic>
          </wp:inline>
        </w:drawing>
      </w:r>
    </w:p>
    <w:p w14:paraId="048A94D2" w14:textId="77777777" w:rsidR="00504C11" w:rsidRDefault="00504C11" w:rsidP="00A922AD">
      <w:pPr>
        <w:spacing w:after="0" w:line="240" w:lineRule="auto"/>
        <w:ind w:firstLine="707"/>
        <w:rPr>
          <w:i/>
          <w:iCs/>
        </w:rPr>
      </w:pPr>
    </w:p>
    <w:p w14:paraId="4EEC5082" w14:textId="39BA8109" w:rsidR="00C631AD" w:rsidRPr="00EC4F25" w:rsidRDefault="005C745D" w:rsidP="005C745D">
      <w:pPr>
        <w:spacing w:after="0" w:line="240" w:lineRule="auto"/>
        <w:rPr>
          <w:i/>
          <w:iCs/>
        </w:rPr>
      </w:pPr>
      <w:r w:rsidRPr="00EC4F25">
        <w:rPr>
          <w:i/>
          <w:iCs/>
        </w:rPr>
        <w:object w:dxaOrig="8925" w:dyaOrig="12615" w14:anchorId="3677F3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8pt;height:676.8pt" o:ole="">
            <v:imagedata r:id="rId72" o:title=""/>
          </v:shape>
          <o:OLEObject Type="Embed" ProgID="FoxitReader.Document" ShapeID="_x0000_i1025" DrawAspect="Content" ObjectID="_1780732249" r:id="rId73"/>
        </w:object>
      </w:r>
    </w:p>
    <w:p w14:paraId="7DAFFECC" w14:textId="77777777" w:rsidR="00BB4BF9" w:rsidRDefault="00BB4BF9" w:rsidP="00BB4BF9">
      <w:pPr>
        <w:shd w:val="clear" w:color="auto" w:fill="FFFFFF"/>
        <w:spacing w:after="0" w:line="240" w:lineRule="auto"/>
        <w:jc w:val="both"/>
        <w:rPr>
          <w:sz w:val="24"/>
          <w:szCs w:val="24"/>
          <w:u w:val="single"/>
          <w:lang w:val="en-GB"/>
        </w:rPr>
      </w:pPr>
    </w:p>
    <w:p w14:paraId="17512070" w14:textId="4D7E2349" w:rsidR="00CF68CE" w:rsidRPr="001E4CF6" w:rsidRDefault="00CF68CE" w:rsidP="00CF68CE">
      <w:pPr>
        <w:spacing w:after="0"/>
        <w:rPr>
          <w:kern w:val="0"/>
          <w:u w:val="single"/>
        </w:rPr>
      </w:pPr>
      <w:bookmarkStart w:id="51" w:name="_Hlk169373374"/>
      <w:r w:rsidRPr="00CF68CE">
        <w:rPr>
          <w:b/>
          <w:bCs/>
          <w:sz w:val="24"/>
          <w:szCs w:val="24"/>
        </w:rPr>
        <w:lastRenderedPageBreak/>
        <w:t>Uwaga Redakcji:</w:t>
      </w:r>
    </w:p>
    <w:p w14:paraId="6175DFA7" w14:textId="1EE68C6A" w:rsidR="00CF68CE" w:rsidRPr="002D0CD5" w:rsidRDefault="00CF68CE" w:rsidP="00CF68CE">
      <w:pPr>
        <w:spacing w:after="0"/>
        <w:rPr>
          <w:u w:val="single"/>
        </w:rPr>
      </w:pPr>
      <w:r w:rsidRPr="002D0CD5">
        <w:rPr>
          <w:sz w:val="24"/>
          <w:szCs w:val="24"/>
        </w:rPr>
        <w:t>Pozostaje nam</w:t>
      </w:r>
      <w:r>
        <w:rPr>
          <w:sz w:val="24"/>
          <w:szCs w:val="24"/>
        </w:rPr>
        <w:t xml:space="preserve"> głęboko wierzyć, że </w:t>
      </w:r>
      <w:r w:rsidR="00D80D45">
        <w:rPr>
          <w:sz w:val="24"/>
          <w:szCs w:val="24"/>
        </w:rPr>
        <w:t xml:space="preserve">wkrótce stanie się zadość </w:t>
      </w:r>
      <w:r>
        <w:rPr>
          <w:sz w:val="24"/>
          <w:szCs w:val="24"/>
        </w:rPr>
        <w:t>b</w:t>
      </w:r>
      <w:r w:rsidRPr="002D0CD5">
        <w:rPr>
          <w:sz w:val="24"/>
          <w:szCs w:val="24"/>
        </w:rPr>
        <w:t>iblij</w:t>
      </w:r>
      <w:r>
        <w:rPr>
          <w:sz w:val="24"/>
          <w:szCs w:val="24"/>
        </w:rPr>
        <w:t>nej</w:t>
      </w:r>
      <w:r w:rsidRPr="002D0CD5">
        <w:rPr>
          <w:sz w:val="24"/>
          <w:szCs w:val="24"/>
        </w:rPr>
        <w:t xml:space="preserve"> zasad</w:t>
      </w:r>
      <w:r>
        <w:rPr>
          <w:sz w:val="24"/>
          <w:szCs w:val="24"/>
        </w:rPr>
        <w:t>zie</w:t>
      </w:r>
      <w:r w:rsidRPr="002D0CD5">
        <w:rPr>
          <w:sz w:val="24"/>
          <w:szCs w:val="24"/>
        </w:rPr>
        <w:t xml:space="preserve">: </w:t>
      </w:r>
      <w:r w:rsidRPr="00CF68CE">
        <w:rPr>
          <w:i/>
          <w:iCs/>
          <w:sz w:val="24"/>
          <w:szCs w:val="24"/>
        </w:rPr>
        <w:t>“Proście, a będzie wam dane!</w:t>
      </w:r>
      <w:r w:rsidRPr="002D0CD5">
        <w:rPr>
          <w:sz w:val="24"/>
          <w:szCs w:val="24"/>
        </w:rPr>
        <w:t>”.</w:t>
      </w:r>
    </w:p>
    <w:p w14:paraId="5B803B75" w14:textId="77777777" w:rsidR="00CF68CE" w:rsidRPr="000058B7" w:rsidRDefault="00CF68CE" w:rsidP="00CF68CE">
      <w:pPr>
        <w:shd w:val="clear" w:color="auto" w:fill="FFFFFF"/>
        <w:spacing w:after="0" w:line="240" w:lineRule="auto"/>
        <w:jc w:val="both"/>
        <w:rPr>
          <w:b/>
          <w:bCs/>
          <w:color w:val="2E74B5" w:themeColor="accent5" w:themeShade="BF"/>
          <w:kern w:val="0"/>
          <w:sz w:val="10"/>
          <w:szCs w:val="10"/>
        </w:rPr>
      </w:pPr>
    </w:p>
    <w:p w14:paraId="69803D8C" w14:textId="0B87CC7D" w:rsidR="00CF68CE" w:rsidRPr="0017071E" w:rsidRDefault="00CF68CE" w:rsidP="00CF68CE">
      <w:pPr>
        <w:shd w:val="clear" w:color="auto" w:fill="FFFFFF"/>
        <w:spacing w:after="0" w:line="240" w:lineRule="auto"/>
        <w:jc w:val="both"/>
        <w:rPr>
          <w:b/>
          <w:bCs/>
          <w:color w:val="2E74B5" w:themeColor="accent5" w:themeShade="BF"/>
          <w:kern w:val="0"/>
          <w:sz w:val="24"/>
          <w:szCs w:val="24"/>
          <w:lang w:val="en-US"/>
        </w:rPr>
      </w:pPr>
      <w:r w:rsidRPr="0017071E">
        <w:rPr>
          <w:b/>
          <w:bCs/>
          <w:color w:val="2E74B5" w:themeColor="accent5" w:themeShade="BF"/>
          <w:kern w:val="0"/>
          <w:sz w:val="24"/>
          <w:szCs w:val="24"/>
          <w:lang w:val="en-US"/>
        </w:rPr>
        <w:t xml:space="preserve">Editor's </w:t>
      </w:r>
      <w:r w:rsidR="00E27C35" w:rsidRPr="0017071E">
        <w:rPr>
          <w:b/>
          <w:bCs/>
          <w:color w:val="2E74B5" w:themeColor="accent5" w:themeShade="BF"/>
          <w:kern w:val="0"/>
          <w:sz w:val="24"/>
          <w:szCs w:val="24"/>
          <w:lang w:val="en-US"/>
        </w:rPr>
        <w:t>N</w:t>
      </w:r>
      <w:r w:rsidRPr="0017071E">
        <w:rPr>
          <w:b/>
          <w:bCs/>
          <w:color w:val="2E74B5" w:themeColor="accent5" w:themeShade="BF"/>
          <w:kern w:val="0"/>
          <w:sz w:val="24"/>
          <w:szCs w:val="24"/>
          <w:lang w:val="en-US"/>
        </w:rPr>
        <w:t xml:space="preserve">ote: </w:t>
      </w:r>
    </w:p>
    <w:p w14:paraId="590DE7F0" w14:textId="4FA2D20B" w:rsidR="000058B7" w:rsidRPr="0017071E" w:rsidRDefault="00E27C35" w:rsidP="000058B7">
      <w:pPr>
        <w:shd w:val="clear" w:color="auto" w:fill="FFFFFF"/>
        <w:spacing w:after="0" w:line="240" w:lineRule="auto"/>
        <w:jc w:val="both"/>
        <w:rPr>
          <w:color w:val="2E74B5" w:themeColor="accent5" w:themeShade="BF"/>
          <w:kern w:val="0"/>
          <w:sz w:val="24"/>
          <w:szCs w:val="24"/>
          <w:lang w:val="en-US"/>
        </w:rPr>
      </w:pPr>
      <w:r w:rsidRPr="0017071E">
        <w:rPr>
          <w:color w:val="2E74B5" w:themeColor="accent5" w:themeShade="BF"/>
          <w:kern w:val="0"/>
          <w:sz w:val="24"/>
          <w:szCs w:val="24"/>
          <w:lang w:val="en-US"/>
        </w:rPr>
        <w:t>We can only believe deeply that the biblical principle will soon be fulfilled: "</w:t>
      </w:r>
      <w:r w:rsidRPr="0017071E">
        <w:rPr>
          <w:i/>
          <w:iCs/>
          <w:color w:val="2E74B5" w:themeColor="accent5" w:themeShade="BF"/>
          <w:kern w:val="0"/>
          <w:sz w:val="24"/>
          <w:szCs w:val="24"/>
          <w:lang w:val="en-US"/>
        </w:rPr>
        <w:t>Ask, and it shall be given to you!</w:t>
      </w:r>
      <w:r w:rsidRPr="0017071E">
        <w:rPr>
          <w:color w:val="2E74B5" w:themeColor="accent5" w:themeShade="BF"/>
          <w:kern w:val="0"/>
          <w:sz w:val="24"/>
          <w:szCs w:val="24"/>
          <w:lang w:val="en-US"/>
        </w:rPr>
        <w:t xml:space="preserve">". </w:t>
      </w:r>
      <w:bookmarkEnd w:id="49"/>
      <w:bookmarkEnd w:id="51"/>
    </w:p>
    <w:p w14:paraId="46C04220" w14:textId="77777777" w:rsidR="000058B7" w:rsidRPr="002F7E5D" w:rsidRDefault="000058B7" w:rsidP="000058B7">
      <w:pPr>
        <w:shd w:val="clear" w:color="auto" w:fill="FFFFFF"/>
        <w:spacing w:after="0" w:line="240" w:lineRule="auto"/>
        <w:jc w:val="both"/>
        <w:rPr>
          <w:color w:val="2E74B5" w:themeColor="accent5" w:themeShade="BF"/>
          <w:kern w:val="0"/>
          <w:sz w:val="10"/>
          <w:szCs w:val="10"/>
          <w:lang w:val="en-US"/>
        </w:rPr>
      </w:pPr>
    </w:p>
    <w:p w14:paraId="2969C83D" w14:textId="0587D342" w:rsidR="002D0CD5" w:rsidRPr="000058B7" w:rsidRDefault="002D0CD5" w:rsidP="000058B7">
      <w:pPr>
        <w:shd w:val="clear" w:color="auto" w:fill="FFFFFF"/>
        <w:spacing w:after="0" w:line="240" w:lineRule="auto"/>
        <w:jc w:val="both"/>
        <w:rPr>
          <w:color w:val="2E74B5" w:themeColor="accent5" w:themeShade="BF"/>
          <w:kern w:val="0"/>
          <w:sz w:val="24"/>
          <w:szCs w:val="24"/>
        </w:rPr>
      </w:pPr>
      <w:r>
        <w:rPr>
          <w:b/>
          <w:bCs/>
          <w:sz w:val="24"/>
          <w:szCs w:val="24"/>
        </w:rPr>
        <w:t>P</w:t>
      </w:r>
      <w:r w:rsidRPr="00D15CE8">
        <w:rPr>
          <w:b/>
          <w:bCs/>
          <w:sz w:val="24"/>
          <w:szCs w:val="24"/>
        </w:rPr>
        <w:t>ojęcia kluczowe:</w:t>
      </w:r>
      <w:r w:rsidRPr="00FA6806">
        <w:rPr>
          <w:b/>
          <w:bCs/>
          <w:sz w:val="24"/>
          <w:szCs w:val="24"/>
        </w:rPr>
        <w:t xml:space="preserve"> </w:t>
      </w:r>
      <w:r w:rsidRPr="00E00E0B">
        <w:rPr>
          <w:sz w:val="24"/>
          <w:szCs w:val="24"/>
        </w:rPr>
        <w:t>LIST OTWARTY, REJESTR URZĘDU PATENTOWEGO, STATUS PRAWA WYŁĄCZNEGO, BRAK DOSTĘPU DO INFORMACJI</w:t>
      </w:r>
    </w:p>
    <w:p w14:paraId="5A3393A4" w14:textId="00D363B0" w:rsidR="002D0CD5" w:rsidRPr="000058B7" w:rsidRDefault="002D0CD5" w:rsidP="002D0CD5">
      <w:pPr>
        <w:spacing w:after="0" w:line="240" w:lineRule="auto"/>
        <w:rPr>
          <w:sz w:val="10"/>
          <w:szCs w:val="10"/>
        </w:rPr>
      </w:pPr>
      <w:bookmarkStart w:id="52" w:name="_Hlk158901122"/>
    </w:p>
    <w:p w14:paraId="07B3DF5C" w14:textId="77777777" w:rsidR="002D0CD5" w:rsidRPr="00017FFD" w:rsidRDefault="002D0CD5" w:rsidP="002D0CD5">
      <w:pPr>
        <w:spacing w:after="0" w:line="240" w:lineRule="auto"/>
        <w:rPr>
          <w:color w:val="2E74B5" w:themeColor="accent5" w:themeShade="BF"/>
          <w:sz w:val="24"/>
          <w:szCs w:val="24"/>
        </w:rPr>
      </w:pPr>
      <w:r w:rsidRPr="00D15CE8">
        <w:rPr>
          <w:b/>
          <w:bCs/>
          <w:sz w:val="24"/>
          <w:szCs w:val="24"/>
        </w:rPr>
        <w:t>Miejsce publikacji:</w:t>
      </w:r>
      <w:r w:rsidRPr="00D15CE8">
        <w:rPr>
          <w:sz w:val="24"/>
          <w:szCs w:val="24"/>
        </w:rPr>
        <w:t xml:space="preserve"> </w:t>
      </w:r>
      <w:bookmarkEnd w:id="52"/>
      <w:r w:rsidRPr="0017071E">
        <w:fldChar w:fldCharType="begin"/>
      </w:r>
      <w:r w:rsidRPr="0017071E">
        <w:rPr>
          <w:color w:val="2E74B5" w:themeColor="accent5" w:themeShade="BF"/>
          <w:sz w:val="24"/>
          <w:szCs w:val="24"/>
        </w:rPr>
        <w:instrText>HYPERLINK "https://stowi.pl/list-otwarty-w-sprawie-braku-istotnych-informacji-dot-aktualnego-stanu-praw/"</w:instrText>
      </w:r>
      <w:r w:rsidRPr="0017071E">
        <w:fldChar w:fldCharType="separate"/>
      </w:r>
      <w:r w:rsidRPr="0017071E">
        <w:rPr>
          <w:rStyle w:val="Hipercze"/>
          <w:color w:val="2E74B5" w:themeColor="accent5" w:themeShade="BF"/>
          <w:sz w:val="24"/>
          <w:szCs w:val="24"/>
        </w:rPr>
        <w:t>https://stowi.pl/list-otwarty-w-sprawie-braku-istotnych-informacji-dot-aktualnego-stanu-praw/</w:t>
      </w:r>
      <w:r w:rsidRPr="0017071E">
        <w:rPr>
          <w:rStyle w:val="Hipercze"/>
          <w:color w:val="2E74B5" w:themeColor="accent5" w:themeShade="BF"/>
          <w:sz w:val="24"/>
          <w:szCs w:val="24"/>
        </w:rPr>
        <w:fldChar w:fldCharType="end"/>
      </w:r>
      <w:r w:rsidRPr="0017071E">
        <w:rPr>
          <w:color w:val="2E74B5" w:themeColor="accent5" w:themeShade="BF"/>
          <w:sz w:val="24"/>
          <w:szCs w:val="24"/>
        </w:rPr>
        <w:t xml:space="preserve"> </w:t>
      </w:r>
    </w:p>
    <w:p w14:paraId="535E1973" w14:textId="77777777" w:rsidR="00BB4BF9" w:rsidRDefault="00BB4BF9" w:rsidP="00545B86"/>
    <w:p w14:paraId="4F2FCB91" w14:textId="77777777" w:rsidR="005C745D" w:rsidRDefault="005C745D" w:rsidP="00545B86"/>
    <w:p w14:paraId="03B47921" w14:textId="77777777" w:rsidR="005C745D" w:rsidRDefault="005C745D" w:rsidP="00545B86"/>
    <w:p w14:paraId="7AA928EF" w14:textId="77777777" w:rsidR="005C745D" w:rsidRDefault="005C745D" w:rsidP="00545B86"/>
    <w:p w14:paraId="45EE5EDB" w14:textId="77777777" w:rsidR="005C745D" w:rsidRDefault="005C745D" w:rsidP="00545B86"/>
    <w:p w14:paraId="48C55AAA" w14:textId="77777777" w:rsidR="005C745D" w:rsidRDefault="005C745D" w:rsidP="00545B86"/>
    <w:p w14:paraId="2593A713" w14:textId="77777777" w:rsidR="005C745D" w:rsidRDefault="005C745D" w:rsidP="00545B86"/>
    <w:p w14:paraId="5CD61DFC" w14:textId="77777777" w:rsidR="005C745D" w:rsidRDefault="005C745D" w:rsidP="00545B86"/>
    <w:p w14:paraId="1AFC0E02" w14:textId="77777777" w:rsidR="005C745D" w:rsidRDefault="005C745D" w:rsidP="00545B86"/>
    <w:p w14:paraId="18C7CF80" w14:textId="77777777" w:rsidR="005C745D" w:rsidRDefault="005C745D" w:rsidP="00545B86"/>
    <w:p w14:paraId="1C209E24" w14:textId="77777777" w:rsidR="005C745D" w:rsidRDefault="005C745D" w:rsidP="00545B86"/>
    <w:p w14:paraId="2CE5BAFE" w14:textId="77777777" w:rsidR="005C745D" w:rsidRDefault="005C745D" w:rsidP="00545B86"/>
    <w:p w14:paraId="28C9FB11" w14:textId="77777777" w:rsidR="005C745D" w:rsidRDefault="005C745D" w:rsidP="00545B86"/>
    <w:p w14:paraId="20670661" w14:textId="77777777" w:rsidR="005C745D" w:rsidRDefault="005C745D" w:rsidP="00545B86"/>
    <w:p w14:paraId="7DD8AB83" w14:textId="77777777" w:rsidR="005C745D" w:rsidRDefault="005C745D" w:rsidP="00545B86"/>
    <w:p w14:paraId="29D2CBB4" w14:textId="77777777" w:rsidR="005C745D" w:rsidRDefault="005C745D" w:rsidP="00545B86"/>
    <w:p w14:paraId="49126337" w14:textId="77777777" w:rsidR="005C745D" w:rsidRDefault="005C745D" w:rsidP="00545B86"/>
    <w:p w14:paraId="627BA352" w14:textId="77777777" w:rsidR="005C745D" w:rsidRDefault="005C745D" w:rsidP="00545B86"/>
    <w:p w14:paraId="6A60706D" w14:textId="77777777" w:rsidR="005C745D" w:rsidRDefault="005C745D" w:rsidP="00545B86"/>
    <w:p w14:paraId="17F619DB" w14:textId="77777777" w:rsidR="005C745D" w:rsidRDefault="005C745D" w:rsidP="00545B86"/>
    <w:p w14:paraId="6385A2A1" w14:textId="77777777" w:rsidR="005C745D" w:rsidRDefault="005C745D" w:rsidP="00545B86"/>
    <w:p w14:paraId="23467CDB" w14:textId="77777777" w:rsidR="005C745D" w:rsidRPr="002D0CD5" w:rsidRDefault="005C745D" w:rsidP="00545B86"/>
    <w:p w14:paraId="5BE0C970" w14:textId="77777777" w:rsidR="00BB4BF9" w:rsidRDefault="00BB4BF9" w:rsidP="00545B86"/>
    <w:bookmarkStart w:id="53" w:name="_Hlk156420201"/>
    <w:p w14:paraId="00828EFA" w14:textId="7DB4CB63" w:rsidR="00A95BF0" w:rsidRPr="002D0CD5" w:rsidRDefault="00312AD3" w:rsidP="00A95BF0">
      <w:pPr>
        <w:spacing w:after="0" w:line="240" w:lineRule="auto"/>
        <w:ind w:left="284" w:hanging="284"/>
        <w:jc w:val="center"/>
        <w:rPr>
          <w:b/>
          <w:bCs/>
          <w:sz w:val="26"/>
          <w:szCs w:val="26"/>
        </w:rPr>
      </w:pPr>
      <w:r w:rsidRPr="00EC4F25">
        <w:rPr>
          <w:rFonts w:cstheme="minorHAnsi"/>
          <w:noProof/>
          <w:color w:val="C00000"/>
          <w:sz w:val="30"/>
          <w:lang w:eastAsia="pl-PL"/>
        </w:rPr>
        <w:lastRenderedPageBreak/>
        <mc:AlternateContent>
          <mc:Choice Requires="wps">
            <w:drawing>
              <wp:anchor distT="0" distB="0" distL="114300" distR="114300" simplePos="0" relativeHeight="251831296" behindDoc="0" locked="0" layoutInCell="1" allowOverlap="1" wp14:anchorId="36EB4512" wp14:editId="4AA152B4">
                <wp:simplePos x="0" y="0"/>
                <wp:positionH relativeFrom="margin">
                  <wp:posOffset>-99105</wp:posOffset>
                </wp:positionH>
                <wp:positionV relativeFrom="paragraph">
                  <wp:posOffset>-178465</wp:posOffset>
                </wp:positionV>
                <wp:extent cx="903767" cy="372745"/>
                <wp:effectExtent l="0" t="0" r="0" b="8255"/>
                <wp:wrapNone/>
                <wp:docPr id="1249170710" name="Pole tekstowe 1"/>
                <wp:cNvGraphicFramePr/>
                <a:graphic xmlns:a="http://schemas.openxmlformats.org/drawingml/2006/main">
                  <a:graphicData uri="http://schemas.microsoft.com/office/word/2010/wordprocessingShape">
                    <wps:wsp>
                      <wps:cNvSpPr txBox="1"/>
                      <wps:spPr>
                        <a:xfrm>
                          <a:off x="0" y="0"/>
                          <a:ext cx="903767" cy="372745"/>
                        </a:xfrm>
                        <a:prstGeom prst="rect">
                          <a:avLst/>
                        </a:prstGeom>
                        <a:solidFill>
                          <a:schemeClr val="lt1"/>
                        </a:solidFill>
                        <a:ln w="6350">
                          <a:noFill/>
                        </a:ln>
                      </wps:spPr>
                      <wps:txbx>
                        <w:txbxContent>
                          <w:p w14:paraId="4513645D" w14:textId="170563C2" w:rsidR="00541DD6" w:rsidRPr="00FA4053" w:rsidRDefault="00CC6551" w:rsidP="00312AD3">
                            <w:pPr>
                              <w:pStyle w:val="NumeracjaRozdzial"/>
                            </w:pPr>
                            <w:r>
                              <w:t>5</w:t>
                            </w:r>
                            <w:r w:rsidR="00541DD6" w:rsidRPr="00FA4053">
                              <w:t>.</w:t>
                            </w:r>
                          </w:p>
                          <w:p w14:paraId="13FE0C2B" w14:textId="77777777" w:rsidR="00541DD6" w:rsidRDefault="00541DD6" w:rsidP="00A95BF0">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B4512" id="_x0000_s1033" type="#_x0000_t202" style="position:absolute;left:0;text-align:left;margin-left:-7.8pt;margin-top:-14.05pt;width:71.15pt;height:29.3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" fillcolor="white [3201]" stroked="f" strokeweight=".5pt">
                <v:textbox>
                  <w:txbxContent>
                    <w:p w14:paraId="4513645D" w14:textId="170563C2" w:rsidR="00541DD6" w:rsidRPr="00FA4053" w:rsidRDefault="00CC6551" w:rsidP="00312AD3">
                      <w:pPr>
                        <w:pStyle w:val="NumeracjaRozdzial"/>
                      </w:pPr>
                      <w:r>
                        <w:t>5</w:t>
                      </w:r>
                      <w:r w:rsidR="00541DD6" w:rsidRPr="00FA4053">
                        <w:t>.</w:t>
                      </w:r>
                    </w:p>
                    <w:p w14:paraId="13FE0C2B" w14:textId="77777777" w:rsidR="00541DD6" w:rsidRDefault="00541DD6" w:rsidP="00A95BF0">
                      <w:pPr>
                        <w:spacing w:after="144"/>
                      </w:pPr>
                    </w:p>
                  </w:txbxContent>
                </v:textbox>
                <w10:wrap anchorx="margin"/>
              </v:shape>
            </w:pict>
          </mc:Fallback>
        </mc:AlternateContent>
      </w:r>
    </w:p>
    <w:p w14:paraId="74CF5CDF" w14:textId="4D7811CF" w:rsidR="005364D3" w:rsidRPr="002D0CD5" w:rsidRDefault="00A95BF0" w:rsidP="00A978B1">
      <w:pPr>
        <w:rPr>
          <w:noProof/>
          <w:lang w:eastAsia="pl-PL"/>
        </w:rPr>
      </w:pPr>
      <w:r w:rsidRPr="005364D3">
        <w:rPr>
          <w:noProof/>
          <w:lang w:eastAsia="pl-PL"/>
        </w:rPr>
        <w:drawing>
          <wp:anchor distT="0" distB="0" distL="114300" distR="114300" simplePos="0" relativeHeight="251832320" behindDoc="0" locked="0" layoutInCell="1" allowOverlap="1" wp14:anchorId="242DE659" wp14:editId="524A9A18">
            <wp:simplePos x="0" y="0"/>
            <wp:positionH relativeFrom="margin">
              <wp:align>left</wp:align>
            </wp:positionH>
            <wp:positionV relativeFrom="paragraph">
              <wp:posOffset>10897</wp:posOffset>
            </wp:positionV>
            <wp:extent cx="1980000" cy="1080000"/>
            <wp:effectExtent l="0" t="0" r="1270" b="6350"/>
            <wp:wrapThrough wrapText="bothSides">
              <wp:wrapPolygon edited="0">
                <wp:start x="0" y="0"/>
                <wp:lineTo x="0" y="21346"/>
                <wp:lineTo x="21406" y="21346"/>
                <wp:lineTo x="21406" y="0"/>
                <wp:lineTo x="0" y="0"/>
              </wp:wrapPolygon>
            </wp:wrapThrough>
            <wp:docPr id="1249170711" name="Obraz 12" descr="Obraz zawierający tekst, papier, Produkty papierowe, lis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45161" name="Obraz 12" descr="Obraz zawierający tekst, papier, Produkty papierowe, list&#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64D3" w:rsidRPr="002D0CD5">
        <w:rPr>
          <w:noProof/>
          <w:lang w:eastAsia="pl-PL"/>
        </w:rPr>
        <w:t xml:space="preserve">                                                                                                     </w:t>
      </w:r>
    </w:p>
    <w:p w14:paraId="2BB3D07B" w14:textId="7DB29231" w:rsidR="00A95BF0" w:rsidRPr="005364D3" w:rsidRDefault="00A95BF0" w:rsidP="003F6CA0">
      <w:pPr>
        <w:pStyle w:val="Nagwek2"/>
        <w:rPr>
          <w:noProof/>
          <w:lang w:eastAsia="pl-PL"/>
        </w:rPr>
      </w:pPr>
      <w:bookmarkStart w:id="54" w:name="_Toc170117975"/>
      <w:r w:rsidRPr="005364D3">
        <w:rPr>
          <w:noProof/>
          <w:lang w:eastAsia="pl-PL"/>
        </w:rPr>
        <w:t xml:space="preserve">LIST OTWARTY </w:t>
      </w:r>
      <w:r w:rsidR="005364D3">
        <w:rPr>
          <w:noProof/>
          <w:lang w:eastAsia="pl-PL"/>
        </w:rPr>
        <w:t>-</w:t>
      </w:r>
      <w:r w:rsidRPr="005364D3">
        <w:rPr>
          <w:noProof/>
          <w:lang w:eastAsia="pl-PL"/>
        </w:rPr>
        <w:t xml:space="preserve"> apel o wprowadzen</w:t>
      </w:r>
      <w:r w:rsidR="00C72077" w:rsidRPr="005364D3">
        <w:rPr>
          <w:noProof/>
          <w:lang w:eastAsia="pl-PL"/>
        </w:rPr>
        <w:t xml:space="preserve">ie do systemu </w:t>
      </w:r>
      <w:r w:rsidRPr="005364D3">
        <w:rPr>
          <w:noProof/>
          <w:lang w:eastAsia="pl-PL"/>
        </w:rPr>
        <w:t>prawnego PL sprawdzonych rozwiązań unij</w:t>
      </w:r>
      <w:r w:rsidR="00C72077" w:rsidRPr="005364D3">
        <w:rPr>
          <w:noProof/>
          <w:lang w:eastAsia="pl-PL"/>
        </w:rPr>
        <w:t>nych dot. przedłużenia terminów</w:t>
      </w:r>
      <w:bookmarkEnd w:id="54"/>
    </w:p>
    <w:p w14:paraId="2C51D959" w14:textId="77777777" w:rsidR="00A95BF0" w:rsidRPr="00EC4F25" w:rsidRDefault="00A95BF0" w:rsidP="00A95BF0">
      <w:pPr>
        <w:spacing w:after="0" w:line="240" w:lineRule="auto"/>
        <w:ind w:left="284" w:hanging="284"/>
        <w:jc w:val="center"/>
        <w:rPr>
          <w:b/>
          <w:bCs/>
          <w:sz w:val="26"/>
          <w:szCs w:val="26"/>
        </w:rPr>
      </w:pPr>
    </w:p>
    <w:p w14:paraId="5B0C086E" w14:textId="1F5E62E7" w:rsidR="00A95BF0" w:rsidRPr="0017071E" w:rsidRDefault="000420EF" w:rsidP="0017071E">
      <w:pPr>
        <w:spacing w:after="0" w:line="240" w:lineRule="auto"/>
        <w:ind w:left="284" w:hanging="284"/>
        <w:rPr>
          <w:b/>
          <w:bCs/>
          <w:sz w:val="8"/>
          <w:szCs w:val="8"/>
        </w:rPr>
      </w:pPr>
      <w:r w:rsidRPr="000420EF">
        <w:rPr>
          <w:rFonts w:eastAsia="Times New Roman" w:cstheme="minorHAnsi"/>
          <w:bCs/>
          <w:noProof/>
          <w:color w:val="000000"/>
        </w:rPr>
        <w:drawing>
          <wp:anchor distT="0" distB="0" distL="114300" distR="114300" simplePos="0" relativeHeight="252314624" behindDoc="0" locked="0" layoutInCell="1" allowOverlap="1" wp14:anchorId="33129813" wp14:editId="5A2DB537">
            <wp:simplePos x="0" y="0"/>
            <wp:positionH relativeFrom="column">
              <wp:posOffset>2893695</wp:posOffset>
            </wp:positionH>
            <wp:positionV relativeFrom="paragraph">
              <wp:posOffset>8132445</wp:posOffset>
            </wp:positionV>
            <wp:extent cx="409575" cy="152400"/>
            <wp:effectExtent l="0" t="0" r="9525" b="0"/>
            <wp:wrapNone/>
            <wp:docPr id="5073274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27471" name=""/>
                    <pic:cNvPicPr/>
                  </pic:nvPicPr>
                  <pic:blipFill>
                    <a:blip r:embed="rId74">
                      <a:extLst>
                        <a:ext uri="{28A0092B-C50C-407E-A947-70E740481C1C}">
                          <a14:useLocalDpi xmlns:a14="http://schemas.microsoft.com/office/drawing/2010/main" val="0"/>
                        </a:ext>
                      </a:extLst>
                    </a:blip>
                    <a:stretch>
                      <a:fillRect/>
                    </a:stretch>
                  </pic:blipFill>
                  <pic:spPr>
                    <a:xfrm>
                      <a:off x="0" y="0"/>
                      <a:ext cx="409575" cy="152400"/>
                    </a:xfrm>
                    <a:prstGeom prst="rect">
                      <a:avLst/>
                    </a:prstGeom>
                  </pic:spPr>
                </pic:pic>
              </a:graphicData>
            </a:graphic>
          </wp:anchor>
        </w:drawing>
      </w:r>
    </w:p>
    <w:tbl>
      <w:tblPr>
        <w:tblStyle w:val="Tabela-Siatka"/>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6"/>
        <w:gridCol w:w="8485"/>
      </w:tblGrid>
      <w:tr w:rsidR="00D35DC7" w14:paraId="113224C6" w14:textId="77777777" w:rsidTr="0017071E">
        <w:trPr>
          <w:trHeight w:val="201"/>
        </w:trPr>
        <w:tc>
          <w:tcPr>
            <w:tcW w:w="1296" w:type="dxa"/>
          </w:tcPr>
          <w:p w14:paraId="324BD50F" w14:textId="77777777" w:rsidR="00D35DC7" w:rsidRPr="00EC4F25" w:rsidRDefault="00D35DC7" w:rsidP="00C346B4">
            <w:pPr>
              <w:rPr>
                <w:rFonts w:cstheme="minorHAnsi"/>
                <w:b/>
                <w:bCs/>
                <w:noProof/>
                <w:sz w:val="18"/>
                <w:szCs w:val="18"/>
              </w:rPr>
            </w:pPr>
            <w:bookmarkStart w:id="55" w:name="_Hlk159595328"/>
          </w:p>
        </w:tc>
        <w:tc>
          <w:tcPr>
            <w:tcW w:w="8485" w:type="dxa"/>
          </w:tcPr>
          <w:p w14:paraId="2239745F" w14:textId="141820ED" w:rsidR="00D35DC7" w:rsidRPr="006A1234" w:rsidRDefault="00D35DC7" w:rsidP="00C346B4">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D35DC7" w14:paraId="58A606F2" w14:textId="77777777" w:rsidTr="00614607">
        <w:tc>
          <w:tcPr>
            <w:tcW w:w="1296" w:type="dxa"/>
          </w:tcPr>
          <w:p w14:paraId="7409EEA7" w14:textId="77777777" w:rsidR="00062821" w:rsidRPr="00062821" w:rsidRDefault="00062821" w:rsidP="00C346B4">
            <w:pPr>
              <w:rPr>
                <w:noProof/>
                <w:sz w:val="6"/>
                <w:szCs w:val="6"/>
              </w:rPr>
            </w:pPr>
          </w:p>
          <w:p w14:paraId="4BB9859D" w14:textId="6539C365" w:rsidR="00D35DC7" w:rsidRDefault="00062821" w:rsidP="00C346B4">
            <w:pPr>
              <w:rPr>
                <w:rFonts w:cstheme="minorHAnsi"/>
                <w:b/>
                <w:bCs/>
                <w:color w:val="000000"/>
                <w:sz w:val="26"/>
                <w:szCs w:val="26"/>
              </w:rPr>
            </w:pPr>
            <w:r>
              <w:rPr>
                <w:noProof/>
              </w:rPr>
              <w:drawing>
                <wp:inline distT="0" distB="0" distL="0" distR="0" wp14:anchorId="02DFD864" wp14:editId="607D130C">
                  <wp:extent cx="662400" cy="900000"/>
                  <wp:effectExtent l="0" t="0" r="4445" b="0"/>
                  <wp:docPr id="658930860"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4120"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85" w:type="dxa"/>
          </w:tcPr>
          <w:p w14:paraId="2747AF07" w14:textId="77777777" w:rsidR="00D35DC7" w:rsidRPr="00484B4E" w:rsidRDefault="00D35DC7" w:rsidP="00C346B4">
            <w:pPr>
              <w:rPr>
                <w:rFonts w:asciiTheme="minorHAnsi" w:hAnsiTheme="minorHAnsi" w:cstheme="minorHAnsi"/>
                <w:bCs/>
                <w:color w:val="000000"/>
              </w:rPr>
            </w:pPr>
            <w:r w:rsidRPr="00484B4E">
              <w:rPr>
                <w:rFonts w:asciiTheme="minorHAnsi" w:hAnsiTheme="minorHAnsi" w:cstheme="minorHAnsi"/>
                <w:bCs/>
                <w:color w:val="000000"/>
              </w:rPr>
              <w:t>Marek BESLER</w:t>
            </w:r>
          </w:p>
          <w:p w14:paraId="07957297" w14:textId="58166A66" w:rsidR="00C03056" w:rsidRDefault="00123357" w:rsidP="00844A71">
            <w:pPr>
              <w:pStyle w:val="Akapitzlist"/>
              <w:numPr>
                <w:ilvl w:val="0"/>
                <w:numId w:val="47"/>
              </w:numPr>
              <w:ind w:left="299" w:hanging="313"/>
              <w:rPr>
                <w:rFonts w:eastAsia="Times New Roman" w:cstheme="minorHAnsi"/>
                <w:bCs/>
                <w:color w:val="000000"/>
              </w:rPr>
            </w:pPr>
            <w:r>
              <w:rPr>
                <w:rFonts w:eastAsia="Times New Roman" w:cstheme="minorHAnsi"/>
                <w:bCs/>
                <w:color w:val="000000"/>
              </w:rPr>
              <w:t>współorzekający w Komisji Odwoławczej przy Urzędzie Patentowym w sprawach własności przemysłowej, składom której przewodniczyli sędziowie Sądu Najwyższego, w latach 1979 -2001</w:t>
            </w:r>
            <w:r w:rsidR="00C03056">
              <w:rPr>
                <w:rFonts w:eastAsia="Times New Roman" w:cstheme="minorHAnsi"/>
                <w:bCs/>
                <w:color w:val="000000"/>
              </w:rPr>
              <w:t xml:space="preserve"> </w:t>
            </w:r>
          </w:p>
          <w:p w14:paraId="531DDDE7" w14:textId="77777777" w:rsidR="00D35DC7" w:rsidRPr="00484B4E" w:rsidRDefault="00D35DC7" w:rsidP="001F6BE3">
            <w:pPr>
              <w:pStyle w:val="Akapitzlist"/>
              <w:numPr>
                <w:ilvl w:val="0"/>
                <w:numId w:val="47"/>
              </w:numPr>
              <w:ind w:left="297" w:hanging="283"/>
              <w:rPr>
                <w:rFonts w:eastAsia="Times New Roman" w:cstheme="minorHAnsi"/>
                <w:bCs/>
                <w:color w:val="000000"/>
              </w:rPr>
            </w:pPr>
            <w:r w:rsidRPr="00484B4E">
              <w:rPr>
                <w:rFonts w:eastAsia="Times New Roman" w:cstheme="minorHAnsi"/>
                <w:bCs/>
                <w:color w:val="000000"/>
              </w:rPr>
              <w:t>rzecznik patentowy nr 1571</w:t>
            </w:r>
          </w:p>
          <w:p w14:paraId="3BD6CD45" w14:textId="77777777" w:rsidR="00D35DC7" w:rsidRPr="00484B4E" w:rsidRDefault="00D35DC7" w:rsidP="001F6BE3">
            <w:pPr>
              <w:pStyle w:val="Akapitzlist"/>
              <w:numPr>
                <w:ilvl w:val="0"/>
                <w:numId w:val="47"/>
              </w:numPr>
              <w:ind w:left="297" w:hanging="283"/>
              <w:rPr>
                <w:rFonts w:eastAsia="Times New Roman" w:cstheme="minorHAnsi"/>
                <w:bCs/>
                <w:color w:val="000000"/>
              </w:rPr>
            </w:pPr>
            <w:r w:rsidRPr="00484B4E">
              <w:rPr>
                <w:rFonts w:eastAsia="Times New Roman" w:cstheme="minorHAnsi"/>
                <w:bCs/>
                <w:color w:val="000000"/>
              </w:rPr>
              <w:t>profesjonalny pełnomocnik przed EUIPO (</w:t>
            </w:r>
            <w:r w:rsidRPr="00484B4E">
              <w:rPr>
                <w:rFonts w:eastAsia="Times New Roman" w:cstheme="minorHAnsi"/>
                <w:bCs/>
                <w:i/>
                <w:color w:val="000000"/>
              </w:rPr>
              <w:t>European Union Intellectual Property Office</w:t>
            </w:r>
            <w:r w:rsidRPr="00484B4E">
              <w:rPr>
                <w:rFonts w:eastAsia="Times New Roman" w:cstheme="minorHAnsi"/>
                <w:bCs/>
                <w:color w:val="000000"/>
              </w:rPr>
              <w:t xml:space="preserve"> – Urząd Unii Europejskiej ds. Własności Intelektualnej), nr 27177</w:t>
            </w:r>
          </w:p>
          <w:p w14:paraId="3A8DAE8D" w14:textId="77777777" w:rsidR="00D35DC7" w:rsidRPr="00484B4E" w:rsidRDefault="00D35DC7" w:rsidP="001F6BE3">
            <w:pPr>
              <w:pStyle w:val="Akapitzlist"/>
              <w:numPr>
                <w:ilvl w:val="0"/>
                <w:numId w:val="47"/>
              </w:numPr>
              <w:ind w:left="297" w:hanging="283"/>
              <w:rPr>
                <w:rFonts w:eastAsia="Times New Roman" w:cstheme="minorHAnsi"/>
                <w:bCs/>
                <w:color w:val="000000"/>
              </w:rPr>
            </w:pPr>
            <w:r w:rsidRPr="00484B4E">
              <w:rPr>
                <w:rFonts w:eastAsia="Times New Roman" w:cstheme="minorHAnsi"/>
                <w:bCs/>
                <w:color w:val="000000"/>
              </w:rPr>
              <w:t>Europejski Rzecznik Patentowy nr 138820</w:t>
            </w:r>
          </w:p>
          <w:p w14:paraId="686E32EF" w14:textId="77777777" w:rsidR="00D35DC7" w:rsidRPr="00484B4E" w:rsidRDefault="00D35DC7" w:rsidP="001F6BE3">
            <w:pPr>
              <w:pStyle w:val="Akapitzlist"/>
              <w:numPr>
                <w:ilvl w:val="0"/>
                <w:numId w:val="47"/>
              </w:numPr>
              <w:ind w:left="297" w:hanging="283"/>
              <w:rPr>
                <w:rFonts w:eastAsia="Times New Roman" w:cstheme="minorHAnsi"/>
                <w:bCs/>
                <w:color w:val="000000"/>
              </w:rPr>
            </w:pPr>
            <w:r w:rsidRPr="00484B4E">
              <w:rPr>
                <w:rFonts w:eastAsia="Times New Roman" w:cstheme="minorHAnsi"/>
                <w:bCs/>
                <w:color w:val="000000"/>
              </w:rPr>
              <w:t>Prezes Polskiej Izby Rzeczników Patentowych w latach 2002-2005</w:t>
            </w:r>
          </w:p>
          <w:p w14:paraId="51FEA887" w14:textId="77777777" w:rsidR="00062821" w:rsidRPr="00484B4E" w:rsidRDefault="00062821" w:rsidP="001F6BE3">
            <w:pPr>
              <w:pStyle w:val="Akapitzlist"/>
              <w:numPr>
                <w:ilvl w:val="0"/>
                <w:numId w:val="47"/>
              </w:numPr>
              <w:ind w:left="297" w:hanging="283"/>
              <w:rPr>
                <w:rFonts w:eastAsia="Times New Roman" w:cstheme="minorHAnsi"/>
                <w:bCs/>
                <w:color w:val="000000"/>
              </w:rPr>
            </w:pPr>
            <w:r w:rsidRPr="00484B4E">
              <w:rPr>
                <w:rFonts w:eastAsia="Times New Roman" w:cstheme="minorHAnsi"/>
                <w:bCs/>
                <w:color w:val="000000"/>
              </w:rPr>
              <w:t>Wiceprezes Zarządu StoWI od 2023 r.</w:t>
            </w:r>
          </w:p>
          <w:p w14:paraId="3194232D" w14:textId="5EB800C5" w:rsidR="00062821" w:rsidRPr="00484B4E" w:rsidRDefault="00062821" w:rsidP="001F6BE3">
            <w:pPr>
              <w:pStyle w:val="Akapitzlist"/>
              <w:numPr>
                <w:ilvl w:val="0"/>
                <w:numId w:val="47"/>
              </w:numPr>
              <w:ind w:left="297" w:hanging="283"/>
              <w:rPr>
                <w:rFonts w:eastAsia="Times New Roman" w:cstheme="minorHAnsi"/>
                <w:bCs/>
                <w:color w:val="000000"/>
              </w:rPr>
            </w:pPr>
            <w:r w:rsidRPr="00484B4E">
              <w:rPr>
                <w:rFonts w:eastAsia="Times New Roman" w:cstheme="minorHAnsi"/>
                <w:bCs/>
                <w:color w:val="000000"/>
              </w:rPr>
              <w:t>Redaktor naczelny Kwartalnika „THINK-TANK WSZY</w:t>
            </w:r>
            <w:r w:rsidR="00670256" w:rsidRPr="00484B4E">
              <w:rPr>
                <w:rFonts w:eastAsia="Times New Roman" w:cstheme="minorHAnsi"/>
                <w:bCs/>
                <w:color w:val="000000"/>
              </w:rPr>
              <w:t>S</w:t>
            </w:r>
            <w:r w:rsidRPr="00484B4E">
              <w:rPr>
                <w:rFonts w:eastAsia="Times New Roman" w:cstheme="minorHAnsi"/>
                <w:bCs/>
                <w:color w:val="000000"/>
              </w:rPr>
              <w:t>TKO o IP w PL” od listopada 2023 r.</w:t>
            </w:r>
          </w:p>
          <w:p w14:paraId="28C996AC" w14:textId="77777777" w:rsidR="00D35DC7" w:rsidRPr="00CB5276" w:rsidRDefault="00D35DC7" w:rsidP="00062821">
            <w:pPr>
              <w:rPr>
                <w:rFonts w:cstheme="minorHAnsi"/>
                <w:bCs/>
                <w:color w:val="000000"/>
                <w:sz w:val="2"/>
                <w:szCs w:val="2"/>
              </w:rPr>
            </w:pPr>
          </w:p>
        </w:tc>
      </w:tr>
      <w:tr w:rsidR="00D35DC7" w14:paraId="3FAC499D" w14:textId="77777777" w:rsidTr="00614607">
        <w:tc>
          <w:tcPr>
            <w:tcW w:w="1296" w:type="dxa"/>
          </w:tcPr>
          <w:p w14:paraId="5C716454" w14:textId="77777777" w:rsidR="00062821" w:rsidRPr="00062821" w:rsidRDefault="00062821" w:rsidP="00C346B4">
            <w:pPr>
              <w:rPr>
                <w:noProof/>
                <w:sz w:val="6"/>
                <w:szCs w:val="6"/>
              </w:rPr>
            </w:pPr>
          </w:p>
          <w:p w14:paraId="7465502C" w14:textId="27F42663" w:rsidR="00D35DC7" w:rsidRDefault="00062821" w:rsidP="00C346B4">
            <w:pPr>
              <w:rPr>
                <w:rFonts w:cstheme="minorHAnsi"/>
                <w:b/>
                <w:bCs/>
                <w:color w:val="000000"/>
                <w:sz w:val="26"/>
                <w:szCs w:val="26"/>
              </w:rPr>
            </w:pPr>
            <w:r>
              <w:rPr>
                <w:noProof/>
              </w:rPr>
              <w:drawing>
                <wp:inline distT="0" distB="0" distL="0" distR="0" wp14:anchorId="21A69672" wp14:editId="0EE6507C">
                  <wp:extent cx="669600" cy="900000"/>
                  <wp:effectExtent l="0" t="0" r="0" b="0"/>
                  <wp:docPr id="1007108684" name="Obraz 13" descr="Obraz zawierający ubrania, osoba, krawat, Ubiór form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56375" name="Obraz 13" descr="Obraz zawierający ubrania, osoba, krawat, Ubiór formalny&#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600" cy="900000"/>
                          </a:xfrm>
                          <a:prstGeom prst="rect">
                            <a:avLst/>
                          </a:prstGeom>
                          <a:noFill/>
                          <a:ln>
                            <a:noFill/>
                          </a:ln>
                        </pic:spPr>
                      </pic:pic>
                    </a:graphicData>
                  </a:graphic>
                </wp:inline>
              </w:drawing>
            </w:r>
          </w:p>
        </w:tc>
        <w:tc>
          <w:tcPr>
            <w:tcW w:w="8485" w:type="dxa"/>
          </w:tcPr>
          <w:p w14:paraId="6DC19527" w14:textId="77777777" w:rsidR="00D35DC7" w:rsidRPr="00484B4E" w:rsidRDefault="00D35DC7" w:rsidP="00C346B4">
            <w:pPr>
              <w:rPr>
                <w:rFonts w:asciiTheme="minorHAnsi" w:hAnsiTheme="minorHAnsi" w:cstheme="minorHAnsi"/>
                <w:bCs/>
                <w:color w:val="000000"/>
              </w:rPr>
            </w:pPr>
            <w:r w:rsidRPr="00484B4E">
              <w:rPr>
                <w:rFonts w:asciiTheme="minorHAnsi" w:hAnsiTheme="minorHAnsi" w:cstheme="minorHAnsi"/>
                <w:bCs/>
                <w:color w:val="000000"/>
              </w:rPr>
              <w:t>Tadeusz KACHNIC</w:t>
            </w:r>
          </w:p>
          <w:p w14:paraId="7E02DA46" w14:textId="77777777" w:rsidR="00D35DC7" w:rsidRPr="00484B4E" w:rsidRDefault="00D35DC7" w:rsidP="001F6BE3">
            <w:pPr>
              <w:pStyle w:val="Akapitzlist"/>
              <w:numPr>
                <w:ilvl w:val="0"/>
                <w:numId w:val="46"/>
              </w:numPr>
              <w:ind w:left="297" w:hanging="297"/>
              <w:rPr>
                <w:rFonts w:eastAsia="Times New Roman" w:cstheme="minorHAnsi"/>
                <w:bCs/>
                <w:color w:val="000000"/>
              </w:rPr>
            </w:pPr>
            <w:r w:rsidRPr="00484B4E">
              <w:rPr>
                <w:rFonts w:eastAsia="Times New Roman" w:cstheme="minorHAnsi"/>
                <w:bCs/>
                <w:color w:val="000000"/>
              </w:rPr>
              <w:t>rzecznik patentowy</w:t>
            </w:r>
          </w:p>
          <w:p w14:paraId="4E7CBACC" w14:textId="77777777" w:rsidR="00D35DC7" w:rsidRPr="00484B4E" w:rsidRDefault="00D35DC7" w:rsidP="001F6BE3">
            <w:pPr>
              <w:pStyle w:val="Akapitzlist"/>
              <w:numPr>
                <w:ilvl w:val="0"/>
                <w:numId w:val="46"/>
              </w:numPr>
              <w:ind w:left="297" w:hanging="297"/>
              <w:rPr>
                <w:rFonts w:eastAsia="Times New Roman" w:cstheme="minorHAnsi"/>
                <w:bCs/>
                <w:color w:val="000000"/>
              </w:rPr>
            </w:pPr>
            <w:r w:rsidRPr="00484B4E">
              <w:rPr>
                <w:rFonts w:eastAsia="Times New Roman" w:cstheme="minorHAnsi"/>
                <w:bCs/>
                <w:color w:val="000000"/>
              </w:rPr>
              <w:t>współzałożyciel Polskiej Izby Rzeczników Patentowych</w:t>
            </w:r>
          </w:p>
          <w:p w14:paraId="2216F842" w14:textId="77777777" w:rsidR="00D35DC7" w:rsidRPr="00484B4E" w:rsidRDefault="00D35DC7" w:rsidP="001F6BE3">
            <w:pPr>
              <w:pStyle w:val="Akapitzlist"/>
              <w:numPr>
                <w:ilvl w:val="0"/>
                <w:numId w:val="46"/>
              </w:numPr>
              <w:ind w:left="297" w:hanging="297"/>
              <w:rPr>
                <w:rFonts w:eastAsia="Times New Roman" w:cstheme="minorHAnsi"/>
                <w:bCs/>
                <w:color w:val="000000"/>
              </w:rPr>
            </w:pPr>
            <w:r w:rsidRPr="00484B4E">
              <w:rPr>
                <w:rFonts w:eastAsia="Times New Roman" w:cstheme="minorHAnsi"/>
                <w:bCs/>
                <w:color w:val="000000"/>
              </w:rPr>
              <w:t>uczestnik I Krajowego Zjazdu w dniu 28.08.1993 r.</w:t>
            </w:r>
          </w:p>
          <w:p w14:paraId="5A09A92F" w14:textId="33B3431F" w:rsidR="00D35DC7" w:rsidRPr="00484B4E" w:rsidRDefault="00D35DC7" w:rsidP="00C346B4">
            <w:pPr>
              <w:pStyle w:val="Akapitzlist"/>
              <w:numPr>
                <w:ilvl w:val="0"/>
                <w:numId w:val="46"/>
              </w:numPr>
              <w:ind w:left="297" w:hanging="297"/>
              <w:rPr>
                <w:rFonts w:eastAsia="Times New Roman" w:cstheme="minorHAnsi"/>
                <w:bCs/>
                <w:color w:val="000000"/>
                <w:sz w:val="22"/>
                <w:szCs w:val="22"/>
              </w:rPr>
            </w:pPr>
            <w:r w:rsidRPr="00484B4E">
              <w:rPr>
                <w:rFonts w:eastAsia="Times New Roman" w:cstheme="minorHAnsi"/>
                <w:bCs/>
                <w:color w:val="000000"/>
              </w:rPr>
              <w:t>Wiceprezes PIRP od 1993 r. do 05.11.2017 r.</w:t>
            </w:r>
          </w:p>
        </w:tc>
      </w:tr>
      <w:tr w:rsidR="00D35DC7" w14:paraId="00A87FA7" w14:textId="77777777" w:rsidTr="00614607">
        <w:tc>
          <w:tcPr>
            <w:tcW w:w="1296" w:type="dxa"/>
          </w:tcPr>
          <w:p w14:paraId="4D587C2C" w14:textId="77777777" w:rsidR="00177F51" w:rsidRPr="00177F51" w:rsidRDefault="00177F51" w:rsidP="00C346B4">
            <w:pPr>
              <w:rPr>
                <w:rFonts w:cstheme="minorHAnsi"/>
                <w:b/>
                <w:bCs/>
                <w:noProof/>
                <w:sz w:val="6"/>
                <w:szCs w:val="6"/>
              </w:rPr>
            </w:pPr>
          </w:p>
          <w:p w14:paraId="4F90E832" w14:textId="01B9BB71" w:rsidR="00D35DC7" w:rsidRPr="00EC4F25" w:rsidRDefault="00062821" w:rsidP="00C346B4">
            <w:pPr>
              <w:rPr>
                <w:rFonts w:cstheme="minorHAnsi"/>
                <w:b/>
                <w:bCs/>
                <w:noProof/>
                <w:sz w:val="18"/>
                <w:szCs w:val="18"/>
              </w:rPr>
            </w:pPr>
            <w:r>
              <w:rPr>
                <w:rFonts w:cstheme="minorHAnsi"/>
                <w:b/>
                <w:bCs/>
                <w:noProof/>
                <w:sz w:val="18"/>
                <w:szCs w:val="18"/>
              </w:rPr>
              <w:drawing>
                <wp:inline distT="0" distB="0" distL="0" distR="0" wp14:anchorId="49508D07" wp14:editId="323F309E">
                  <wp:extent cx="666000" cy="900000"/>
                  <wp:effectExtent l="0" t="0" r="1270" b="0"/>
                  <wp:docPr id="1011665228" name="Obraz 1" descr="Obraz zawierający osoba, Ludzka twarz, ubrania,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85372" name="Obraz 1" descr="Obraz zawierający osoba, Ludzka twarz, ubrania, uśmiech&#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66000" cy="900000"/>
                          </a:xfrm>
                          <a:prstGeom prst="rect">
                            <a:avLst/>
                          </a:prstGeom>
                          <a:noFill/>
                          <a:ln>
                            <a:noFill/>
                          </a:ln>
                        </pic:spPr>
                      </pic:pic>
                    </a:graphicData>
                  </a:graphic>
                </wp:inline>
              </w:drawing>
            </w:r>
          </w:p>
        </w:tc>
        <w:tc>
          <w:tcPr>
            <w:tcW w:w="8485" w:type="dxa"/>
          </w:tcPr>
          <w:p w14:paraId="0528B00B" w14:textId="77777777" w:rsidR="00D35DC7" w:rsidRPr="00484B4E" w:rsidRDefault="00D35DC7" w:rsidP="00C346B4">
            <w:pPr>
              <w:rPr>
                <w:rFonts w:asciiTheme="minorHAnsi" w:hAnsiTheme="minorHAnsi" w:cstheme="minorHAnsi"/>
                <w:bCs/>
                <w:color w:val="000000"/>
              </w:rPr>
            </w:pPr>
            <w:r w:rsidRPr="00484B4E">
              <w:rPr>
                <w:rFonts w:asciiTheme="minorHAnsi" w:hAnsiTheme="minorHAnsi" w:cstheme="minorHAnsi"/>
                <w:bCs/>
                <w:color w:val="000000"/>
              </w:rPr>
              <w:t xml:space="preserve">Krystyna KOZŁOWSKA </w:t>
            </w:r>
          </w:p>
          <w:p w14:paraId="04F63C5D" w14:textId="77777777" w:rsidR="00D35DC7" w:rsidRPr="00484B4E" w:rsidRDefault="00D35DC7" w:rsidP="001F6BE3">
            <w:pPr>
              <w:pStyle w:val="Akapitzlist"/>
              <w:numPr>
                <w:ilvl w:val="0"/>
                <w:numId w:val="50"/>
              </w:numPr>
              <w:ind w:left="297" w:hanging="283"/>
              <w:rPr>
                <w:rFonts w:eastAsia="Times New Roman" w:cstheme="minorHAnsi"/>
                <w:bCs/>
                <w:color w:val="000000"/>
              </w:rPr>
            </w:pPr>
            <w:r w:rsidRPr="00484B4E">
              <w:rPr>
                <w:rFonts w:eastAsia="Times New Roman" w:cstheme="minorHAnsi"/>
                <w:bCs/>
                <w:color w:val="000000"/>
              </w:rPr>
              <w:t>rzecznik patentowy</w:t>
            </w:r>
          </w:p>
          <w:p w14:paraId="75766F42" w14:textId="77777777" w:rsidR="00D35DC7" w:rsidRPr="00484B4E" w:rsidRDefault="00D35DC7" w:rsidP="001F6BE3">
            <w:pPr>
              <w:pStyle w:val="Akapitzlist"/>
              <w:numPr>
                <w:ilvl w:val="0"/>
                <w:numId w:val="50"/>
              </w:numPr>
              <w:ind w:left="297" w:hanging="283"/>
              <w:rPr>
                <w:rFonts w:eastAsia="Times New Roman" w:cstheme="minorHAnsi"/>
                <w:bCs/>
                <w:color w:val="000000"/>
              </w:rPr>
            </w:pPr>
            <w:r w:rsidRPr="00484B4E">
              <w:rPr>
                <w:rFonts w:eastAsia="Times New Roman" w:cstheme="minorHAnsi"/>
                <w:bCs/>
                <w:color w:val="000000"/>
              </w:rPr>
              <w:t>współzałożyciel Polskiej Izby Rzeczników Prezes Polskiej Izby Rzeczników Patentowych</w:t>
            </w:r>
          </w:p>
          <w:p w14:paraId="5B972F03" w14:textId="77777777" w:rsidR="00D35DC7" w:rsidRPr="00484B4E" w:rsidRDefault="00D35DC7" w:rsidP="001F6BE3">
            <w:pPr>
              <w:pStyle w:val="Akapitzlist"/>
              <w:numPr>
                <w:ilvl w:val="0"/>
                <w:numId w:val="50"/>
              </w:numPr>
              <w:ind w:left="297" w:hanging="283"/>
              <w:rPr>
                <w:rFonts w:eastAsia="Times New Roman" w:cstheme="minorHAnsi"/>
                <w:bCs/>
                <w:color w:val="000000"/>
              </w:rPr>
            </w:pPr>
            <w:r w:rsidRPr="00484B4E">
              <w:rPr>
                <w:rFonts w:eastAsia="Times New Roman" w:cstheme="minorHAnsi"/>
                <w:bCs/>
                <w:color w:val="000000"/>
              </w:rPr>
              <w:t>uczestnik I Krajowego Zjazdu w dniu 28.08.1993 r.</w:t>
            </w:r>
          </w:p>
          <w:p w14:paraId="3BC6DB69" w14:textId="77777777" w:rsidR="00D35DC7" w:rsidRPr="00484B4E" w:rsidRDefault="00D35DC7" w:rsidP="001F6BE3">
            <w:pPr>
              <w:pStyle w:val="Akapitzlist"/>
              <w:numPr>
                <w:ilvl w:val="0"/>
                <w:numId w:val="50"/>
              </w:numPr>
              <w:ind w:left="297" w:hanging="283"/>
              <w:rPr>
                <w:rFonts w:ascii="Times New Roman" w:eastAsia="Times New Roman" w:hAnsi="Times New Roman" w:cstheme="minorHAnsi"/>
                <w:bCs/>
                <w:color w:val="000000"/>
              </w:rPr>
            </w:pPr>
            <w:r w:rsidRPr="00484B4E">
              <w:rPr>
                <w:rFonts w:eastAsia="Times New Roman" w:cstheme="minorHAnsi"/>
                <w:bCs/>
                <w:color w:val="000000"/>
              </w:rPr>
              <w:t>Dziekan Okręgu Dolnośląskiego 1997 – 5.10.2021</w:t>
            </w:r>
          </w:p>
          <w:p w14:paraId="51F35FA1" w14:textId="77777777" w:rsidR="00177F51" w:rsidRPr="00CB5276" w:rsidRDefault="00177F51" w:rsidP="00177F51">
            <w:pPr>
              <w:pStyle w:val="Akapitzlist"/>
              <w:ind w:left="297"/>
              <w:rPr>
                <w:rFonts w:ascii="Times New Roman" w:eastAsia="Times New Roman" w:hAnsi="Times New Roman" w:cstheme="minorHAnsi"/>
                <w:bCs/>
                <w:color w:val="000000"/>
                <w:sz w:val="16"/>
                <w:szCs w:val="16"/>
              </w:rPr>
            </w:pPr>
          </w:p>
        </w:tc>
      </w:tr>
      <w:tr w:rsidR="00D35DC7" w14:paraId="35BBD6FF" w14:textId="77777777" w:rsidTr="00614607">
        <w:tc>
          <w:tcPr>
            <w:tcW w:w="1296" w:type="dxa"/>
          </w:tcPr>
          <w:p w14:paraId="090BEF8E" w14:textId="77777777" w:rsidR="00177F51" w:rsidRPr="00177F51" w:rsidRDefault="00177F51" w:rsidP="00C346B4">
            <w:pPr>
              <w:rPr>
                <w:noProof/>
                <w:sz w:val="6"/>
                <w:szCs w:val="6"/>
              </w:rPr>
            </w:pPr>
          </w:p>
          <w:p w14:paraId="5B35ED2D" w14:textId="1472895A" w:rsidR="00D35DC7" w:rsidRPr="00EC4F25" w:rsidRDefault="00062821" w:rsidP="00C346B4">
            <w:pPr>
              <w:rPr>
                <w:rFonts w:cstheme="minorHAnsi"/>
                <w:b/>
                <w:bCs/>
                <w:noProof/>
                <w:sz w:val="18"/>
                <w:szCs w:val="18"/>
              </w:rPr>
            </w:pPr>
            <w:r>
              <w:rPr>
                <w:noProof/>
              </w:rPr>
              <w:drawing>
                <wp:inline distT="0" distB="0" distL="0" distR="0" wp14:anchorId="4617D8E7" wp14:editId="1BE8E379">
                  <wp:extent cx="662400" cy="900000"/>
                  <wp:effectExtent l="0" t="0" r="4445" b="0"/>
                  <wp:docPr id="1902975622"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93689"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85" w:type="dxa"/>
          </w:tcPr>
          <w:p w14:paraId="3ED8CA70" w14:textId="77777777" w:rsidR="00D35DC7" w:rsidRPr="00484B4E" w:rsidRDefault="00D35DC7" w:rsidP="00C346B4">
            <w:pPr>
              <w:rPr>
                <w:rFonts w:asciiTheme="minorHAnsi" w:hAnsiTheme="minorHAnsi" w:cstheme="minorHAnsi"/>
                <w:bCs/>
                <w:color w:val="000000"/>
              </w:rPr>
            </w:pPr>
            <w:r w:rsidRPr="00484B4E">
              <w:rPr>
                <w:rFonts w:asciiTheme="minorHAnsi" w:hAnsiTheme="minorHAnsi" w:cstheme="minorHAnsi"/>
                <w:bCs/>
                <w:color w:val="000000"/>
              </w:rPr>
              <w:t xml:space="preserve">Ryszard MATUSIAK </w:t>
            </w:r>
          </w:p>
          <w:p w14:paraId="0880A34E" w14:textId="77777777" w:rsidR="00AB5E62" w:rsidRPr="00484B4E" w:rsidRDefault="00AB5E62" w:rsidP="00355D81">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rzecznik patentowy w latach 1978-97</w:t>
            </w:r>
          </w:p>
          <w:p w14:paraId="4A059B09" w14:textId="77777777" w:rsidR="00AB5E62" w:rsidRPr="00484B4E" w:rsidRDefault="00AB5E62" w:rsidP="00355D81">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 xml:space="preserve">współzałożyciel Polskiej Izby Rzeczników Patentowych </w:t>
            </w:r>
          </w:p>
          <w:p w14:paraId="54198ED8" w14:textId="77777777" w:rsidR="00AB5E62" w:rsidRPr="00484B4E" w:rsidRDefault="00AB5E62" w:rsidP="00355D81">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uczestnik I Krajowego Zjazdu w dniu 28.08.1993 r.</w:t>
            </w:r>
          </w:p>
          <w:p w14:paraId="7389E7DB" w14:textId="77777777" w:rsidR="00AB5E62" w:rsidRPr="00484B4E" w:rsidRDefault="00AB5E62" w:rsidP="00355D81">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Przewodniczący Głównej Komisji Rewizyjnej SIMP 28.06.2002-26.11.2022</w:t>
            </w:r>
          </w:p>
          <w:p w14:paraId="0C90B246" w14:textId="77777777" w:rsidR="00AB5E62" w:rsidRPr="00484B4E" w:rsidRDefault="00AB5E62" w:rsidP="00355D81">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 xml:space="preserve">Ekspert Urzędu Marszałkowskiego Województwa Wielkopolskiego </w:t>
            </w:r>
          </w:p>
          <w:p w14:paraId="2613E8B2" w14:textId="77777777" w:rsidR="00AB5E62" w:rsidRPr="00484B4E" w:rsidRDefault="00AB5E62" w:rsidP="00355D81">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 xml:space="preserve">Wpisany przez Urząd Marszałkowski Województwa Wielkopolskiego na Listę Krajową Ekspertów </w:t>
            </w:r>
          </w:p>
          <w:p w14:paraId="575367A4" w14:textId="783754E1" w:rsidR="00177F51" w:rsidRPr="00086625" w:rsidRDefault="00AB5E62" w:rsidP="00086625">
            <w:pPr>
              <w:pStyle w:val="Akapitzlist"/>
              <w:numPr>
                <w:ilvl w:val="0"/>
                <w:numId w:val="58"/>
              </w:numPr>
              <w:ind w:left="31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 xml:space="preserve">Przewodniczący </w:t>
            </w:r>
            <w:proofErr w:type="spellStart"/>
            <w:r w:rsidRPr="00484B4E">
              <w:rPr>
                <w:rFonts w:asciiTheme="minorHAnsi" w:eastAsia="Times New Roman" w:hAnsiTheme="minorHAnsi" w:cstheme="minorHAnsi"/>
                <w:bCs/>
                <w:color w:val="000000"/>
              </w:rPr>
              <w:t>WKTiR</w:t>
            </w:r>
            <w:proofErr w:type="spellEnd"/>
            <w:r w:rsidRPr="00484B4E">
              <w:rPr>
                <w:rFonts w:asciiTheme="minorHAnsi" w:eastAsia="Times New Roman" w:hAnsiTheme="minorHAnsi" w:cstheme="minorHAnsi"/>
                <w:bCs/>
                <w:color w:val="000000"/>
              </w:rPr>
              <w:t xml:space="preserve"> w Poznaniu (1981-1985)</w:t>
            </w:r>
            <w:r w:rsidR="00086625">
              <w:rPr>
                <w:rFonts w:asciiTheme="minorHAnsi" w:eastAsia="Times New Roman" w:hAnsiTheme="minorHAnsi" w:cstheme="minorHAnsi"/>
                <w:bCs/>
                <w:color w:val="000000"/>
              </w:rPr>
              <w:t xml:space="preserve">, </w:t>
            </w:r>
            <w:r w:rsidRPr="00086625">
              <w:rPr>
                <w:rFonts w:eastAsia="Times New Roman" w:cstheme="minorHAnsi"/>
                <w:bCs/>
                <w:color w:val="000000"/>
              </w:rPr>
              <w:t>Rzeczoznawca SIMP</w:t>
            </w:r>
          </w:p>
        </w:tc>
      </w:tr>
      <w:tr w:rsidR="00D35DC7" w:rsidRPr="00484B4E" w14:paraId="42C5AFB2" w14:textId="77777777" w:rsidTr="00614607">
        <w:tc>
          <w:tcPr>
            <w:tcW w:w="1296" w:type="dxa"/>
          </w:tcPr>
          <w:p w14:paraId="46249C7E" w14:textId="77777777" w:rsidR="00177F51" w:rsidRPr="00177F51" w:rsidRDefault="00177F51" w:rsidP="00C346B4">
            <w:pPr>
              <w:tabs>
                <w:tab w:val="left" w:pos="2261"/>
              </w:tabs>
              <w:rPr>
                <w:noProof/>
                <w:sz w:val="6"/>
                <w:szCs w:val="6"/>
              </w:rPr>
            </w:pPr>
            <w:bookmarkStart w:id="56" w:name="_Hlk169238006"/>
          </w:p>
          <w:p w14:paraId="59C1B2B3" w14:textId="4C75E1FE" w:rsidR="00484B4E" w:rsidRDefault="00CB5276" w:rsidP="00C346B4">
            <w:pPr>
              <w:tabs>
                <w:tab w:val="left" w:pos="2261"/>
              </w:tabs>
              <w:rPr>
                <w:rFonts w:cstheme="minorHAnsi"/>
                <w:b/>
                <w:bCs/>
                <w:color w:val="000000"/>
                <w:sz w:val="26"/>
                <w:szCs w:val="26"/>
              </w:rPr>
            </w:pPr>
            <w:r>
              <w:rPr>
                <w:noProof/>
              </w:rPr>
              <w:drawing>
                <wp:inline distT="0" distB="0" distL="0" distR="0" wp14:anchorId="616BA5FD" wp14:editId="79CBB725">
                  <wp:extent cx="658800" cy="900000"/>
                  <wp:effectExtent l="0" t="0" r="8255" b="0"/>
                  <wp:docPr id="998149421"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00081"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p w14:paraId="0233B501" w14:textId="2650E56E" w:rsidR="00D35DC7" w:rsidRDefault="00D35DC7" w:rsidP="00C346B4">
            <w:pPr>
              <w:tabs>
                <w:tab w:val="left" w:pos="2261"/>
              </w:tabs>
              <w:rPr>
                <w:rFonts w:cstheme="minorHAnsi"/>
                <w:b/>
                <w:bCs/>
                <w:color w:val="000000"/>
                <w:sz w:val="26"/>
                <w:szCs w:val="26"/>
              </w:rPr>
            </w:pPr>
          </w:p>
        </w:tc>
        <w:tc>
          <w:tcPr>
            <w:tcW w:w="8485" w:type="dxa"/>
          </w:tcPr>
          <w:p w14:paraId="497319D7" w14:textId="3FB19191" w:rsidR="00D35DC7" w:rsidRPr="00484B4E" w:rsidRDefault="00D35DC7" w:rsidP="00C346B4">
            <w:pPr>
              <w:rPr>
                <w:rFonts w:asciiTheme="minorHAnsi" w:hAnsiTheme="minorHAnsi" w:cstheme="minorHAnsi"/>
                <w:bCs/>
                <w:color w:val="000000"/>
              </w:rPr>
            </w:pPr>
            <w:r w:rsidRPr="00484B4E">
              <w:rPr>
                <w:rFonts w:asciiTheme="minorHAnsi" w:hAnsiTheme="minorHAnsi" w:cstheme="minorHAnsi"/>
                <w:bCs/>
                <w:color w:val="000000"/>
              </w:rPr>
              <w:t>Anna KORBELA</w:t>
            </w:r>
          </w:p>
          <w:p w14:paraId="1B0E4D4C" w14:textId="5F7F3003" w:rsidR="00755F82" w:rsidRDefault="00E86418" w:rsidP="001F6BE3">
            <w:pPr>
              <w:pStyle w:val="Akapitzlist"/>
              <w:numPr>
                <w:ilvl w:val="0"/>
                <w:numId w:val="45"/>
              </w:numPr>
              <w:ind w:left="297" w:hanging="283"/>
              <w:rPr>
                <w:rFonts w:asciiTheme="minorHAnsi" w:eastAsia="Times New Roman" w:hAnsiTheme="minorHAnsi" w:cstheme="minorHAnsi"/>
                <w:bCs/>
                <w:color w:val="000000"/>
              </w:rPr>
            </w:pPr>
            <w:r w:rsidRPr="00755F82">
              <w:rPr>
                <w:rFonts w:asciiTheme="minorHAnsi" w:eastAsia="Times New Roman" w:hAnsiTheme="minorHAnsi" w:cstheme="minorHAnsi"/>
                <w:bCs/>
                <w:color w:val="000000"/>
              </w:rPr>
              <w:t xml:space="preserve">w 1994 r. </w:t>
            </w:r>
            <w:r w:rsidR="00FE4722">
              <w:rPr>
                <w:rFonts w:cstheme="minorHAnsi"/>
                <w:bCs/>
                <w:color w:val="000000"/>
              </w:rPr>
              <w:t xml:space="preserve">zdała </w:t>
            </w:r>
            <w:r w:rsidR="00755F82" w:rsidRPr="00755F82">
              <w:rPr>
                <w:rFonts w:asciiTheme="minorHAnsi" w:eastAsia="Times New Roman" w:hAnsiTheme="minorHAnsi" w:cstheme="minorHAnsi"/>
                <w:bCs/>
                <w:color w:val="000000"/>
              </w:rPr>
              <w:t xml:space="preserve">egzamin sędziowski poprzedzony etatową aplikacją sędziowską (złożony z </w:t>
            </w:r>
            <w:r w:rsidR="00123357" w:rsidRPr="00755F82">
              <w:rPr>
                <w:rFonts w:asciiTheme="minorHAnsi" w:eastAsia="Times New Roman" w:hAnsiTheme="minorHAnsi" w:cstheme="minorHAnsi"/>
                <w:bCs/>
                <w:color w:val="000000"/>
              </w:rPr>
              <w:t xml:space="preserve">dobrym </w:t>
            </w:r>
            <w:r w:rsidR="00755F82" w:rsidRPr="00755F82">
              <w:rPr>
                <w:rFonts w:asciiTheme="minorHAnsi" w:eastAsia="Times New Roman" w:hAnsiTheme="minorHAnsi" w:cstheme="minorHAnsi"/>
                <w:bCs/>
                <w:color w:val="000000"/>
              </w:rPr>
              <w:t>wynikiem, umożliwiającym podjęcie kariery sędziowskiej</w:t>
            </w:r>
            <w:r w:rsidR="00D76DA8">
              <w:rPr>
                <w:rFonts w:asciiTheme="minorHAnsi" w:eastAsia="Times New Roman" w:hAnsiTheme="minorHAnsi" w:cstheme="minorHAnsi"/>
                <w:bCs/>
                <w:color w:val="000000"/>
              </w:rPr>
              <w:t>)</w:t>
            </w:r>
          </w:p>
          <w:p w14:paraId="76C76523" w14:textId="403A63AA" w:rsidR="00D35DC7" w:rsidRPr="00484B4E" w:rsidRDefault="00D35DC7" w:rsidP="001F6BE3">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rzecznik patentowy nr 3040</w:t>
            </w:r>
          </w:p>
          <w:p w14:paraId="5A7FD431" w14:textId="77777777" w:rsidR="00D35DC7" w:rsidRPr="00484B4E" w:rsidRDefault="00D35DC7" w:rsidP="001F6BE3">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radca prawny nr 364/96</w:t>
            </w:r>
          </w:p>
          <w:p w14:paraId="74FC4BF7" w14:textId="739E5A78" w:rsidR="00D35DC7" w:rsidRPr="00484B4E" w:rsidRDefault="00D35DC7" w:rsidP="001F6BE3">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profesjonalny pełnomocnik przed EUIPO (</w:t>
            </w:r>
            <w:r w:rsidRPr="00484B4E">
              <w:rPr>
                <w:rFonts w:asciiTheme="minorHAnsi" w:eastAsia="Times New Roman" w:hAnsiTheme="minorHAnsi" w:cstheme="minorHAnsi"/>
                <w:bCs/>
                <w:i/>
                <w:color w:val="000000"/>
              </w:rPr>
              <w:t>European Union Intellectual Property Office</w:t>
            </w:r>
            <w:r w:rsidRPr="00484B4E">
              <w:rPr>
                <w:rFonts w:asciiTheme="minorHAnsi" w:eastAsia="Times New Roman" w:hAnsiTheme="minorHAnsi" w:cstheme="minorHAnsi"/>
                <w:bCs/>
                <w:color w:val="000000"/>
              </w:rPr>
              <w:t xml:space="preserve"> </w:t>
            </w:r>
            <w:r w:rsidR="00636601" w:rsidRPr="00484B4E">
              <w:rPr>
                <w:rFonts w:asciiTheme="minorHAnsi" w:eastAsia="Times New Roman" w:hAnsiTheme="minorHAnsi" w:cstheme="minorHAnsi"/>
                <w:bCs/>
                <w:color w:val="000000"/>
              </w:rPr>
              <w:t>-</w:t>
            </w:r>
            <w:r w:rsidRPr="00484B4E">
              <w:rPr>
                <w:rFonts w:asciiTheme="minorHAnsi" w:eastAsia="Times New Roman" w:hAnsiTheme="minorHAnsi" w:cstheme="minorHAnsi"/>
                <w:bCs/>
                <w:color w:val="000000"/>
              </w:rPr>
              <w:t xml:space="preserve"> </w:t>
            </w:r>
            <w:r w:rsidR="00F745E5" w:rsidRPr="00484B4E">
              <w:rPr>
                <w:rFonts w:eastAsia="Times New Roman" w:cstheme="minorHAnsi"/>
                <w:bCs/>
                <w:color w:val="000000"/>
              </w:rPr>
              <w:t>Urzędem</w:t>
            </w:r>
            <w:r w:rsidRPr="00484B4E">
              <w:rPr>
                <w:rFonts w:asciiTheme="minorHAnsi" w:eastAsia="Times New Roman" w:hAnsiTheme="minorHAnsi" w:cstheme="minorHAnsi"/>
                <w:bCs/>
                <w:color w:val="000000"/>
              </w:rPr>
              <w:t xml:space="preserve"> Unii Europejskiej ds. Własności Intelektualnej), nr 27595</w:t>
            </w:r>
          </w:p>
          <w:p w14:paraId="0DFB3FB7" w14:textId="77777777" w:rsidR="00D35DC7" w:rsidRPr="00484B4E" w:rsidRDefault="00D35DC7" w:rsidP="001F6BE3">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Europejski Rzecznik Patentowy nr 137760</w:t>
            </w:r>
          </w:p>
          <w:p w14:paraId="7AC8020E" w14:textId="6AC2A635" w:rsidR="00D35DC7" w:rsidRPr="00484B4E" w:rsidRDefault="00D35DC7" w:rsidP="001F6BE3">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pełnomocnik uprawniony do działania przed DPMA (</w:t>
            </w:r>
            <w:proofErr w:type="spellStart"/>
            <w:r w:rsidRPr="00484B4E">
              <w:rPr>
                <w:rFonts w:asciiTheme="minorHAnsi" w:eastAsia="Times New Roman" w:hAnsiTheme="minorHAnsi" w:cstheme="minorHAnsi"/>
                <w:bCs/>
                <w:i/>
                <w:color w:val="000000"/>
              </w:rPr>
              <w:t>Deutsches</w:t>
            </w:r>
            <w:proofErr w:type="spellEnd"/>
            <w:r w:rsidRPr="00484B4E">
              <w:rPr>
                <w:rFonts w:asciiTheme="minorHAnsi" w:eastAsia="Times New Roman" w:hAnsiTheme="minorHAnsi" w:cstheme="minorHAnsi"/>
                <w:bCs/>
                <w:i/>
                <w:color w:val="000000"/>
              </w:rPr>
              <w:t xml:space="preserve"> Patent- </w:t>
            </w:r>
            <w:proofErr w:type="spellStart"/>
            <w:r w:rsidRPr="00484B4E">
              <w:rPr>
                <w:rFonts w:asciiTheme="minorHAnsi" w:eastAsia="Times New Roman" w:hAnsiTheme="minorHAnsi" w:cstheme="minorHAnsi"/>
                <w:bCs/>
                <w:i/>
                <w:color w:val="000000"/>
              </w:rPr>
              <w:t>und</w:t>
            </w:r>
            <w:proofErr w:type="spellEnd"/>
            <w:r w:rsidRPr="00484B4E">
              <w:rPr>
                <w:rFonts w:asciiTheme="minorHAnsi" w:eastAsia="Times New Roman" w:hAnsiTheme="minorHAnsi" w:cstheme="minorHAnsi"/>
                <w:bCs/>
                <w:i/>
                <w:color w:val="000000"/>
              </w:rPr>
              <w:t xml:space="preserve"> </w:t>
            </w:r>
            <w:proofErr w:type="spellStart"/>
            <w:r w:rsidRPr="00484B4E">
              <w:rPr>
                <w:rFonts w:asciiTheme="minorHAnsi" w:eastAsia="Times New Roman" w:hAnsiTheme="minorHAnsi" w:cstheme="minorHAnsi"/>
                <w:bCs/>
                <w:i/>
                <w:color w:val="000000"/>
              </w:rPr>
              <w:t>Markenamt</w:t>
            </w:r>
            <w:proofErr w:type="spellEnd"/>
            <w:r w:rsidRPr="00484B4E">
              <w:rPr>
                <w:rFonts w:asciiTheme="minorHAnsi" w:eastAsia="Times New Roman" w:hAnsiTheme="minorHAnsi" w:cstheme="minorHAnsi"/>
                <w:bCs/>
                <w:color w:val="000000"/>
              </w:rPr>
              <w:t xml:space="preserve"> </w:t>
            </w:r>
            <w:r w:rsidR="00636601" w:rsidRPr="00484B4E">
              <w:rPr>
                <w:rFonts w:asciiTheme="minorHAnsi" w:eastAsia="Times New Roman" w:hAnsiTheme="minorHAnsi" w:cstheme="minorHAnsi"/>
                <w:bCs/>
                <w:color w:val="000000"/>
              </w:rPr>
              <w:t>-</w:t>
            </w:r>
            <w:r w:rsidRPr="00484B4E">
              <w:rPr>
                <w:rFonts w:asciiTheme="minorHAnsi" w:eastAsia="Times New Roman" w:hAnsiTheme="minorHAnsi" w:cstheme="minorHAnsi"/>
                <w:bCs/>
                <w:color w:val="000000"/>
              </w:rPr>
              <w:t xml:space="preserve"> </w:t>
            </w:r>
            <w:r w:rsidR="00636601" w:rsidRPr="00484B4E">
              <w:rPr>
                <w:rFonts w:asciiTheme="minorHAnsi" w:eastAsia="Times New Roman" w:hAnsiTheme="minorHAnsi" w:cstheme="minorHAnsi"/>
                <w:bCs/>
                <w:color w:val="000000"/>
              </w:rPr>
              <w:t xml:space="preserve">Niemieckim Urzędem ds. Patentów </w:t>
            </w:r>
            <w:r w:rsidRPr="00484B4E">
              <w:rPr>
                <w:rFonts w:asciiTheme="minorHAnsi" w:eastAsia="Times New Roman" w:hAnsiTheme="minorHAnsi" w:cstheme="minorHAnsi"/>
                <w:bCs/>
                <w:color w:val="000000"/>
              </w:rPr>
              <w:t>i Znaków Towarowych) nr 38701324</w:t>
            </w:r>
          </w:p>
          <w:p w14:paraId="15C08259" w14:textId="2F86362D" w:rsidR="006E2F4F" w:rsidRPr="00484B4E" w:rsidRDefault="00D35DC7" w:rsidP="00614607">
            <w:pPr>
              <w:pStyle w:val="Akapitzlist"/>
              <w:numPr>
                <w:ilvl w:val="0"/>
                <w:numId w:val="45"/>
              </w:numPr>
              <w:ind w:left="297" w:right="-534"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pełnomocnik przed UPC (</w:t>
            </w:r>
            <w:proofErr w:type="spellStart"/>
            <w:r w:rsidRPr="00484B4E">
              <w:rPr>
                <w:rFonts w:asciiTheme="minorHAnsi" w:eastAsia="Times New Roman" w:hAnsiTheme="minorHAnsi" w:cstheme="minorHAnsi"/>
                <w:bCs/>
                <w:i/>
                <w:color w:val="000000"/>
              </w:rPr>
              <w:t>Unitary</w:t>
            </w:r>
            <w:proofErr w:type="spellEnd"/>
            <w:r w:rsidRPr="00484B4E">
              <w:rPr>
                <w:rFonts w:asciiTheme="minorHAnsi" w:eastAsia="Times New Roman" w:hAnsiTheme="minorHAnsi" w:cstheme="minorHAnsi"/>
                <w:bCs/>
                <w:i/>
                <w:color w:val="000000"/>
              </w:rPr>
              <w:t xml:space="preserve"> Patent Court</w:t>
            </w:r>
            <w:r w:rsidRPr="00484B4E">
              <w:rPr>
                <w:rFonts w:asciiTheme="minorHAnsi" w:eastAsia="Times New Roman" w:hAnsiTheme="minorHAnsi" w:cstheme="minorHAnsi"/>
                <w:bCs/>
                <w:color w:val="000000"/>
              </w:rPr>
              <w:t xml:space="preserve"> </w:t>
            </w:r>
            <w:r w:rsidR="006E2F4F" w:rsidRPr="00484B4E">
              <w:rPr>
                <w:rFonts w:asciiTheme="minorHAnsi" w:eastAsia="Times New Roman" w:hAnsiTheme="minorHAnsi" w:cstheme="minorHAnsi"/>
                <w:bCs/>
                <w:color w:val="000000"/>
              </w:rPr>
              <w:t>-</w:t>
            </w:r>
            <w:r w:rsidRPr="00484B4E">
              <w:rPr>
                <w:rFonts w:asciiTheme="minorHAnsi" w:eastAsia="Times New Roman" w:hAnsiTheme="minorHAnsi" w:cstheme="minorHAnsi"/>
                <w:bCs/>
                <w:color w:val="000000"/>
              </w:rPr>
              <w:t xml:space="preserve"> Jednolitym Sądem Patentowym)</w:t>
            </w:r>
            <w:r w:rsidR="00614607" w:rsidRPr="00484B4E">
              <w:rPr>
                <w:rFonts w:asciiTheme="minorHAnsi" w:eastAsia="Times New Roman" w:hAnsiTheme="minorHAnsi" w:cstheme="minorHAnsi"/>
                <w:bCs/>
                <w:color w:val="000000"/>
              </w:rPr>
              <w:t xml:space="preserve"> </w:t>
            </w:r>
            <w:r w:rsidRPr="00484B4E">
              <w:rPr>
                <w:rFonts w:asciiTheme="minorHAnsi" w:eastAsia="Times New Roman" w:hAnsiTheme="minorHAnsi" w:cstheme="minorHAnsi"/>
                <w:bCs/>
                <w:color w:val="000000"/>
              </w:rPr>
              <w:t>AUTH_525119/2023</w:t>
            </w:r>
          </w:p>
          <w:p w14:paraId="4D1E19F9" w14:textId="77777777" w:rsidR="006E2F4F" w:rsidRPr="00484B4E" w:rsidRDefault="00D35DC7" w:rsidP="006E2F4F">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Prezes Polskiej Izby Rzeczników Patentowych w latach 2009-2013 i 2013-2017</w:t>
            </w:r>
          </w:p>
          <w:p w14:paraId="398BC9B3" w14:textId="1D9DF0C6" w:rsidR="00D35DC7" w:rsidRPr="00484B4E" w:rsidRDefault="00062821" w:rsidP="006E2F4F">
            <w:pPr>
              <w:pStyle w:val="Akapitzlist"/>
              <w:numPr>
                <w:ilvl w:val="0"/>
                <w:numId w:val="45"/>
              </w:numPr>
              <w:ind w:left="297" w:hanging="283"/>
              <w:rPr>
                <w:rFonts w:asciiTheme="minorHAnsi" w:eastAsia="Times New Roman" w:hAnsiTheme="minorHAnsi" w:cstheme="minorHAnsi"/>
                <w:bCs/>
                <w:color w:val="000000"/>
              </w:rPr>
            </w:pPr>
            <w:r w:rsidRPr="00484B4E">
              <w:rPr>
                <w:rFonts w:asciiTheme="minorHAnsi" w:eastAsia="Times New Roman" w:hAnsiTheme="minorHAnsi" w:cstheme="minorHAnsi"/>
                <w:bCs/>
                <w:color w:val="000000"/>
              </w:rPr>
              <w:t>Prezes StoWI od 2023 r.</w:t>
            </w:r>
          </w:p>
        </w:tc>
      </w:tr>
      <w:bookmarkEnd w:id="56"/>
      <w:tr w:rsidR="00D35DC7" w:rsidRPr="00484B4E" w14:paraId="5244AFD9" w14:textId="77777777" w:rsidTr="0017071E">
        <w:tc>
          <w:tcPr>
            <w:tcW w:w="1296" w:type="dxa"/>
          </w:tcPr>
          <w:p w14:paraId="64CB7774" w14:textId="2D6E0806" w:rsidR="00177F51" w:rsidRPr="00177F51" w:rsidRDefault="00177F51" w:rsidP="00C346B4">
            <w:pPr>
              <w:tabs>
                <w:tab w:val="left" w:pos="2261"/>
              </w:tabs>
              <w:rPr>
                <w:noProof/>
                <w:sz w:val="6"/>
                <w:szCs w:val="6"/>
              </w:rPr>
            </w:pPr>
          </w:p>
          <w:p w14:paraId="34F20712" w14:textId="7A5B53C0" w:rsidR="00D35DC7" w:rsidRPr="00EC4F25" w:rsidRDefault="00614607" w:rsidP="00C346B4">
            <w:pPr>
              <w:tabs>
                <w:tab w:val="left" w:pos="2261"/>
              </w:tabs>
              <w:rPr>
                <w:b/>
                <w:bCs/>
                <w:noProof/>
                <w:sz w:val="18"/>
                <w:szCs w:val="18"/>
              </w:rPr>
            </w:pPr>
            <w:r>
              <w:rPr>
                <w:noProof/>
              </w:rPr>
              <w:drawing>
                <wp:anchor distT="0" distB="0" distL="114300" distR="114300" simplePos="0" relativeHeight="252293120" behindDoc="0" locked="0" layoutInCell="1" allowOverlap="1" wp14:anchorId="60A7D81E" wp14:editId="3DCFB7BE">
                  <wp:simplePos x="0" y="0"/>
                  <wp:positionH relativeFrom="column">
                    <wp:posOffset>-9525</wp:posOffset>
                  </wp:positionH>
                  <wp:positionV relativeFrom="paragraph">
                    <wp:posOffset>16570</wp:posOffset>
                  </wp:positionV>
                  <wp:extent cx="676800" cy="900000"/>
                  <wp:effectExtent l="0" t="0" r="9525" b="0"/>
                  <wp:wrapNone/>
                  <wp:docPr id="1869072557" name="Obraz 17" descr="Obraz zawierający osoba, ubrania, człowiek,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79556" name="Obraz 17" descr="Obraz zawierający osoba, ubrania, człowiek, okno&#10;&#10;Opis wygenerowany automatyczni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768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485" w:type="dxa"/>
          </w:tcPr>
          <w:p w14:paraId="44061B59" w14:textId="473ED234" w:rsidR="00D35DC7" w:rsidRPr="00484B4E" w:rsidRDefault="00D35DC7" w:rsidP="00C346B4">
            <w:pPr>
              <w:rPr>
                <w:rFonts w:asciiTheme="minorHAnsi" w:hAnsiTheme="minorHAnsi" w:cstheme="minorHAnsi"/>
                <w:bCs/>
                <w:color w:val="000000"/>
              </w:rPr>
            </w:pPr>
            <w:r w:rsidRPr="00484B4E">
              <w:rPr>
                <w:rFonts w:asciiTheme="minorHAnsi" w:hAnsiTheme="minorHAnsi" w:cstheme="minorHAnsi"/>
                <w:bCs/>
                <w:color w:val="000000"/>
              </w:rPr>
              <w:t>Tadeusz REJMAN</w:t>
            </w:r>
          </w:p>
          <w:p w14:paraId="76DAB5F6" w14:textId="77777777" w:rsidR="00086625" w:rsidRDefault="00D35DC7" w:rsidP="00086625">
            <w:pPr>
              <w:pStyle w:val="Akapitzlist"/>
              <w:numPr>
                <w:ilvl w:val="0"/>
                <w:numId w:val="49"/>
              </w:numPr>
              <w:ind w:left="297" w:hanging="297"/>
              <w:rPr>
                <w:rFonts w:eastAsia="Times New Roman" w:cstheme="minorHAnsi"/>
                <w:bCs/>
                <w:color w:val="000000"/>
              </w:rPr>
            </w:pPr>
            <w:r w:rsidRPr="00484B4E">
              <w:rPr>
                <w:rFonts w:eastAsia="Times New Roman" w:cstheme="minorHAnsi"/>
                <w:bCs/>
                <w:color w:val="000000"/>
              </w:rPr>
              <w:t>rzecznik patentowy</w:t>
            </w:r>
            <w:r w:rsidR="00086625">
              <w:rPr>
                <w:rFonts w:eastAsia="Times New Roman" w:cstheme="minorHAnsi"/>
                <w:bCs/>
                <w:color w:val="000000"/>
              </w:rPr>
              <w:t xml:space="preserve">, </w:t>
            </w:r>
            <w:r w:rsidR="00086625" w:rsidRPr="00484B4E">
              <w:rPr>
                <w:rFonts w:eastAsia="Times New Roman" w:cstheme="minorHAnsi"/>
                <w:bCs/>
                <w:color w:val="000000"/>
              </w:rPr>
              <w:t>współzałożyciel Polskiej Izby Rzeczników Patentowych</w:t>
            </w:r>
            <w:r w:rsidR="00086625">
              <w:rPr>
                <w:rFonts w:eastAsia="Times New Roman" w:cstheme="minorHAnsi"/>
                <w:bCs/>
                <w:color w:val="000000"/>
              </w:rPr>
              <w:t>,</w:t>
            </w:r>
          </w:p>
          <w:p w14:paraId="30A20272" w14:textId="3F838E63" w:rsidR="00CB5276" w:rsidRPr="00086625" w:rsidRDefault="00086625" w:rsidP="00086625">
            <w:pPr>
              <w:pStyle w:val="Akapitzlist"/>
              <w:numPr>
                <w:ilvl w:val="0"/>
                <w:numId w:val="49"/>
              </w:numPr>
              <w:ind w:left="297" w:hanging="297"/>
              <w:rPr>
                <w:rFonts w:eastAsia="Times New Roman" w:cstheme="minorHAnsi"/>
                <w:bCs/>
                <w:color w:val="000000"/>
              </w:rPr>
            </w:pPr>
            <w:r w:rsidRPr="00086625">
              <w:rPr>
                <w:rFonts w:ascii="Times New Roman" w:eastAsia="Times New Roman" w:hAnsi="Times New Roman" w:cstheme="minorHAnsi"/>
                <w:bCs/>
                <w:color w:val="000000"/>
              </w:rPr>
              <w:t>uczestnik I Krajowego Zjazdu w dniu 28.08.1993 r.</w:t>
            </w:r>
          </w:p>
        </w:tc>
      </w:tr>
    </w:tbl>
    <w:p w14:paraId="624967BA" w14:textId="62B044AD" w:rsidR="0068732E" w:rsidRPr="00EC4F25" w:rsidRDefault="000733E0" w:rsidP="0068732E">
      <w:pPr>
        <w:spacing w:after="0" w:line="240" w:lineRule="auto"/>
        <w:jc w:val="center"/>
        <w:rPr>
          <w:b/>
          <w:bCs/>
        </w:rPr>
      </w:pPr>
      <w:r>
        <w:rPr>
          <w:b/>
          <w:bCs/>
          <w:noProof/>
          <w:lang w:eastAsia="pl-PL"/>
        </w:rPr>
        <w:lastRenderedPageBreak/>
        <w:drawing>
          <wp:inline distT="0" distB="0" distL="0" distR="0" wp14:anchorId="27AB7FFE" wp14:editId="41F60DE3">
            <wp:extent cx="6522524" cy="2892056"/>
            <wp:effectExtent l="0" t="0" r="0" b="3810"/>
            <wp:docPr id="1848271545" name="Obraz 184827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30267" cy="2895489"/>
                    </a:xfrm>
                    <a:prstGeom prst="rect">
                      <a:avLst/>
                    </a:prstGeom>
                    <a:noFill/>
                    <a:ln>
                      <a:noFill/>
                    </a:ln>
                  </pic:spPr>
                </pic:pic>
              </a:graphicData>
            </a:graphic>
          </wp:inline>
        </w:drawing>
      </w:r>
    </w:p>
    <w:p w14:paraId="1675099E" w14:textId="77777777" w:rsidR="00614607" w:rsidRDefault="00614607" w:rsidP="0068732E">
      <w:pPr>
        <w:pStyle w:val="Akapitzlist"/>
        <w:ind w:left="0" w:firstLine="567"/>
        <w:jc w:val="both"/>
        <w:rPr>
          <w:rFonts w:ascii="Times New Roman" w:hAnsi="Times New Roman"/>
          <w:sz w:val="24"/>
          <w:szCs w:val="24"/>
        </w:rPr>
      </w:pPr>
    </w:p>
    <w:p w14:paraId="12C894F0" w14:textId="77777777" w:rsidR="00614607" w:rsidRDefault="00614607" w:rsidP="0068732E">
      <w:pPr>
        <w:pStyle w:val="Akapitzlist"/>
        <w:ind w:left="0" w:firstLine="567"/>
        <w:jc w:val="both"/>
        <w:rPr>
          <w:rFonts w:ascii="Times New Roman" w:hAnsi="Times New Roman"/>
          <w:sz w:val="24"/>
          <w:szCs w:val="24"/>
        </w:rPr>
      </w:pPr>
    </w:p>
    <w:p w14:paraId="351D489A" w14:textId="37E63B13" w:rsidR="0068732E" w:rsidRPr="00504C11" w:rsidRDefault="0068732E" w:rsidP="0068732E">
      <w:pPr>
        <w:pStyle w:val="Akapitzlist"/>
        <w:ind w:left="0" w:firstLine="567"/>
        <w:jc w:val="both"/>
        <w:rPr>
          <w:rFonts w:ascii="Times New Roman" w:hAnsi="Times New Roman"/>
          <w:sz w:val="24"/>
          <w:szCs w:val="24"/>
        </w:rPr>
      </w:pPr>
      <w:r w:rsidRPr="00504C11">
        <w:rPr>
          <w:rFonts w:ascii="Times New Roman" w:hAnsi="Times New Roman"/>
          <w:sz w:val="24"/>
          <w:szCs w:val="24"/>
        </w:rPr>
        <w:t xml:space="preserve">Składamy niniejszy WNIOSEK - LIST OTWARTY kierowani troską o dobre funkcjonowanie systemu prawnego w naszym kraju, działając zgodnie z </w:t>
      </w:r>
      <w:r w:rsidRPr="00504C11">
        <w:rPr>
          <w:rFonts w:ascii="Times New Roman" w:hAnsi="Times New Roman"/>
          <w:b/>
          <w:bCs/>
          <w:sz w:val="24"/>
          <w:szCs w:val="24"/>
        </w:rPr>
        <w:t>art. 63 Konstytucji Rzeczypospolitej Polskiej</w:t>
      </w:r>
      <w:r w:rsidRPr="00504C11">
        <w:rPr>
          <w:rFonts w:ascii="Times New Roman" w:hAnsi="Times New Roman"/>
          <w:sz w:val="24"/>
          <w:szCs w:val="24"/>
        </w:rPr>
        <w:t xml:space="preserve"> gwarantującym nam wszystkim prawo petycji w każdej sytuacji, która wymaga usprawnienia, a także realizując </w:t>
      </w:r>
      <w:r w:rsidRPr="00504C11">
        <w:rPr>
          <w:rFonts w:ascii="Times New Roman" w:hAnsi="Times New Roman"/>
          <w:b/>
          <w:bCs/>
          <w:sz w:val="24"/>
          <w:szCs w:val="24"/>
        </w:rPr>
        <w:t>art. 221</w:t>
      </w:r>
      <w:r w:rsidRPr="00504C11">
        <w:rPr>
          <w:rFonts w:ascii="Times New Roman" w:hAnsi="Times New Roman"/>
          <w:sz w:val="24"/>
          <w:szCs w:val="24"/>
        </w:rPr>
        <w:t xml:space="preserve"> ustawy z dnia 14 czerwca 1960 r. Kodeks postępowania administracyjnego (Dz. U. 2021 r. poz. 735 z późn. zm.), nazywanej dalej: </w:t>
      </w:r>
      <w:r w:rsidRPr="00504C11">
        <w:rPr>
          <w:rFonts w:ascii="Times New Roman" w:hAnsi="Times New Roman"/>
          <w:i/>
          <w:iCs/>
          <w:sz w:val="24"/>
          <w:szCs w:val="24"/>
        </w:rPr>
        <w:t>„k.p.a.”</w:t>
      </w:r>
      <w:r w:rsidRPr="00504C11">
        <w:rPr>
          <w:rFonts w:ascii="Times New Roman" w:hAnsi="Times New Roman"/>
          <w:sz w:val="24"/>
          <w:szCs w:val="24"/>
        </w:rPr>
        <w:t xml:space="preserve"> zgodnie z którym: „</w:t>
      </w:r>
      <w:r w:rsidRPr="00504C11">
        <w:rPr>
          <w:rFonts w:ascii="Times New Roman" w:hAnsi="Times New Roman"/>
          <w:i/>
          <w:iCs/>
          <w:sz w:val="24"/>
          <w:szCs w:val="24"/>
        </w:rPr>
        <w:t>Zagwarantowane każdemu w Konstytucji Rzeczypospolitej Polskiej prawo składania skarg i wniosków do organów państwowych (...)"</w:t>
      </w:r>
      <w:r w:rsidRPr="00504C11">
        <w:rPr>
          <w:rFonts w:ascii="Times New Roman" w:hAnsi="Times New Roman"/>
          <w:sz w:val="24"/>
          <w:szCs w:val="24"/>
        </w:rPr>
        <w:t xml:space="preserve"> urzeczywistniane jest na zasadzie określonej </w:t>
      </w:r>
      <w:r w:rsidRPr="00504C11">
        <w:rPr>
          <w:rFonts w:ascii="Times New Roman" w:hAnsi="Times New Roman"/>
          <w:b/>
          <w:bCs/>
          <w:sz w:val="24"/>
          <w:szCs w:val="24"/>
        </w:rPr>
        <w:t>w art. 241</w:t>
      </w:r>
      <w:r w:rsidRPr="00504C11">
        <w:rPr>
          <w:rFonts w:ascii="Times New Roman" w:hAnsi="Times New Roman"/>
          <w:sz w:val="24"/>
          <w:szCs w:val="24"/>
        </w:rPr>
        <w:t xml:space="preserve"> k.p.a., w myśl którego wnioski do organów państwowych można składać „</w:t>
      </w:r>
      <w:r w:rsidRPr="00504C11">
        <w:rPr>
          <w:rFonts w:ascii="Times New Roman" w:hAnsi="Times New Roman"/>
          <w:i/>
          <w:iCs/>
          <w:sz w:val="24"/>
          <w:szCs w:val="24"/>
        </w:rPr>
        <w:t xml:space="preserve">w interesie </w:t>
      </w:r>
      <w:proofErr w:type="gramStart"/>
      <w:r w:rsidRPr="00504C11">
        <w:rPr>
          <w:rFonts w:ascii="Times New Roman" w:hAnsi="Times New Roman"/>
          <w:i/>
          <w:iCs/>
          <w:sz w:val="24"/>
          <w:szCs w:val="24"/>
        </w:rPr>
        <w:t>publicznym</w:t>
      </w:r>
      <w:r w:rsidRPr="00504C11">
        <w:rPr>
          <w:rFonts w:ascii="Times New Roman" w:hAnsi="Times New Roman"/>
          <w:sz w:val="24"/>
          <w:szCs w:val="24"/>
        </w:rPr>
        <w:t xml:space="preserve"> ”</w:t>
      </w:r>
      <w:proofErr w:type="gramEnd"/>
      <w:r w:rsidRPr="00504C11">
        <w:rPr>
          <w:rFonts w:ascii="Times New Roman" w:hAnsi="Times New Roman"/>
          <w:sz w:val="24"/>
          <w:szCs w:val="24"/>
        </w:rPr>
        <w:t xml:space="preserve">, jak i „ </w:t>
      </w:r>
      <w:r w:rsidRPr="00504C11">
        <w:rPr>
          <w:rFonts w:ascii="Times New Roman" w:hAnsi="Times New Roman"/>
          <w:i/>
          <w:iCs/>
          <w:sz w:val="24"/>
          <w:szCs w:val="24"/>
        </w:rPr>
        <w:t>własnym”</w:t>
      </w:r>
      <w:r w:rsidRPr="00504C11">
        <w:rPr>
          <w:rFonts w:ascii="Times New Roman" w:hAnsi="Times New Roman"/>
          <w:sz w:val="24"/>
          <w:szCs w:val="24"/>
        </w:rPr>
        <w:t xml:space="preserve"> stąd też:</w:t>
      </w:r>
    </w:p>
    <w:p w14:paraId="53C87181" w14:textId="77777777" w:rsidR="0068732E" w:rsidRPr="00504C11" w:rsidRDefault="0068732E" w:rsidP="00614607">
      <w:pPr>
        <w:pStyle w:val="Akapitzlist"/>
        <w:numPr>
          <w:ilvl w:val="0"/>
          <w:numId w:val="16"/>
        </w:numPr>
        <w:ind w:left="567" w:hanging="425"/>
        <w:contextualSpacing/>
        <w:jc w:val="both"/>
        <w:rPr>
          <w:rFonts w:ascii="Times New Roman" w:hAnsi="Times New Roman"/>
          <w:sz w:val="24"/>
          <w:szCs w:val="24"/>
        </w:rPr>
      </w:pPr>
      <w:r w:rsidRPr="00504C11">
        <w:rPr>
          <w:rFonts w:ascii="Times New Roman" w:hAnsi="Times New Roman"/>
          <w:sz w:val="24"/>
          <w:szCs w:val="24"/>
        </w:rPr>
        <w:t xml:space="preserve">świadomi tego, że tak, jak musieliśmy radzić sobie z pandemią </w:t>
      </w:r>
      <w:r w:rsidRPr="00504C11">
        <w:rPr>
          <w:rFonts w:ascii="Times New Roman" w:hAnsi="Times New Roman"/>
          <w:b/>
          <w:bCs/>
          <w:sz w:val="24"/>
          <w:szCs w:val="24"/>
        </w:rPr>
        <w:t>COVID-19</w:t>
      </w:r>
      <w:r w:rsidRPr="00504C11">
        <w:rPr>
          <w:rFonts w:ascii="Times New Roman" w:hAnsi="Times New Roman"/>
          <w:sz w:val="24"/>
          <w:szCs w:val="24"/>
        </w:rPr>
        <w:t xml:space="preserve">, później rozprzestrzenianiem się wirusa </w:t>
      </w:r>
      <w:r w:rsidRPr="00504C11">
        <w:rPr>
          <w:rFonts w:ascii="Times New Roman" w:hAnsi="Times New Roman"/>
          <w:b/>
          <w:bCs/>
          <w:sz w:val="24"/>
          <w:szCs w:val="24"/>
        </w:rPr>
        <w:t>Sars-CoV-2</w:t>
      </w:r>
      <w:r w:rsidRPr="00504C11">
        <w:rPr>
          <w:rFonts w:ascii="Times New Roman" w:hAnsi="Times New Roman"/>
          <w:sz w:val="24"/>
          <w:szCs w:val="24"/>
        </w:rPr>
        <w:t>, tak teraz z wariantem</w:t>
      </w:r>
      <w:r w:rsidRPr="00504C11">
        <w:rPr>
          <w:rFonts w:ascii="Times New Roman" w:hAnsi="Times New Roman"/>
          <w:b/>
          <w:bCs/>
          <w:sz w:val="24"/>
          <w:szCs w:val="24"/>
        </w:rPr>
        <w:t xml:space="preserve"> omikron</w:t>
      </w:r>
      <w:r w:rsidRPr="00504C11">
        <w:rPr>
          <w:rFonts w:ascii="Times New Roman" w:hAnsi="Times New Roman"/>
          <w:sz w:val="24"/>
          <w:szCs w:val="24"/>
        </w:rPr>
        <w:t xml:space="preserve">, licząc się z tym, że w </w:t>
      </w:r>
      <w:r w:rsidRPr="00504C11">
        <w:rPr>
          <w:rFonts w:ascii="Times New Roman" w:hAnsi="Times New Roman"/>
          <w:sz w:val="24"/>
          <w:szCs w:val="24"/>
          <w:u w:val="single"/>
        </w:rPr>
        <w:t>przyszłości mogą mieć miejsce</w:t>
      </w:r>
      <w:r w:rsidRPr="00504C11">
        <w:rPr>
          <w:rFonts w:ascii="Times New Roman" w:hAnsi="Times New Roman"/>
          <w:sz w:val="24"/>
          <w:szCs w:val="24"/>
        </w:rPr>
        <w:t xml:space="preserve"> kolejne </w:t>
      </w:r>
      <w:r w:rsidRPr="00504C11">
        <w:rPr>
          <w:rFonts w:ascii="Times New Roman" w:hAnsi="Times New Roman"/>
          <w:sz w:val="24"/>
          <w:szCs w:val="24"/>
          <w:u w:val="single"/>
        </w:rPr>
        <w:t>sytuacje nadzwyczajne,</w:t>
      </w:r>
    </w:p>
    <w:p w14:paraId="4BB74B96" w14:textId="77777777" w:rsidR="0068732E" w:rsidRPr="00614607" w:rsidRDefault="0068732E" w:rsidP="00614607">
      <w:pPr>
        <w:pStyle w:val="Akapitzlist"/>
        <w:ind w:left="567" w:hanging="425"/>
        <w:jc w:val="both"/>
        <w:rPr>
          <w:rFonts w:ascii="Times New Roman" w:hAnsi="Times New Roman"/>
          <w:sz w:val="2"/>
          <w:szCs w:val="2"/>
        </w:rPr>
      </w:pPr>
    </w:p>
    <w:p w14:paraId="51DB9EA5" w14:textId="77777777" w:rsidR="0068732E" w:rsidRPr="00504C11" w:rsidRDefault="0068732E" w:rsidP="00614607">
      <w:pPr>
        <w:pStyle w:val="Akapitzlist"/>
        <w:numPr>
          <w:ilvl w:val="0"/>
          <w:numId w:val="16"/>
        </w:numPr>
        <w:ind w:left="567" w:hanging="425"/>
        <w:contextualSpacing/>
        <w:jc w:val="both"/>
        <w:rPr>
          <w:rFonts w:ascii="Times New Roman" w:hAnsi="Times New Roman"/>
          <w:sz w:val="24"/>
          <w:szCs w:val="24"/>
        </w:rPr>
      </w:pPr>
      <w:r w:rsidRPr="00504C11">
        <w:rPr>
          <w:rFonts w:ascii="Times New Roman" w:hAnsi="Times New Roman"/>
          <w:sz w:val="24"/>
          <w:szCs w:val="24"/>
        </w:rPr>
        <w:t xml:space="preserve">właściwie oceniając fakt, że </w:t>
      </w:r>
      <w:r w:rsidRPr="00504C11">
        <w:rPr>
          <w:rFonts w:ascii="Times New Roman" w:hAnsi="Times New Roman"/>
          <w:sz w:val="24"/>
          <w:szCs w:val="24"/>
          <w:u w:val="single"/>
        </w:rPr>
        <w:t>w innych systemach prawnych wpisane były wcześniej</w:t>
      </w:r>
      <w:r w:rsidRPr="00504C11">
        <w:rPr>
          <w:rFonts w:ascii="Times New Roman" w:hAnsi="Times New Roman"/>
          <w:sz w:val="24"/>
          <w:szCs w:val="24"/>
        </w:rPr>
        <w:t xml:space="preserve"> i pozostają aktualnie nieustannie dostępne </w:t>
      </w:r>
      <w:r w:rsidRPr="00504C11">
        <w:rPr>
          <w:rFonts w:ascii="Times New Roman" w:hAnsi="Times New Roman"/>
          <w:sz w:val="24"/>
          <w:szCs w:val="24"/>
          <w:u w:val="single"/>
        </w:rPr>
        <w:t>rozwiązania generalne</w:t>
      </w:r>
      <w:r w:rsidRPr="00504C11">
        <w:rPr>
          <w:rFonts w:ascii="Times New Roman" w:hAnsi="Times New Roman"/>
          <w:sz w:val="24"/>
          <w:szCs w:val="24"/>
        </w:rPr>
        <w:t xml:space="preserve"> na wypadek sytuacji nadzwyczajnych</w:t>
      </w:r>
    </w:p>
    <w:bookmarkEnd w:id="53"/>
    <w:p w14:paraId="71620205" w14:textId="77777777" w:rsidR="0068732E" w:rsidRPr="00614607" w:rsidRDefault="0068732E" w:rsidP="0068732E">
      <w:pPr>
        <w:pStyle w:val="Akapitzlist"/>
        <w:ind w:left="0"/>
        <w:jc w:val="both"/>
        <w:rPr>
          <w:rFonts w:ascii="Times New Roman" w:hAnsi="Times New Roman"/>
          <w:sz w:val="6"/>
          <w:szCs w:val="6"/>
        </w:rPr>
      </w:pPr>
    </w:p>
    <w:p w14:paraId="57F4711A" w14:textId="6EAAEB78" w:rsidR="0068732E" w:rsidRPr="00504C11" w:rsidRDefault="0068732E" w:rsidP="0068732E">
      <w:pPr>
        <w:pStyle w:val="Akapitzlist"/>
        <w:ind w:left="0"/>
        <w:jc w:val="both"/>
        <w:rPr>
          <w:rFonts w:ascii="Times New Roman" w:hAnsi="Times New Roman"/>
          <w:sz w:val="24"/>
          <w:szCs w:val="24"/>
        </w:rPr>
      </w:pPr>
      <w:r w:rsidRPr="00504C11">
        <w:rPr>
          <w:rFonts w:ascii="Times New Roman" w:hAnsi="Times New Roman"/>
          <w:sz w:val="24"/>
          <w:szCs w:val="24"/>
        </w:rPr>
        <w:t>-</w:t>
      </w:r>
      <w:r w:rsidR="00614607">
        <w:rPr>
          <w:rFonts w:ascii="Times New Roman" w:hAnsi="Times New Roman"/>
          <w:sz w:val="24"/>
          <w:szCs w:val="24"/>
        </w:rPr>
        <w:t xml:space="preserve"> </w:t>
      </w:r>
      <w:r w:rsidRPr="00504C11">
        <w:rPr>
          <w:rFonts w:ascii="Times New Roman" w:hAnsi="Times New Roman"/>
          <w:sz w:val="24"/>
          <w:szCs w:val="24"/>
        </w:rPr>
        <w:t xml:space="preserve">składamy niniejszy WNIOSEK, stanowiący równocześnie LIST OTWARTY - prosząc o wprowadzenie do polskiego systemu prawnego znanych, prostych i sprawdzonych </w:t>
      </w:r>
      <w:r w:rsidRPr="00504C11">
        <w:rPr>
          <w:rFonts w:ascii="Times New Roman" w:hAnsi="Times New Roman"/>
          <w:sz w:val="24"/>
          <w:szCs w:val="24"/>
          <w:u w:val="single"/>
        </w:rPr>
        <w:t>unijnych rozwiązań prawnych</w:t>
      </w:r>
      <w:r w:rsidRPr="00504C11">
        <w:rPr>
          <w:rFonts w:ascii="Times New Roman" w:hAnsi="Times New Roman"/>
          <w:sz w:val="24"/>
          <w:szCs w:val="24"/>
        </w:rPr>
        <w:t>, dot. przedłużenie biegu terminów.</w:t>
      </w:r>
    </w:p>
    <w:p w14:paraId="57A3D2E0" w14:textId="77777777" w:rsidR="0068732E" w:rsidRPr="00504C11" w:rsidRDefault="0068732E" w:rsidP="0068732E">
      <w:pPr>
        <w:pStyle w:val="Akapitzlist"/>
        <w:ind w:left="0"/>
        <w:jc w:val="both"/>
        <w:rPr>
          <w:rFonts w:ascii="Times New Roman" w:hAnsi="Times New Roman"/>
          <w:sz w:val="24"/>
          <w:szCs w:val="24"/>
        </w:rPr>
      </w:pPr>
      <w:r w:rsidRPr="00504C11">
        <w:rPr>
          <w:rFonts w:ascii="Times New Roman" w:hAnsi="Times New Roman"/>
          <w:sz w:val="24"/>
          <w:szCs w:val="24"/>
        </w:rPr>
        <w:t>Proponowany przepis, tj.:</w:t>
      </w:r>
    </w:p>
    <w:p w14:paraId="52ED3D91" w14:textId="2E183C87" w:rsidR="0068732E" w:rsidRPr="00504C11" w:rsidRDefault="0068732E" w:rsidP="0068732E">
      <w:pPr>
        <w:pStyle w:val="Akapitzlist"/>
        <w:ind w:left="0"/>
        <w:jc w:val="both"/>
        <w:rPr>
          <w:rFonts w:ascii="Times New Roman" w:hAnsi="Times New Roman"/>
          <w:sz w:val="24"/>
          <w:szCs w:val="24"/>
        </w:rPr>
      </w:pPr>
      <w:r w:rsidRPr="00504C11">
        <w:rPr>
          <w:rFonts w:ascii="Times New Roman" w:hAnsi="Times New Roman"/>
          <w:sz w:val="24"/>
          <w:szCs w:val="24"/>
        </w:rPr>
        <w:t xml:space="preserve">nowo dodany ustęp w art. 57 Kodeksu postępowania administracyjnego, dalej nazywanego </w:t>
      </w:r>
      <w:r w:rsidRPr="00504C11">
        <w:rPr>
          <w:rFonts w:ascii="Times New Roman" w:hAnsi="Times New Roman"/>
          <w:i/>
          <w:iCs/>
          <w:sz w:val="24"/>
          <w:szCs w:val="24"/>
        </w:rPr>
        <w:t>„k.p.a.”</w:t>
      </w:r>
      <w:r w:rsidRPr="00504C11">
        <w:rPr>
          <w:rFonts w:ascii="Times New Roman" w:hAnsi="Times New Roman"/>
          <w:sz w:val="24"/>
          <w:szCs w:val="24"/>
        </w:rPr>
        <w:t xml:space="preserve"> oraz nowo dodany art. 1661 Kodeksu postępowania cywilnego, dalej nazywanego</w:t>
      </w:r>
      <w:r w:rsidRPr="00504C11">
        <w:rPr>
          <w:rFonts w:ascii="Times New Roman" w:hAnsi="Times New Roman"/>
          <w:i/>
          <w:iCs/>
          <w:sz w:val="24"/>
          <w:szCs w:val="24"/>
        </w:rPr>
        <w:t xml:space="preserve"> „k.p.c.”, </w:t>
      </w:r>
      <w:r w:rsidRPr="00504C11">
        <w:rPr>
          <w:rFonts w:ascii="Times New Roman" w:hAnsi="Times New Roman"/>
          <w:sz w:val="24"/>
          <w:szCs w:val="24"/>
        </w:rPr>
        <w:t>a także nowo dodany art. 841 ustawy - Prawo o postępowaniu przed sądami administracyjnymi, dalej nazywanej „</w:t>
      </w:r>
      <w:r w:rsidRPr="00504C11">
        <w:rPr>
          <w:rFonts w:ascii="Times New Roman" w:hAnsi="Times New Roman"/>
          <w:i/>
          <w:iCs/>
          <w:sz w:val="24"/>
          <w:szCs w:val="24"/>
        </w:rPr>
        <w:t>p.p.s.a.”</w:t>
      </w:r>
      <w:r w:rsidRPr="00504C11">
        <w:rPr>
          <w:rFonts w:ascii="Times New Roman" w:hAnsi="Times New Roman"/>
          <w:sz w:val="24"/>
          <w:szCs w:val="24"/>
        </w:rPr>
        <w:t xml:space="preserve"> (</w:t>
      </w:r>
      <w:r w:rsidRPr="00504C11">
        <w:rPr>
          <w:rFonts w:ascii="Times New Roman" w:hAnsi="Times New Roman"/>
          <w:i/>
          <w:iCs/>
          <w:sz w:val="24"/>
          <w:szCs w:val="24"/>
        </w:rPr>
        <w:t>odpowiednie modyfikacje dot. obu ostatnich regulacji prawnych umieszczone zostały w nawiasach oraz wpisane pochylonym drukiem</w:t>
      </w:r>
      <w:r w:rsidRPr="00504C11">
        <w:rPr>
          <w:rFonts w:ascii="Times New Roman" w:hAnsi="Times New Roman"/>
          <w:sz w:val="24"/>
          <w:szCs w:val="24"/>
        </w:rPr>
        <w:t xml:space="preserve">) </w:t>
      </w:r>
    </w:p>
    <w:p w14:paraId="725FD2DE" w14:textId="77777777" w:rsidR="0068732E" w:rsidRDefault="0068732E" w:rsidP="0068732E">
      <w:pPr>
        <w:pStyle w:val="Akapitzlist"/>
        <w:ind w:left="0"/>
        <w:jc w:val="both"/>
        <w:rPr>
          <w:rFonts w:ascii="Times New Roman" w:hAnsi="Times New Roman"/>
          <w:sz w:val="24"/>
          <w:szCs w:val="24"/>
        </w:rPr>
      </w:pPr>
      <w:r w:rsidRPr="00504C11">
        <w:rPr>
          <w:rFonts w:ascii="Times New Roman" w:hAnsi="Times New Roman"/>
          <w:sz w:val="24"/>
          <w:szCs w:val="24"/>
        </w:rPr>
        <w:t>- winien brzmieć odpowiednio:</w:t>
      </w:r>
    </w:p>
    <w:p w14:paraId="1FE62043" w14:textId="77777777" w:rsidR="00614607" w:rsidRPr="00614607" w:rsidRDefault="00614607" w:rsidP="0068732E">
      <w:pPr>
        <w:pStyle w:val="Akapitzlist"/>
        <w:ind w:left="0"/>
        <w:jc w:val="both"/>
        <w:rPr>
          <w:rFonts w:ascii="Times New Roman" w:hAnsi="Times New Roman"/>
          <w:sz w:val="10"/>
          <w:szCs w:val="10"/>
        </w:rPr>
      </w:pPr>
    </w:p>
    <w:p w14:paraId="0FCAB06F" w14:textId="4479E6A8" w:rsidR="0068732E" w:rsidRPr="00504C11" w:rsidRDefault="0068732E" w:rsidP="0068732E">
      <w:pPr>
        <w:pStyle w:val="Akapitzlist"/>
        <w:ind w:left="567"/>
        <w:jc w:val="both"/>
        <w:rPr>
          <w:rFonts w:ascii="Times New Roman" w:hAnsi="Times New Roman"/>
          <w:b/>
          <w:bCs/>
          <w:i/>
          <w:sz w:val="24"/>
          <w:szCs w:val="24"/>
        </w:rPr>
      </w:pPr>
      <w:r w:rsidRPr="00504C11">
        <w:rPr>
          <w:rFonts w:ascii="Times New Roman" w:hAnsi="Times New Roman"/>
          <w:b/>
          <w:bCs/>
          <w:i/>
          <w:sz w:val="24"/>
          <w:szCs w:val="24"/>
        </w:rPr>
        <w:t xml:space="preserve">„Jeżeli nadzwyczajne zdarzenia, takie jak stan epidemii, stan zagrożenia epidemicznego, stan wyjątkowy, stan wojenny, stan klęski żywiołowej lub strajk spowodują przerwę lub zakłócenia w prawidłowej komunikacji między stronami postępowania a </w:t>
      </w:r>
      <w:r w:rsidRPr="00504C11">
        <w:rPr>
          <w:rFonts w:ascii="Times New Roman" w:hAnsi="Times New Roman"/>
          <w:b/>
          <w:bCs/>
          <w:i/>
          <w:sz w:val="24"/>
          <w:szCs w:val="24"/>
          <w:u w:val="single"/>
        </w:rPr>
        <w:t>organem</w:t>
      </w:r>
      <w:r w:rsidRPr="00504C11">
        <w:rPr>
          <w:rFonts w:ascii="Times New Roman" w:hAnsi="Times New Roman"/>
          <w:b/>
          <w:bCs/>
          <w:i/>
          <w:sz w:val="24"/>
          <w:szCs w:val="24"/>
        </w:rPr>
        <w:t xml:space="preserve"> (względnie: </w:t>
      </w:r>
      <w:r w:rsidRPr="00504C11">
        <w:rPr>
          <w:rFonts w:ascii="Times New Roman" w:hAnsi="Times New Roman"/>
          <w:b/>
          <w:bCs/>
          <w:i/>
          <w:iCs/>
          <w:sz w:val="24"/>
          <w:szCs w:val="24"/>
          <w:u w:val="single"/>
        </w:rPr>
        <w:t>sądem</w:t>
      </w:r>
      <w:r w:rsidRPr="00504C11">
        <w:rPr>
          <w:rFonts w:ascii="Times New Roman" w:hAnsi="Times New Roman"/>
          <w:b/>
          <w:bCs/>
          <w:i/>
          <w:sz w:val="24"/>
          <w:szCs w:val="24"/>
        </w:rPr>
        <w:t xml:space="preserve">) lub odwrotnie, </w:t>
      </w:r>
      <w:r w:rsidRPr="00504C11">
        <w:rPr>
          <w:rFonts w:ascii="Times New Roman" w:hAnsi="Times New Roman"/>
          <w:b/>
          <w:bCs/>
          <w:i/>
          <w:sz w:val="24"/>
          <w:szCs w:val="24"/>
          <w:u w:val="single"/>
        </w:rPr>
        <w:t>właściwy minister</w:t>
      </w:r>
      <w:r w:rsidRPr="00504C11">
        <w:rPr>
          <w:rFonts w:ascii="Times New Roman" w:hAnsi="Times New Roman"/>
          <w:b/>
          <w:bCs/>
          <w:i/>
          <w:sz w:val="24"/>
          <w:szCs w:val="24"/>
        </w:rPr>
        <w:t xml:space="preserve"> (względnie: </w:t>
      </w:r>
      <w:r w:rsidRPr="00504C11">
        <w:rPr>
          <w:rFonts w:ascii="Times New Roman" w:hAnsi="Times New Roman"/>
          <w:b/>
          <w:bCs/>
          <w:i/>
          <w:iCs/>
          <w:sz w:val="24"/>
          <w:szCs w:val="24"/>
          <w:u w:val="single"/>
        </w:rPr>
        <w:t>Minister Sprawiedliwości</w:t>
      </w:r>
      <w:r w:rsidRPr="00504C11">
        <w:rPr>
          <w:rFonts w:ascii="Times New Roman" w:hAnsi="Times New Roman"/>
          <w:b/>
          <w:bCs/>
          <w:i/>
          <w:sz w:val="24"/>
          <w:szCs w:val="24"/>
        </w:rPr>
        <w:t xml:space="preserve">) może ustalić, w drodze rozporządzenia, że wszystkie terminy, które w </w:t>
      </w:r>
      <w:r w:rsidRPr="00504C11">
        <w:rPr>
          <w:rFonts w:ascii="Times New Roman" w:hAnsi="Times New Roman"/>
          <w:b/>
          <w:bCs/>
          <w:i/>
          <w:sz w:val="24"/>
          <w:szCs w:val="24"/>
        </w:rPr>
        <w:lastRenderedPageBreak/>
        <w:t>normalnych okolicznościach upłynęłyby w dniu lub po dniu zaistnienia takiego zdarzenia zostają przedłużone do dnia wyznaczonego w rozporządzeniu.”</w:t>
      </w:r>
    </w:p>
    <w:p w14:paraId="6DDF38D6" w14:textId="77777777" w:rsidR="0068732E" w:rsidRPr="00614607" w:rsidRDefault="0068732E" w:rsidP="0068732E">
      <w:pPr>
        <w:pStyle w:val="Akapitzlist"/>
        <w:ind w:left="567"/>
        <w:jc w:val="both"/>
        <w:rPr>
          <w:rFonts w:ascii="Times New Roman" w:hAnsi="Times New Roman"/>
          <w:b/>
          <w:bCs/>
          <w:sz w:val="10"/>
          <w:szCs w:val="10"/>
        </w:rPr>
      </w:pPr>
    </w:p>
    <w:p w14:paraId="27945185" w14:textId="26C0889C" w:rsidR="0068732E" w:rsidRPr="00504C11" w:rsidRDefault="0068732E" w:rsidP="0068732E">
      <w:pPr>
        <w:pStyle w:val="Akapitzlist"/>
        <w:ind w:left="0" w:firstLine="567"/>
        <w:jc w:val="both"/>
        <w:rPr>
          <w:rFonts w:ascii="Times New Roman" w:hAnsi="Times New Roman"/>
          <w:sz w:val="24"/>
          <w:szCs w:val="24"/>
        </w:rPr>
      </w:pPr>
      <w:r w:rsidRPr="00504C11">
        <w:rPr>
          <w:rFonts w:ascii="Times New Roman" w:hAnsi="Times New Roman"/>
          <w:sz w:val="24"/>
          <w:szCs w:val="24"/>
        </w:rPr>
        <w:t xml:space="preserve">Wzorcem dla proponowanych regulacji jest art. 101 ust. 4 rozporządzenia Parlamentu Europejskiego i Rady (UE) 2017/1001 z dnia 14 czerwca 2017 r. w sprawie znaku towarowego Unii Europejskiej (Dz. Urz. UE z </w:t>
      </w:r>
      <w:proofErr w:type="gramStart"/>
      <w:r w:rsidRPr="00504C11">
        <w:rPr>
          <w:rFonts w:ascii="Times New Roman" w:hAnsi="Times New Roman"/>
          <w:sz w:val="24"/>
          <w:szCs w:val="24"/>
        </w:rPr>
        <w:t>16.6.2017</w:t>
      </w:r>
      <w:proofErr w:type="gramEnd"/>
      <w:r w:rsidRPr="00504C11">
        <w:rPr>
          <w:rFonts w:ascii="Times New Roman" w:hAnsi="Times New Roman"/>
          <w:sz w:val="24"/>
          <w:szCs w:val="24"/>
        </w:rPr>
        <w:t xml:space="preserve"> r. L 154).</w:t>
      </w:r>
    </w:p>
    <w:p w14:paraId="000824D3" w14:textId="24D20BAE" w:rsidR="0068732E" w:rsidRPr="00614607" w:rsidRDefault="0068732E" w:rsidP="0068732E">
      <w:pPr>
        <w:pStyle w:val="Akapitzlist"/>
        <w:ind w:left="0" w:firstLine="567"/>
        <w:jc w:val="both"/>
        <w:rPr>
          <w:rFonts w:ascii="Times New Roman" w:hAnsi="Times New Roman"/>
          <w:sz w:val="10"/>
          <w:szCs w:val="10"/>
        </w:rPr>
      </w:pPr>
    </w:p>
    <w:p w14:paraId="53796D65" w14:textId="2A3A1023" w:rsidR="0068732E" w:rsidRPr="00504C11" w:rsidRDefault="0068732E" w:rsidP="0068732E">
      <w:pPr>
        <w:pStyle w:val="Akapitzlist"/>
        <w:ind w:left="0" w:firstLine="567"/>
        <w:jc w:val="center"/>
        <w:rPr>
          <w:rFonts w:ascii="Times New Roman" w:hAnsi="Times New Roman"/>
          <w:i/>
          <w:iCs/>
          <w:sz w:val="24"/>
          <w:szCs w:val="24"/>
        </w:rPr>
      </w:pPr>
      <w:r w:rsidRPr="00504C11">
        <w:rPr>
          <w:rFonts w:ascii="Times New Roman" w:hAnsi="Times New Roman"/>
          <w:i/>
          <w:iCs/>
          <w:sz w:val="24"/>
          <w:szCs w:val="24"/>
        </w:rPr>
        <w:t>„Artykuł 101 Terminy (...)</w:t>
      </w:r>
    </w:p>
    <w:p w14:paraId="7466A51D" w14:textId="3F77E671" w:rsidR="0068732E" w:rsidRPr="00504C11" w:rsidRDefault="0068732E" w:rsidP="0068732E">
      <w:pPr>
        <w:pStyle w:val="Akapitzlist"/>
        <w:ind w:left="567"/>
        <w:jc w:val="both"/>
        <w:rPr>
          <w:rFonts w:ascii="Times New Roman" w:hAnsi="Times New Roman"/>
          <w:i/>
          <w:iCs/>
          <w:sz w:val="24"/>
          <w:szCs w:val="24"/>
        </w:rPr>
      </w:pPr>
      <w:r w:rsidRPr="00504C11">
        <w:rPr>
          <w:rFonts w:ascii="Times New Roman" w:hAnsi="Times New Roman"/>
          <w:i/>
          <w:iCs/>
          <w:sz w:val="24"/>
          <w:szCs w:val="24"/>
        </w:rPr>
        <w:t>4. Jeżeli nadzwyczajne zdarzenia, takie jak klęska żywiołowa lub strajk, spowodują przerwę lub zakłócenia w prawidłowej komunikacji między stronami postępowania a Urzędem lub odwrotnie, dyrektor wykonawczy może ustalić, że w przypadku stron postępowania, które mają swoje miejsce zamieszkania lub swoją siedzibę statutową w tym państwie członkowskim lub które wyznaczyły pełnomocników mających swoje miejsce prowadzenia działalności w tym państwie członkowskim, wszystkie terminy, które w normalnych okolicznościach upłynęłyby w dniu lub po dniu zaistnienia takiego zdarzenia, które zostało stwierdzone przez dyrektora wykonawczego, zostają przedłużone do dnia wyznaczonego przez dyrektora wykonawczego. Wyznaczając ten dzień, dyrektor wykonawczy ocenia, kiedy nadzwyczajne zdarzenia ustaną. Jeżeli zdarzenie dotyczy siedziby Urzędu, dyrektor wykonawczy wyraźnie wskazuje, że przedłużenie terminu dotyczy wszystkich stron postępowania. (...) "</w:t>
      </w:r>
    </w:p>
    <w:p w14:paraId="311F035B" w14:textId="77777777" w:rsidR="00614607" w:rsidRPr="00614607" w:rsidRDefault="00614607" w:rsidP="0068732E">
      <w:pPr>
        <w:pStyle w:val="Akapitzlist"/>
        <w:ind w:left="0" w:firstLine="567"/>
        <w:jc w:val="both"/>
        <w:rPr>
          <w:rFonts w:ascii="Times New Roman" w:hAnsi="Times New Roman"/>
          <w:sz w:val="6"/>
          <w:szCs w:val="6"/>
        </w:rPr>
      </w:pPr>
    </w:p>
    <w:p w14:paraId="4A7E8E60" w14:textId="39BDE9F3" w:rsidR="0068732E" w:rsidRDefault="0068732E" w:rsidP="0068732E">
      <w:pPr>
        <w:pStyle w:val="Akapitzlist"/>
        <w:ind w:left="0" w:firstLine="567"/>
        <w:jc w:val="both"/>
        <w:rPr>
          <w:rFonts w:ascii="Times New Roman" w:hAnsi="Times New Roman"/>
          <w:sz w:val="24"/>
          <w:szCs w:val="24"/>
        </w:rPr>
      </w:pPr>
      <w:r w:rsidRPr="00504C11">
        <w:rPr>
          <w:rFonts w:ascii="Times New Roman" w:hAnsi="Times New Roman"/>
          <w:sz w:val="24"/>
          <w:szCs w:val="24"/>
        </w:rPr>
        <w:t>Zaproponowany wyżej zapis (powtarzający rozwiązanie znane w systemie prawa unijnego) - wystarczy by sprawnie właściwe służby uruchamiały procedury przedłużania terminów (odroczonego ich zakończenia) w sytuacjach, gdy jest to konieczne w toku wszelkich postępowań sądowych, sądowo-administracyjnych, administracyjnych, w tym przed organami administracji publicznej, w tym także przed Urzędem Patentowym Rzeczypospolitej Polskiej.</w:t>
      </w:r>
    </w:p>
    <w:p w14:paraId="2F832650" w14:textId="77777777" w:rsidR="00614607" w:rsidRPr="00586A31" w:rsidRDefault="00614607" w:rsidP="0068732E">
      <w:pPr>
        <w:pStyle w:val="Akapitzlist"/>
        <w:ind w:left="0" w:firstLine="567"/>
        <w:jc w:val="both"/>
        <w:rPr>
          <w:rFonts w:ascii="Times New Roman" w:hAnsi="Times New Roman"/>
          <w:sz w:val="14"/>
          <w:szCs w:val="14"/>
        </w:rPr>
      </w:pPr>
    </w:p>
    <w:p w14:paraId="5E2E1C62" w14:textId="0C9E6C16" w:rsidR="0068732E" w:rsidRPr="00504C11" w:rsidRDefault="0068732E" w:rsidP="0068732E">
      <w:pPr>
        <w:pStyle w:val="Akapitzlist"/>
        <w:ind w:left="0" w:firstLine="567"/>
        <w:jc w:val="both"/>
        <w:rPr>
          <w:rFonts w:ascii="Times New Roman" w:hAnsi="Times New Roman"/>
          <w:i/>
          <w:iCs/>
          <w:sz w:val="24"/>
          <w:szCs w:val="24"/>
        </w:rPr>
      </w:pPr>
      <w:r w:rsidRPr="00504C11">
        <w:rPr>
          <w:rFonts w:ascii="Times New Roman" w:hAnsi="Times New Roman"/>
          <w:i/>
          <w:iCs/>
          <w:sz w:val="24"/>
          <w:szCs w:val="24"/>
        </w:rPr>
        <w:t>Pozostajemy z poważaniem i prosimy o rozważenie możliwości usprawnieniu pracy wskazanych wyżej instytucji, a zwłaszcza Urzędu Patentowego Rzeczypospolitej Polskiej –</w:t>
      </w:r>
    </w:p>
    <w:p w14:paraId="16BFE762" w14:textId="19782B7E" w:rsidR="00614607" w:rsidRPr="00586A31" w:rsidRDefault="00614607" w:rsidP="00312AD3">
      <w:pPr>
        <w:jc w:val="both"/>
        <w:rPr>
          <w:i/>
          <w:iCs/>
          <w:sz w:val="14"/>
          <w:szCs w:val="14"/>
        </w:rPr>
      </w:pPr>
      <w:r w:rsidRPr="001E573D">
        <w:rPr>
          <w:i/>
          <w:iCs/>
          <w:noProof/>
          <w:sz w:val="26"/>
          <w:szCs w:val="26"/>
          <w:lang w:eastAsia="pl-PL"/>
        </w:rPr>
        <w:drawing>
          <wp:anchor distT="0" distB="0" distL="114300" distR="114300" simplePos="0" relativeHeight="252294144" behindDoc="0" locked="0" layoutInCell="1" allowOverlap="1" wp14:anchorId="35606915" wp14:editId="7C971A52">
            <wp:simplePos x="0" y="0"/>
            <wp:positionH relativeFrom="margin">
              <wp:posOffset>-135580</wp:posOffset>
            </wp:positionH>
            <wp:positionV relativeFrom="paragraph">
              <wp:posOffset>170815</wp:posOffset>
            </wp:positionV>
            <wp:extent cx="6399956" cy="4262710"/>
            <wp:effectExtent l="0" t="0" r="1270" b="5080"/>
            <wp:wrapNone/>
            <wp:docPr id="1848271546" name="Obraz 184827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99956" cy="4262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E5EEB" w14:textId="6677B718" w:rsidR="00614607" w:rsidRPr="001E573D" w:rsidRDefault="00614607" w:rsidP="00312AD3">
      <w:pPr>
        <w:jc w:val="both"/>
        <w:rPr>
          <w:i/>
          <w:iCs/>
          <w:sz w:val="26"/>
          <w:szCs w:val="26"/>
        </w:rPr>
      </w:pPr>
    </w:p>
    <w:p w14:paraId="51B1CE90" w14:textId="77777777" w:rsidR="00614607" w:rsidRPr="001E573D" w:rsidRDefault="00614607" w:rsidP="00312AD3">
      <w:pPr>
        <w:jc w:val="both"/>
        <w:rPr>
          <w:i/>
          <w:iCs/>
          <w:sz w:val="26"/>
          <w:szCs w:val="26"/>
        </w:rPr>
      </w:pPr>
    </w:p>
    <w:p w14:paraId="26F96800" w14:textId="77777777" w:rsidR="00614607" w:rsidRPr="001E573D" w:rsidRDefault="00614607" w:rsidP="00312AD3">
      <w:pPr>
        <w:jc w:val="both"/>
        <w:rPr>
          <w:i/>
          <w:iCs/>
          <w:sz w:val="26"/>
          <w:szCs w:val="26"/>
        </w:rPr>
      </w:pPr>
    </w:p>
    <w:p w14:paraId="284A0211" w14:textId="77777777" w:rsidR="00614607" w:rsidRPr="001E573D" w:rsidRDefault="00614607" w:rsidP="00312AD3">
      <w:pPr>
        <w:jc w:val="both"/>
        <w:rPr>
          <w:i/>
          <w:iCs/>
          <w:sz w:val="26"/>
          <w:szCs w:val="26"/>
        </w:rPr>
      </w:pPr>
    </w:p>
    <w:p w14:paraId="7A624203" w14:textId="77777777" w:rsidR="00614607" w:rsidRPr="001E573D" w:rsidRDefault="00614607" w:rsidP="00312AD3">
      <w:pPr>
        <w:jc w:val="both"/>
        <w:rPr>
          <w:i/>
          <w:iCs/>
          <w:sz w:val="26"/>
          <w:szCs w:val="26"/>
        </w:rPr>
      </w:pPr>
    </w:p>
    <w:p w14:paraId="4DEF87CA" w14:textId="77777777" w:rsidR="00614607" w:rsidRPr="001E573D" w:rsidRDefault="00614607" w:rsidP="00312AD3">
      <w:pPr>
        <w:jc w:val="both"/>
        <w:rPr>
          <w:i/>
          <w:iCs/>
          <w:sz w:val="26"/>
          <w:szCs w:val="26"/>
        </w:rPr>
      </w:pPr>
    </w:p>
    <w:p w14:paraId="20664645" w14:textId="77777777" w:rsidR="00614607" w:rsidRDefault="00614607" w:rsidP="00312AD3">
      <w:pPr>
        <w:jc w:val="both"/>
        <w:rPr>
          <w:i/>
          <w:iCs/>
          <w:sz w:val="26"/>
          <w:szCs w:val="26"/>
        </w:rPr>
      </w:pPr>
    </w:p>
    <w:p w14:paraId="0D90B685" w14:textId="77777777" w:rsidR="00586A31" w:rsidRDefault="00586A31" w:rsidP="00312AD3">
      <w:pPr>
        <w:jc w:val="both"/>
        <w:rPr>
          <w:i/>
          <w:iCs/>
          <w:sz w:val="26"/>
          <w:szCs w:val="26"/>
        </w:rPr>
      </w:pPr>
    </w:p>
    <w:p w14:paraId="18669833" w14:textId="77777777" w:rsidR="00586A31" w:rsidRPr="001E573D" w:rsidRDefault="00586A31" w:rsidP="00312AD3">
      <w:pPr>
        <w:jc w:val="both"/>
        <w:rPr>
          <w:i/>
          <w:iCs/>
          <w:sz w:val="26"/>
          <w:szCs w:val="26"/>
        </w:rPr>
      </w:pPr>
    </w:p>
    <w:p w14:paraId="0D165A38" w14:textId="77777777" w:rsidR="00614607" w:rsidRPr="001E573D" w:rsidRDefault="00614607" w:rsidP="00312AD3">
      <w:pPr>
        <w:jc w:val="both"/>
        <w:rPr>
          <w:i/>
          <w:iCs/>
          <w:sz w:val="26"/>
          <w:szCs w:val="26"/>
        </w:rPr>
      </w:pPr>
    </w:p>
    <w:p w14:paraId="2E4321B9" w14:textId="77777777" w:rsidR="00614607" w:rsidRPr="001E573D" w:rsidRDefault="00614607" w:rsidP="00312AD3">
      <w:pPr>
        <w:jc w:val="both"/>
        <w:rPr>
          <w:i/>
          <w:iCs/>
          <w:sz w:val="26"/>
          <w:szCs w:val="26"/>
        </w:rPr>
      </w:pPr>
    </w:p>
    <w:p w14:paraId="28617443" w14:textId="77777777" w:rsidR="00614607" w:rsidRPr="00586A31" w:rsidRDefault="00614607" w:rsidP="00312AD3">
      <w:pPr>
        <w:jc w:val="both"/>
        <w:rPr>
          <w:i/>
          <w:iCs/>
          <w:sz w:val="42"/>
          <w:szCs w:val="42"/>
        </w:rPr>
      </w:pPr>
    </w:p>
    <w:p w14:paraId="1BE8D984" w14:textId="20777D46" w:rsidR="00614607" w:rsidRPr="001E573D" w:rsidRDefault="00586A31" w:rsidP="00586A31">
      <w:pPr>
        <w:jc w:val="center"/>
        <w:rPr>
          <w:i/>
          <w:iCs/>
          <w:sz w:val="26"/>
          <w:szCs w:val="26"/>
        </w:rPr>
      </w:pPr>
      <w:r>
        <w:rPr>
          <w:i/>
          <w:iCs/>
          <w:sz w:val="26"/>
          <w:szCs w:val="26"/>
        </w:rPr>
        <w:lastRenderedPageBreak/>
        <w:t>* * *</w:t>
      </w:r>
    </w:p>
    <w:p w14:paraId="7DC55EFE" w14:textId="77777777" w:rsidR="00086625" w:rsidRDefault="00086625" w:rsidP="001E573D">
      <w:pPr>
        <w:spacing w:after="0" w:line="240" w:lineRule="auto"/>
        <w:rPr>
          <w:b/>
          <w:bCs/>
          <w:kern w:val="0"/>
          <w:sz w:val="24"/>
          <w:szCs w:val="24"/>
        </w:rPr>
      </w:pPr>
      <w:bookmarkStart w:id="57" w:name="_Hlk156461644"/>
      <w:bookmarkStart w:id="58" w:name="_Hlk169373442"/>
    </w:p>
    <w:p w14:paraId="7D04B11F" w14:textId="34FA34B9" w:rsidR="001E573D" w:rsidRPr="00FA6806" w:rsidRDefault="001E573D" w:rsidP="001E573D">
      <w:pPr>
        <w:spacing w:after="0" w:line="240" w:lineRule="auto"/>
        <w:rPr>
          <w:sz w:val="24"/>
          <w:szCs w:val="24"/>
        </w:rPr>
      </w:pPr>
      <w:r>
        <w:rPr>
          <w:b/>
          <w:bCs/>
          <w:kern w:val="0"/>
          <w:sz w:val="24"/>
          <w:szCs w:val="24"/>
        </w:rPr>
        <w:t>P</w:t>
      </w:r>
      <w:r w:rsidRPr="00BB6DF4">
        <w:rPr>
          <w:b/>
          <w:bCs/>
          <w:kern w:val="0"/>
          <w:sz w:val="24"/>
          <w:szCs w:val="24"/>
        </w:rPr>
        <w:t>ojęcia kluczowe</w:t>
      </w:r>
      <w:r w:rsidRPr="00FA6806">
        <w:rPr>
          <w:sz w:val="24"/>
          <w:szCs w:val="24"/>
        </w:rPr>
        <w:t xml:space="preserve">: LIST OTWARTY, PRAWO WŁASNOŚCI PRZEMYSŁOWEJ, PROJEKT UD263, </w:t>
      </w:r>
    </w:p>
    <w:p w14:paraId="380BEC8C" w14:textId="77777777" w:rsidR="001E573D" w:rsidRPr="00C566AC" w:rsidRDefault="001E573D" w:rsidP="001E573D">
      <w:pPr>
        <w:spacing w:after="0" w:line="240" w:lineRule="auto"/>
        <w:rPr>
          <w:b/>
          <w:bCs/>
          <w:sz w:val="10"/>
          <w:szCs w:val="10"/>
        </w:rPr>
      </w:pPr>
    </w:p>
    <w:p w14:paraId="3C7E7B1F" w14:textId="77777777" w:rsidR="001E573D" w:rsidRPr="00C566AC" w:rsidRDefault="001E573D" w:rsidP="001E573D">
      <w:pPr>
        <w:spacing w:after="0" w:line="240" w:lineRule="auto"/>
        <w:rPr>
          <w:b/>
          <w:bCs/>
          <w:sz w:val="10"/>
          <w:szCs w:val="10"/>
        </w:rPr>
      </w:pPr>
      <w:r w:rsidRPr="00A65523">
        <w:rPr>
          <w:b/>
          <w:bCs/>
          <w:sz w:val="24"/>
          <w:szCs w:val="24"/>
        </w:rPr>
        <w:t xml:space="preserve">Data nadania: </w:t>
      </w:r>
      <w:r w:rsidRPr="00A65523">
        <w:rPr>
          <w:sz w:val="24"/>
          <w:szCs w:val="24"/>
        </w:rPr>
        <w:t>26-02-2024</w:t>
      </w:r>
      <w:r w:rsidRPr="00A65523">
        <w:rPr>
          <w:sz w:val="24"/>
          <w:szCs w:val="24"/>
        </w:rPr>
        <w:br/>
      </w:r>
    </w:p>
    <w:p w14:paraId="6B3A12BC" w14:textId="5FD57CE9" w:rsidR="001E573D" w:rsidRPr="00586A31" w:rsidRDefault="001E573D" w:rsidP="00586A31">
      <w:pPr>
        <w:spacing w:after="0" w:line="240" w:lineRule="auto"/>
        <w:rPr>
          <w:color w:val="2E74B5" w:themeColor="accent5" w:themeShade="BF"/>
          <w:sz w:val="10"/>
          <w:szCs w:val="10"/>
        </w:rPr>
      </w:pPr>
      <w:r w:rsidRPr="00A65523">
        <w:rPr>
          <w:b/>
          <w:bCs/>
          <w:sz w:val="24"/>
          <w:szCs w:val="24"/>
        </w:rPr>
        <w:t>Miejsce publikacji:</w:t>
      </w:r>
      <w:r w:rsidRPr="00A65523">
        <w:rPr>
          <w:sz w:val="24"/>
          <w:szCs w:val="24"/>
        </w:rPr>
        <w:t xml:space="preserve"> </w:t>
      </w:r>
      <w:hyperlink r:id="rId78" w:history="1">
        <w:r w:rsidRPr="008A4D52">
          <w:rPr>
            <w:rStyle w:val="Hipercze"/>
            <w:color w:val="2E74B5" w:themeColor="accent5" w:themeShade="BF"/>
            <w:sz w:val="24"/>
            <w:szCs w:val="24"/>
          </w:rPr>
          <w:t>https://stowi.pl/list-otwarty-pytanie-czy-up-rp-nie-angazuje-sie-juz-mocno-w-forsowanie-slabego-projektu-ud-263/</w:t>
        </w:r>
      </w:hyperlink>
      <w:r w:rsidRPr="008A4D52">
        <w:rPr>
          <w:color w:val="2E74B5" w:themeColor="accent5" w:themeShade="BF"/>
          <w:sz w:val="24"/>
          <w:szCs w:val="24"/>
        </w:rPr>
        <w:t xml:space="preserve">   </w:t>
      </w:r>
      <w:r w:rsidRPr="008A4D52">
        <w:rPr>
          <w:color w:val="2E74B5" w:themeColor="accent5" w:themeShade="BF"/>
          <w:sz w:val="24"/>
          <w:szCs w:val="24"/>
        </w:rPr>
        <w:br/>
      </w:r>
    </w:p>
    <w:p w14:paraId="26647F16" w14:textId="48E77E98" w:rsidR="0042124F" w:rsidRDefault="00CF68CE" w:rsidP="005C745D">
      <w:pPr>
        <w:spacing w:after="0" w:line="240" w:lineRule="auto"/>
        <w:jc w:val="both"/>
        <w:rPr>
          <w:b/>
          <w:bCs/>
          <w:sz w:val="24"/>
          <w:szCs w:val="24"/>
        </w:rPr>
      </w:pPr>
      <w:r w:rsidRPr="00CF68CE">
        <w:rPr>
          <w:b/>
          <w:bCs/>
          <w:sz w:val="24"/>
          <w:szCs w:val="24"/>
        </w:rPr>
        <w:t xml:space="preserve">Uwaga Redakcji: </w:t>
      </w:r>
    </w:p>
    <w:p w14:paraId="2123D296" w14:textId="5990E315" w:rsidR="005C745D" w:rsidRDefault="005C745D" w:rsidP="005C745D">
      <w:pPr>
        <w:spacing w:after="0" w:line="240" w:lineRule="auto"/>
        <w:jc w:val="both"/>
        <w:rPr>
          <w:sz w:val="24"/>
          <w:szCs w:val="24"/>
        </w:rPr>
      </w:pPr>
      <w:r w:rsidRPr="00D15CE8">
        <w:rPr>
          <w:sz w:val="24"/>
          <w:szCs w:val="24"/>
        </w:rPr>
        <w:t xml:space="preserve">LIST OTWARTY </w:t>
      </w:r>
      <w:r w:rsidR="00961623" w:rsidRPr="006960BF">
        <w:rPr>
          <w:b/>
          <w:bCs/>
          <w:sz w:val="24"/>
          <w:szCs w:val="24"/>
        </w:rPr>
        <w:t>z 2021</w:t>
      </w:r>
      <w:r w:rsidR="00961623">
        <w:rPr>
          <w:sz w:val="24"/>
          <w:szCs w:val="24"/>
        </w:rPr>
        <w:t xml:space="preserve"> r. </w:t>
      </w:r>
      <w:r w:rsidR="00961623" w:rsidRPr="006960BF">
        <w:rPr>
          <w:b/>
          <w:bCs/>
          <w:sz w:val="24"/>
          <w:szCs w:val="24"/>
        </w:rPr>
        <w:t>w sprawie wprowadzenia do polskiego systemu prawnego</w:t>
      </w:r>
      <w:r w:rsidR="00961623">
        <w:rPr>
          <w:sz w:val="24"/>
          <w:szCs w:val="24"/>
        </w:rPr>
        <w:t xml:space="preserve"> znakomitych, prostych i </w:t>
      </w:r>
      <w:r w:rsidR="00961623" w:rsidRPr="006960BF">
        <w:rPr>
          <w:b/>
          <w:bCs/>
          <w:sz w:val="24"/>
          <w:szCs w:val="24"/>
        </w:rPr>
        <w:t>sprawiedliwych rozwiązań unijnych</w:t>
      </w:r>
      <w:r w:rsidR="00961623">
        <w:rPr>
          <w:sz w:val="24"/>
          <w:szCs w:val="24"/>
        </w:rPr>
        <w:t xml:space="preserve"> </w:t>
      </w:r>
      <w:r>
        <w:rPr>
          <w:sz w:val="24"/>
          <w:szCs w:val="24"/>
        </w:rPr>
        <w:t>-</w:t>
      </w:r>
      <w:r w:rsidRPr="00D15CE8">
        <w:rPr>
          <w:sz w:val="24"/>
          <w:szCs w:val="24"/>
        </w:rPr>
        <w:t xml:space="preserve"> </w:t>
      </w:r>
      <w:bookmarkEnd w:id="57"/>
      <w:r>
        <w:rPr>
          <w:sz w:val="24"/>
          <w:szCs w:val="24"/>
        </w:rPr>
        <w:t>czeka na realizację</w:t>
      </w:r>
      <w:r w:rsidRPr="00D15CE8">
        <w:rPr>
          <w:sz w:val="24"/>
          <w:szCs w:val="24"/>
        </w:rPr>
        <w:t>.</w:t>
      </w:r>
    </w:p>
    <w:p w14:paraId="6B55BA84" w14:textId="77777777" w:rsidR="0042124F" w:rsidRPr="00EA4494" w:rsidRDefault="0042124F" w:rsidP="00614607">
      <w:pPr>
        <w:spacing w:after="0" w:line="240" w:lineRule="auto"/>
        <w:jc w:val="both"/>
        <w:rPr>
          <w:b/>
          <w:bCs/>
          <w:kern w:val="0"/>
          <w:sz w:val="10"/>
          <w:szCs w:val="10"/>
        </w:rPr>
      </w:pPr>
    </w:p>
    <w:p w14:paraId="27887C4A" w14:textId="722F3F3A" w:rsidR="00437A77" w:rsidRPr="0017071E" w:rsidRDefault="00CF68CE" w:rsidP="00614607">
      <w:pPr>
        <w:spacing w:after="0" w:line="240" w:lineRule="auto"/>
        <w:jc w:val="both"/>
        <w:rPr>
          <w:b/>
          <w:bCs/>
          <w:color w:val="2E74B5" w:themeColor="accent5" w:themeShade="BF"/>
          <w:kern w:val="0"/>
          <w:sz w:val="24"/>
          <w:szCs w:val="24"/>
          <w:lang w:val="en-US"/>
        </w:rPr>
      </w:pPr>
      <w:r w:rsidRPr="0017071E">
        <w:rPr>
          <w:b/>
          <w:bCs/>
          <w:color w:val="2E74B5" w:themeColor="accent5" w:themeShade="BF"/>
          <w:kern w:val="0"/>
          <w:sz w:val="24"/>
          <w:szCs w:val="24"/>
          <w:lang w:val="en-US"/>
        </w:rPr>
        <w:t xml:space="preserve">Editor's </w:t>
      </w:r>
      <w:r w:rsidR="00AB2639" w:rsidRPr="0017071E">
        <w:rPr>
          <w:b/>
          <w:bCs/>
          <w:color w:val="2E74B5" w:themeColor="accent5" w:themeShade="BF"/>
          <w:kern w:val="0"/>
          <w:sz w:val="24"/>
          <w:szCs w:val="24"/>
          <w:lang w:val="en-US"/>
        </w:rPr>
        <w:t>N</w:t>
      </w:r>
      <w:r w:rsidRPr="0017071E">
        <w:rPr>
          <w:b/>
          <w:bCs/>
          <w:color w:val="2E74B5" w:themeColor="accent5" w:themeShade="BF"/>
          <w:kern w:val="0"/>
          <w:sz w:val="24"/>
          <w:szCs w:val="24"/>
          <w:lang w:val="en-US"/>
        </w:rPr>
        <w:t xml:space="preserve">ote: </w:t>
      </w:r>
    </w:p>
    <w:p w14:paraId="411DA942" w14:textId="77777777" w:rsidR="00437A77" w:rsidRPr="0017071E" w:rsidRDefault="00437A77" w:rsidP="00614607">
      <w:pPr>
        <w:spacing w:after="0" w:line="240" w:lineRule="auto"/>
        <w:jc w:val="both"/>
        <w:rPr>
          <w:b/>
          <w:bCs/>
          <w:color w:val="2E74B5" w:themeColor="accent5" w:themeShade="BF"/>
          <w:kern w:val="0"/>
          <w:sz w:val="24"/>
          <w:szCs w:val="24"/>
          <w:lang w:val="en-US"/>
        </w:rPr>
      </w:pPr>
      <w:r w:rsidRPr="0017071E">
        <w:rPr>
          <w:color w:val="2E74B5" w:themeColor="accent5" w:themeShade="BF"/>
          <w:kern w:val="0"/>
          <w:sz w:val="24"/>
          <w:szCs w:val="24"/>
          <w:lang w:val="en-US"/>
        </w:rPr>
        <w:t>OPEN LETTER of</w:t>
      </w:r>
      <w:r w:rsidRPr="0017071E">
        <w:rPr>
          <w:b/>
          <w:bCs/>
          <w:color w:val="2E74B5" w:themeColor="accent5" w:themeShade="BF"/>
          <w:kern w:val="0"/>
          <w:sz w:val="24"/>
          <w:szCs w:val="24"/>
          <w:lang w:val="en-US"/>
        </w:rPr>
        <w:t xml:space="preserve"> 2021 on the introduction </w:t>
      </w:r>
      <w:r w:rsidRPr="0017071E">
        <w:rPr>
          <w:color w:val="2E74B5" w:themeColor="accent5" w:themeShade="BF"/>
          <w:kern w:val="0"/>
          <w:sz w:val="24"/>
          <w:szCs w:val="24"/>
          <w:lang w:val="en-US"/>
        </w:rPr>
        <w:t>of excellent, simple and</w:t>
      </w:r>
      <w:r w:rsidRPr="0017071E">
        <w:rPr>
          <w:b/>
          <w:bCs/>
          <w:color w:val="2E74B5" w:themeColor="accent5" w:themeShade="BF"/>
          <w:kern w:val="0"/>
          <w:sz w:val="24"/>
          <w:szCs w:val="24"/>
          <w:lang w:val="en-US"/>
        </w:rPr>
        <w:t xml:space="preserve"> fair EU solutions to the Polish </w:t>
      </w:r>
      <w:r w:rsidRPr="0017071E">
        <w:rPr>
          <w:color w:val="2E74B5" w:themeColor="accent5" w:themeShade="BF"/>
          <w:kern w:val="0"/>
          <w:sz w:val="24"/>
          <w:szCs w:val="24"/>
          <w:lang w:val="en-US"/>
        </w:rPr>
        <w:t>legal</w:t>
      </w:r>
      <w:r w:rsidRPr="0017071E">
        <w:rPr>
          <w:b/>
          <w:bCs/>
          <w:color w:val="2E74B5" w:themeColor="accent5" w:themeShade="BF"/>
          <w:kern w:val="0"/>
          <w:sz w:val="24"/>
          <w:szCs w:val="24"/>
          <w:lang w:val="en-US"/>
        </w:rPr>
        <w:t xml:space="preserve"> system - is waiting for implementation.</w:t>
      </w:r>
    </w:p>
    <w:bookmarkEnd w:id="58"/>
    <w:p w14:paraId="29440E2D" w14:textId="77777777" w:rsidR="0042124F" w:rsidRPr="00EA4494" w:rsidRDefault="0042124F" w:rsidP="00614607">
      <w:pPr>
        <w:spacing w:after="0" w:line="240" w:lineRule="auto"/>
        <w:jc w:val="both"/>
        <w:rPr>
          <w:b/>
          <w:bCs/>
          <w:kern w:val="0"/>
          <w:sz w:val="10"/>
          <w:szCs w:val="10"/>
          <w:lang w:val="en-US"/>
        </w:rPr>
      </w:pPr>
    </w:p>
    <w:p w14:paraId="70D4D59D" w14:textId="77777777" w:rsidR="0042124F" w:rsidRDefault="00614607" w:rsidP="00614607">
      <w:pPr>
        <w:spacing w:after="0" w:line="240" w:lineRule="auto"/>
        <w:jc w:val="both"/>
        <w:rPr>
          <w:kern w:val="0"/>
          <w:sz w:val="24"/>
          <w:szCs w:val="24"/>
        </w:rPr>
      </w:pPr>
      <w:r w:rsidRPr="00437A77">
        <w:rPr>
          <w:b/>
          <w:bCs/>
          <w:kern w:val="0"/>
          <w:sz w:val="24"/>
          <w:szCs w:val="24"/>
        </w:rPr>
        <w:t>Pojęcia kluczowe</w:t>
      </w:r>
      <w:r w:rsidRPr="00437A77">
        <w:rPr>
          <w:kern w:val="0"/>
          <w:sz w:val="24"/>
          <w:szCs w:val="24"/>
        </w:rPr>
        <w:t xml:space="preserve">: </w:t>
      </w:r>
      <w:bookmarkStart w:id="59" w:name="_Hlk156461657"/>
    </w:p>
    <w:p w14:paraId="2D8FCE9E" w14:textId="32E0B036" w:rsidR="00614607" w:rsidRPr="00437A77" w:rsidRDefault="00614607" w:rsidP="00614607">
      <w:pPr>
        <w:spacing w:after="0" w:line="240" w:lineRule="auto"/>
        <w:jc w:val="both"/>
        <w:rPr>
          <w:sz w:val="24"/>
          <w:szCs w:val="24"/>
        </w:rPr>
      </w:pPr>
      <w:r w:rsidRPr="00437A77">
        <w:rPr>
          <w:sz w:val="24"/>
          <w:szCs w:val="24"/>
        </w:rPr>
        <w:t xml:space="preserve">LIST OTWARTY, WNIOSEK, PRZEDŁUŻANIE BIEGU TERMINÓW, </w:t>
      </w:r>
      <w:bookmarkEnd w:id="59"/>
      <w:r w:rsidRPr="00437A77">
        <w:rPr>
          <w:sz w:val="24"/>
          <w:szCs w:val="24"/>
        </w:rPr>
        <w:t>ROZPORZĄDZENIE PARLAMENTU EUROPEJSKIEGO I RADY (UE),</w:t>
      </w:r>
    </w:p>
    <w:p w14:paraId="2EB185EB" w14:textId="2399A6C3" w:rsidR="0042124F" w:rsidRPr="0042124F" w:rsidRDefault="0042124F" w:rsidP="00614607">
      <w:pPr>
        <w:spacing w:after="0" w:line="240" w:lineRule="auto"/>
        <w:rPr>
          <w:b/>
          <w:bCs/>
          <w:sz w:val="10"/>
          <w:szCs w:val="10"/>
        </w:rPr>
      </w:pPr>
    </w:p>
    <w:p w14:paraId="30A42B1D" w14:textId="77777777" w:rsidR="001B6816" w:rsidRDefault="00614607" w:rsidP="00614607">
      <w:pPr>
        <w:spacing w:after="0" w:line="240" w:lineRule="auto"/>
        <w:rPr>
          <w:b/>
          <w:bCs/>
          <w:sz w:val="24"/>
          <w:szCs w:val="24"/>
        </w:rPr>
      </w:pPr>
      <w:r w:rsidRPr="00D15CE8">
        <w:rPr>
          <w:b/>
          <w:bCs/>
          <w:sz w:val="24"/>
          <w:szCs w:val="24"/>
        </w:rPr>
        <w:t>Miejsce publikacji:</w:t>
      </w:r>
    </w:p>
    <w:p w14:paraId="00F646B0" w14:textId="2516CA8F" w:rsidR="00614607" w:rsidRPr="0017071E" w:rsidRDefault="00B82931" w:rsidP="00614607">
      <w:pPr>
        <w:spacing w:after="0" w:line="240" w:lineRule="auto"/>
        <w:rPr>
          <w:color w:val="2E74B5" w:themeColor="accent5" w:themeShade="BF"/>
          <w:sz w:val="24"/>
          <w:szCs w:val="24"/>
        </w:rPr>
      </w:pPr>
      <w:hyperlink r:id="rId79" w:history="1">
        <w:r w:rsidR="00614607" w:rsidRPr="0017071E">
          <w:rPr>
            <w:rStyle w:val="Hipercze"/>
            <w:color w:val="2E74B5" w:themeColor="accent5" w:themeShade="BF"/>
            <w:sz w:val="24"/>
            <w:szCs w:val="24"/>
          </w:rPr>
          <w:t>https://stowi.pl/list-otwarty-w-sprawie-wprowadzenia-do-polskiego-systemu-prawnego-sprawdzonych-unijnych-rozwiazan-dot-przedluzenia-biegu-terminow/</w:t>
        </w:r>
      </w:hyperlink>
      <w:r w:rsidR="00614607" w:rsidRPr="0017071E">
        <w:rPr>
          <w:color w:val="2E74B5" w:themeColor="accent5" w:themeShade="BF"/>
          <w:sz w:val="24"/>
          <w:szCs w:val="24"/>
        </w:rPr>
        <w:t xml:space="preserve">  </w:t>
      </w:r>
    </w:p>
    <w:bookmarkEnd w:id="55"/>
    <w:p w14:paraId="395075F4" w14:textId="77777777" w:rsidR="00614607" w:rsidRPr="008F3813" w:rsidRDefault="00614607" w:rsidP="00614607">
      <w:pPr>
        <w:pStyle w:val="Akapitzlist"/>
        <w:ind w:left="0"/>
        <w:jc w:val="both"/>
        <w:rPr>
          <w:sz w:val="24"/>
          <w:szCs w:val="24"/>
        </w:rPr>
      </w:pPr>
    </w:p>
    <w:p w14:paraId="371C09FC" w14:textId="77777777" w:rsidR="00614607" w:rsidRPr="008F3813" w:rsidRDefault="00614607" w:rsidP="00614607">
      <w:pPr>
        <w:pStyle w:val="Akapitzlist"/>
        <w:ind w:left="0"/>
        <w:jc w:val="both"/>
        <w:rPr>
          <w:sz w:val="24"/>
          <w:szCs w:val="24"/>
        </w:rPr>
      </w:pPr>
    </w:p>
    <w:p w14:paraId="3E680D8A" w14:textId="77777777" w:rsidR="00614607" w:rsidRPr="008F3813" w:rsidRDefault="00614607" w:rsidP="00614607">
      <w:pPr>
        <w:pStyle w:val="Akapitzlist"/>
        <w:ind w:left="0"/>
        <w:jc w:val="both"/>
        <w:rPr>
          <w:sz w:val="24"/>
          <w:szCs w:val="24"/>
        </w:rPr>
      </w:pPr>
    </w:p>
    <w:p w14:paraId="17A09D5E" w14:textId="77777777" w:rsidR="00614607" w:rsidRPr="008F3813" w:rsidRDefault="00614607" w:rsidP="00614607">
      <w:pPr>
        <w:pStyle w:val="Akapitzlist"/>
        <w:ind w:left="0"/>
        <w:jc w:val="both"/>
        <w:rPr>
          <w:sz w:val="24"/>
          <w:szCs w:val="24"/>
        </w:rPr>
      </w:pPr>
    </w:p>
    <w:p w14:paraId="6B6B067B" w14:textId="77777777" w:rsidR="00614607" w:rsidRPr="008F3813" w:rsidRDefault="00614607" w:rsidP="00614607">
      <w:pPr>
        <w:pStyle w:val="Akapitzlist"/>
        <w:ind w:left="0"/>
        <w:jc w:val="both"/>
        <w:rPr>
          <w:sz w:val="24"/>
          <w:szCs w:val="24"/>
        </w:rPr>
      </w:pPr>
    </w:p>
    <w:p w14:paraId="788B5869" w14:textId="77777777" w:rsidR="00614607" w:rsidRPr="008F3813" w:rsidRDefault="00614607" w:rsidP="00614607">
      <w:pPr>
        <w:pStyle w:val="Akapitzlist"/>
        <w:ind w:left="0"/>
        <w:jc w:val="both"/>
        <w:rPr>
          <w:sz w:val="24"/>
          <w:szCs w:val="24"/>
        </w:rPr>
      </w:pPr>
    </w:p>
    <w:p w14:paraId="3B64D38D" w14:textId="77777777" w:rsidR="00614607" w:rsidRPr="008F3813" w:rsidRDefault="00614607" w:rsidP="00614607">
      <w:pPr>
        <w:pStyle w:val="Akapitzlist"/>
        <w:ind w:left="0"/>
        <w:jc w:val="both"/>
        <w:rPr>
          <w:sz w:val="24"/>
          <w:szCs w:val="24"/>
        </w:rPr>
      </w:pPr>
    </w:p>
    <w:p w14:paraId="18867F44" w14:textId="77777777" w:rsidR="00614607" w:rsidRPr="008F3813" w:rsidRDefault="00614607" w:rsidP="00614607">
      <w:pPr>
        <w:pStyle w:val="Akapitzlist"/>
        <w:ind w:left="0"/>
        <w:jc w:val="both"/>
        <w:rPr>
          <w:sz w:val="24"/>
          <w:szCs w:val="24"/>
        </w:rPr>
      </w:pPr>
    </w:p>
    <w:p w14:paraId="6A3F9312" w14:textId="77777777" w:rsidR="00614607" w:rsidRPr="008F3813" w:rsidRDefault="00614607" w:rsidP="00614607">
      <w:pPr>
        <w:pStyle w:val="Akapitzlist"/>
        <w:ind w:left="0"/>
        <w:jc w:val="both"/>
        <w:rPr>
          <w:sz w:val="24"/>
          <w:szCs w:val="24"/>
        </w:rPr>
      </w:pPr>
    </w:p>
    <w:p w14:paraId="287A3E33" w14:textId="77777777" w:rsidR="00614607" w:rsidRPr="008F3813" w:rsidRDefault="00614607" w:rsidP="00614607">
      <w:pPr>
        <w:pStyle w:val="Akapitzlist"/>
        <w:ind w:left="0"/>
        <w:jc w:val="both"/>
        <w:rPr>
          <w:sz w:val="24"/>
          <w:szCs w:val="24"/>
        </w:rPr>
      </w:pPr>
    </w:p>
    <w:p w14:paraId="6AD3BE03" w14:textId="77777777" w:rsidR="00614607" w:rsidRPr="008F3813" w:rsidRDefault="00614607" w:rsidP="00614607">
      <w:pPr>
        <w:pStyle w:val="Akapitzlist"/>
        <w:ind w:left="0"/>
        <w:jc w:val="both"/>
        <w:rPr>
          <w:sz w:val="24"/>
          <w:szCs w:val="24"/>
        </w:rPr>
      </w:pPr>
    </w:p>
    <w:p w14:paraId="4F3693E8" w14:textId="77777777" w:rsidR="00614607" w:rsidRPr="008F3813" w:rsidRDefault="00614607" w:rsidP="00614607">
      <w:pPr>
        <w:pStyle w:val="Akapitzlist"/>
        <w:ind w:left="0"/>
        <w:jc w:val="both"/>
        <w:rPr>
          <w:sz w:val="24"/>
          <w:szCs w:val="24"/>
        </w:rPr>
      </w:pPr>
    </w:p>
    <w:p w14:paraId="5FF36CFB" w14:textId="77777777" w:rsidR="00614607" w:rsidRPr="008F3813" w:rsidRDefault="00614607" w:rsidP="00614607">
      <w:pPr>
        <w:pStyle w:val="Akapitzlist"/>
        <w:ind w:left="0"/>
        <w:jc w:val="both"/>
        <w:rPr>
          <w:sz w:val="24"/>
          <w:szCs w:val="24"/>
        </w:rPr>
      </w:pPr>
    </w:p>
    <w:p w14:paraId="52963058" w14:textId="77777777" w:rsidR="00614607" w:rsidRPr="008F3813" w:rsidRDefault="00614607" w:rsidP="00614607">
      <w:pPr>
        <w:pStyle w:val="Akapitzlist"/>
        <w:ind w:left="0"/>
        <w:jc w:val="both"/>
        <w:rPr>
          <w:sz w:val="24"/>
          <w:szCs w:val="24"/>
        </w:rPr>
      </w:pPr>
    </w:p>
    <w:p w14:paraId="276237AC" w14:textId="77777777" w:rsidR="00614607" w:rsidRPr="008F3813" w:rsidRDefault="00614607" w:rsidP="00614607">
      <w:pPr>
        <w:pStyle w:val="Akapitzlist"/>
        <w:ind w:left="0"/>
        <w:jc w:val="both"/>
        <w:rPr>
          <w:sz w:val="24"/>
          <w:szCs w:val="24"/>
        </w:rPr>
      </w:pPr>
    </w:p>
    <w:p w14:paraId="13C4BCEA" w14:textId="77777777" w:rsidR="00614607" w:rsidRPr="008F3813" w:rsidRDefault="00614607" w:rsidP="00614607">
      <w:pPr>
        <w:pStyle w:val="Akapitzlist"/>
        <w:ind w:left="0"/>
        <w:jc w:val="both"/>
        <w:rPr>
          <w:sz w:val="24"/>
          <w:szCs w:val="24"/>
        </w:rPr>
      </w:pPr>
    </w:p>
    <w:p w14:paraId="0842167B" w14:textId="77777777" w:rsidR="00614607" w:rsidRPr="008F3813" w:rsidRDefault="00614607" w:rsidP="00614607">
      <w:pPr>
        <w:pStyle w:val="Akapitzlist"/>
        <w:ind w:left="0"/>
        <w:jc w:val="both"/>
        <w:rPr>
          <w:sz w:val="24"/>
          <w:szCs w:val="24"/>
        </w:rPr>
      </w:pPr>
    </w:p>
    <w:p w14:paraId="35714B38" w14:textId="77777777" w:rsidR="00614607" w:rsidRPr="008F3813" w:rsidRDefault="00614607" w:rsidP="00614607">
      <w:pPr>
        <w:pStyle w:val="Akapitzlist"/>
        <w:ind w:left="0"/>
        <w:jc w:val="both"/>
        <w:rPr>
          <w:sz w:val="24"/>
          <w:szCs w:val="24"/>
        </w:rPr>
      </w:pPr>
    </w:p>
    <w:p w14:paraId="4499A8F8" w14:textId="77777777" w:rsidR="00614607" w:rsidRPr="008F3813" w:rsidRDefault="00614607" w:rsidP="00614607">
      <w:pPr>
        <w:pStyle w:val="Akapitzlist"/>
        <w:ind w:left="0"/>
        <w:jc w:val="both"/>
        <w:rPr>
          <w:sz w:val="24"/>
          <w:szCs w:val="24"/>
        </w:rPr>
      </w:pPr>
    </w:p>
    <w:p w14:paraId="4303345A" w14:textId="77777777" w:rsidR="00614607" w:rsidRPr="008F3813" w:rsidRDefault="00614607" w:rsidP="00614607">
      <w:pPr>
        <w:pStyle w:val="Akapitzlist"/>
        <w:ind w:left="0"/>
        <w:jc w:val="both"/>
        <w:rPr>
          <w:sz w:val="24"/>
          <w:szCs w:val="24"/>
        </w:rPr>
      </w:pPr>
    </w:p>
    <w:p w14:paraId="4D828D2C" w14:textId="77777777" w:rsidR="00614607" w:rsidRPr="008F3813" w:rsidRDefault="00614607" w:rsidP="00614607">
      <w:pPr>
        <w:pStyle w:val="Akapitzlist"/>
        <w:ind w:left="0"/>
        <w:jc w:val="both"/>
        <w:rPr>
          <w:sz w:val="24"/>
          <w:szCs w:val="24"/>
        </w:rPr>
      </w:pPr>
    </w:p>
    <w:p w14:paraId="588B9A52" w14:textId="77777777" w:rsidR="00614607" w:rsidRPr="008F3813" w:rsidRDefault="00614607" w:rsidP="00614607">
      <w:pPr>
        <w:pStyle w:val="Akapitzlist"/>
        <w:ind w:left="0"/>
        <w:jc w:val="both"/>
        <w:rPr>
          <w:sz w:val="24"/>
          <w:szCs w:val="24"/>
        </w:rPr>
      </w:pPr>
    </w:p>
    <w:p w14:paraId="796D13F9" w14:textId="77777777" w:rsidR="00614607" w:rsidRPr="008F3813" w:rsidRDefault="00614607" w:rsidP="00614607">
      <w:pPr>
        <w:pStyle w:val="Akapitzlist"/>
        <w:ind w:left="0"/>
        <w:jc w:val="both"/>
        <w:rPr>
          <w:sz w:val="24"/>
          <w:szCs w:val="24"/>
        </w:rPr>
      </w:pPr>
    </w:p>
    <w:p w14:paraId="37DA6613" w14:textId="77777777" w:rsidR="00614607" w:rsidRPr="008F3813" w:rsidRDefault="00614607" w:rsidP="00614607">
      <w:pPr>
        <w:pStyle w:val="Akapitzlist"/>
        <w:ind w:left="0"/>
        <w:jc w:val="both"/>
        <w:rPr>
          <w:sz w:val="24"/>
          <w:szCs w:val="24"/>
        </w:rPr>
      </w:pPr>
    </w:p>
    <w:p w14:paraId="5B55804C" w14:textId="77777777" w:rsidR="00614607" w:rsidRPr="008F3813" w:rsidRDefault="00614607" w:rsidP="00614607">
      <w:pPr>
        <w:pStyle w:val="Akapitzlist"/>
        <w:ind w:left="0"/>
        <w:jc w:val="both"/>
        <w:rPr>
          <w:sz w:val="24"/>
          <w:szCs w:val="24"/>
        </w:rPr>
      </w:pPr>
    </w:p>
    <w:p w14:paraId="7120FB46" w14:textId="77777777" w:rsidR="00614607" w:rsidRPr="008F3813" w:rsidRDefault="00614607" w:rsidP="00614607">
      <w:pPr>
        <w:pStyle w:val="Akapitzlist"/>
        <w:ind w:left="0"/>
        <w:jc w:val="both"/>
        <w:rPr>
          <w:sz w:val="24"/>
          <w:szCs w:val="24"/>
        </w:rPr>
      </w:pPr>
    </w:p>
    <w:p w14:paraId="5B12308C" w14:textId="77777777" w:rsidR="00CF68CE" w:rsidRPr="008F3813" w:rsidRDefault="00CF68CE" w:rsidP="00614607">
      <w:pPr>
        <w:pStyle w:val="Akapitzlist"/>
        <w:ind w:left="0"/>
        <w:jc w:val="both"/>
        <w:rPr>
          <w:sz w:val="24"/>
          <w:szCs w:val="24"/>
        </w:rPr>
      </w:pPr>
    </w:p>
    <w:p w14:paraId="3E57A700" w14:textId="77777777" w:rsidR="00D44841" w:rsidRPr="00AF2FCE" w:rsidRDefault="00D44841" w:rsidP="00D44841">
      <w:pPr>
        <w:spacing w:after="0" w:line="240" w:lineRule="auto"/>
        <w:rPr>
          <w:b/>
          <w:bCs/>
          <w:kern w:val="0"/>
          <w:sz w:val="24"/>
          <w:szCs w:val="24"/>
        </w:rPr>
      </w:pPr>
      <w:r w:rsidRPr="00D44841">
        <w:rPr>
          <w:rStyle w:val="Nagwek2Znak"/>
          <w:sz w:val="14"/>
          <w:szCs w:val="14"/>
        </w:rPr>
        <w:br/>
      </w:r>
      <w:r w:rsidRPr="00586A31">
        <w:rPr>
          <w:rStyle w:val="Nagwek2Znak"/>
          <w:b w:val="0"/>
          <w:bCs w:val="0"/>
          <w:noProof/>
          <w:sz w:val="30"/>
          <w:szCs w:val="30"/>
          <w:lang w:eastAsia="pl-PL"/>
        </w:rPr>
        <mc:AlternateContent>
          <mc:Choice Requires="wps">
            <w:drawing>
              <wp:anchor distT="0" distB="0" distL="114300" distR="114300" simplePos="0" relativeHeight="252306432" behindDoc="0" locked="0" layoutInCell="1" allowOverlap="1" wp14:anchorId="0D897575" wp14:editId="6D6BC8F7">
                <wp:simplePos x="0" y="0"/>
                <wp:positionH relativeFrom="margin">
                  <wp:posOffset>-99105</wp:posOffset>
                </wp:positionH>
                <wp:positionV relativeFrom="paragraph">
                  <wp:posOffset>-380483</wp:posOffset>
                </wp:positionV>
                <wp:extent cx="701749" cy="372745"/>
                <wp:effectExtent l="0" t="0" r="3175" b="8255"/>
                <wp:wrapNone/>
                <wp:docPr id="2124156326" name="Pole tekstowe 1"/>
                <wp:cNvGraphicFramePr/>
                <a:graphic xmlns:a="http://schemas.openxmlformats.org/drawingml/2006/main">
                  <a:graphicData uri="http://schemas.microsoft.com/office/word/2010/wordprocessingShape">
                    <wps:wsp>
                      <wps:cNvSpPr txBox="1"/>
                      <wps:spPr>
                        <a:xfrm>
                          <a:off x="0" y="0"/>
                          <a:ext cx="701749" cy="372745"/>
                        </a:xfrm>
                        <a:prstGeom prst="rect">
                          <a:avLst/>
                        </a:prstGeom>
                        <a:solidFill>
                          <a:schemeClr val="lt1"/>
                        </a:solidFill>
                        <a:ln w="6350">
                          <a:noFill/>
                        </a:ln>
                      </wps:spPr>
                      <wps:txbx>
                        <w:txbxContent>
                          <w:p w14:paraId="14DCA7EB" w14:textId="7A67E1A9" w:rsidR="00D44841" w:rsidRPr="00FA4053" w:rsidRDefault="00D44841" w:rsidP="00D44841">
                            <w:pPr>
                              <w:pStyle w:val="NumeracjaRozdzial"/>
                            </w:pPr>
                            <w:r>
                              <w:t>6</w:t>
                            </w:r>
                            <w:r w:rsidRPr="00FA4053">
                              <w:t>.</w:t>
                            </w:r>
                          </w:p>
                          <w:p w14:paraId="70229612" w14:textId="77777777" w:rsidR="00D44841" w:rsidRDefault="00D44841" w:rsidP="00D44841">
                            <w:pPr>
                              <w:spacing w:after="14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97575" id="_x0000_s1034" type="#_x0000_t202" style="position:absolute;margin-left:-7.8pt;margin-top:-29.95pt;width:55.25pt;height:29.35pt;z-index:25230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" fillcolor="white [3201]" stroked="f" strokeweight=".5pt">
                <v:textbox>
                  <w:txbxContent>
                    <w:p w14:paraId="14DCA7EB" w14:textId="7A67E1A9" w:rsidR="00D44841" w:rsidRPr="00FA4053" w:rsidRDefault="00D44841" w:rsidP="00D44841">
                      <w:pPr>
                        <w:pStyle w:val="NumeracjaRozdzial"/>
                      </w:pPr>
                      <w:r>
                        <w:t>6</w:t>
                      </w:r>
                      <w:r w:rsidRPr="00FA4053">
                        <w:t>.</w:t>
                      </w:r>
                    </w:p>
                    <w:p w14:paraId="70229612" w14:textId="77777777" w:rsidR="00D44841" w:rsidRDefault="00D44841" w:rsidP="00D44841">
                      <w:pPr>
                        <w:spacing w:after="144"/>
                      </w:pPr>
                    </w:p>
                  </w:txbxContent>
                </v:textbox>
                <w10:wrap anchorx="margin"/>
              </v:shape>
            </w:pict>
          </mc:Fallback>
        </mc:AlternateContent>
      </w:r>
      <w:r w:rsidRPr="00586A31">
        <w:rPr>
          <w:rStyle w:val="Nagwek2Znak"/>
          <w:b w:val="0"/>
          <w:bCs w:val="0"/>
          <w:noProof/>
          <w:sz w:val="30"/>
          <w:szCs w:val="30"/>
          <w:lang w:eastAsia="pl-PL"/>
        </w:rPr>
        <w:drawing>
          <wp:anchor distT="0" distB="0" distL="114300" distR="114300" simplePos="0" relativeHeight="252307456" behindDoc="0" locked="0" layoutInCell="1" allowOverlap="1" wp14:anchorId="5B09A629" wp14:editId="1C386B9B">
            <wp:simplePos x="0" y="0"/>
            <wp:positionH relativeFrom="margin">
              <wp:align>left</wp:align>
            </wp:positionH>
            <wp:positionV relativeFrom="paragraph">
              <wp:posOffset>10897</wp:posOffset>
            </wp:positionV>
            <wp:extent cx="1980000" cy="1080000"/>
            <wp:effectExtent l="0" t="0" r="1270" b="6350"/>
            <wp:wrapThrough wrapText="bothSides">
              <wp:wrapPolygon edited="0">
                <wp:start x="0" y="0"/>
                <wp:lineTo x="0" y="21346"/>
                <wp:lineTo x="21406" y="21346"/>
                <wp:lineTo x="21406" y="0"/>
                <wp:lineTo x="0" y="0"/>
              </wp:wrapPolygon>
            </wp:wrapThrough>
            <wp:docPr id="7878685" name="Obraz 12" descr="Obraz zawierający tekst, papier, Produkty papierowe, lis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45161" name="Obraz 12" descr="Obraz zawierający tekst, papier, Produkty papierowe, list&#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A31">
        <w:rPr>
          <w:rStyle w:val="Nagwek2Znak"/>
          <w:sz w:val="30"/>
          <w:szCs w:val="30"/>
        </w:rPr>
        <w:t xml:space="preserve">                                                                                                                 </w:t>
      </w:r>
      <w:bookmarkStart w:id="60" w:name="_Toc170117976"/>
      <w:r w:rsidRPr="00246DC3">
        <w:rPr>
          <w:rStyle w:val="Nagwek2Znak"/>
        </w:rPr>
        <w:t>LIST OTWARTY - w sprawie podjęcia przez Urząd Patentowy RP działań życzliwych dla przedsiębiorców</w:t>
      </w:r>
      <w:bookmarkEnd w:id="60"/>
    </w:p>
    <w:p w14:paraId="43AE8164" w14:textId="77777777" w:rsidR="00D44841" w:rsidRPr="00EC4F25" w:rsidRDefault="00D44841" w:rsidP="00D44841">
      <w:pPr>
        <w:spacing w:after="0" w:line="240" w:lineRule="auto"/>
        <w:ind w:left="284" w:hanging="284"/>
        <w:jc w:val="center"/>
        <w:rPr>
          <w:b/>
          <w:bCs/>
          <w:sz w:val="26"/>
          <w:szCs w:val="26"/>
        </w:rPr>
      </w:pPr>
    </w:p>
    <w:p w14:paraId="18A6C3BB" w14:textId="05174E46" w:rsidR="00D44841" w:rsidRPr="00EC4F25" w:rsidRDefault="000420EF" w:rsidP="00D44841">
      <w:pPr>
        <w:spacing w:after="0" w:line="240" w:lineRule="auto"/>
        <w:ind w:left="284" w:hanging="284"/>
        <w:jc w:val="center"/>
        <w:rPr>
          <w:b/>
          <w:bCs/>
          <w:sz w:val="26"/>
          <w:szCs w:val="26"/>
        </w:rPr>
      </w:pPr>
      <w:r w:rsidRPr="000420EF">
        <w:rPr>
          <w:rFonts w:cstheme="minorHAnsi"/>
          <w:bCs/>
          <w:noProof/>
          <w:color w:val="000000"/>
        </w:rPr>
        <w:drawing>
          <wp:anchor distT="0" distB="0" distL="114300" distR="114300" simplePos="0" relativeHeight="252315648" behindDoc="0" locked="0" layoutInCell="1" allowOverlap="1" wp14:anchorId="1A9FFE85" wp14:editId="45804FCA">
            <wp:simplePos x="0" y="0"/>
            <wp:positionH relativeFrom="margin">
              <wp:posOffset>2893364</wp:posOffset>
            </wp:positionH>
            <wp:positionV relativeFrom="paragraph">
              <wp:posOffset>8192770</wp:posOffset>
            </wp:positionV>
            <wp:extent cx="409632" cy="152421"/>
            <wp:effectExtent l="0" t="0" r="9525" b="0"/>
            <wp:wrapNone/>
            <wp:docPr id="10218674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67493" name=""/>
                    <pic:cNvPicPr/>
                  </pic:nvPicPr>
                  <pic:blipFill>
                    <a:blip r:embed="rId74">
                      <a:extLst>
                        <a:ext uri="{28A0092B-C50C-407E-A947-70E740481C1C}">
                          <a14:useLocalDpi xmlns:a14="http://schemas.microsoft.com/office/drawing/2010/main" val="0"/>
                        </a:ext>
                      </a:extLst>
                    </a:blip>
                    <a:stretch>
                      <a:fillRect/>
                    </a:stretch>
                  </pic:blipFill>
                  <pic:spPr>
                    <a:xfrm>
                      <a:off x="0" y="0"/>
                      <a:ext cx="409632" cy="152421"/>
                    </a:xfrm>
                    <a:prstGeom prst="rect">
                      <a:avLst/>
                    </a:prstGeom>
                  </pic:spPr>
                </pic:pic>
              </a:graphicData>
            </a:graphic>
          </wp:anchor>
        </w:drawing>
      </w:r>
    </w:p>
    <w:tbl>
      <w:tblPr>
        <w:tblStyle w:val="Tabela-Siatka"/>
        <w:tblW w:w="100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8"/>
        <w:gridCol w:w="8296"/>
        <w:gridCol w:w="486"/>
      </w:tblGrid>
      <w:tr w:rsidR="00D44841" w:rsidRPr="00983091" w14:paraId="0E3CCE6E" w14:textId="77777777" w:rsidTr="0042124F">
        <w:trPr>
          <w:gridAfter w:val="1"/>
          <w:wAfter w:w="486" w:type="dxa"/>
          <w:trHeight w:val="234"/>
        </w:trPr>
        <w:tc>
          <w:tcPr>
            <w:tcW w:w="1288" w:type="dxa"/>
          </w:tcPr>
          <w:p w14:paraId="50AF8DB6" w14:textId="77777777" w:rsidR="00D44841" w:rsidRDefault="00D44841" w:rsidP="004E0278">
            <w:pPr>
              <w:rPr>
                <w:rFonts w:cstheme="minorHAnsi"/>
                <w:b/>
                <w:bCs/>
                <w:noProof/>
                <w:sz w:val="18"/>
                <w:szCs w:val="18"/>
              </w:rPr>
            </w:pPr>
          </w:p>
          <w:p w14:paraId="79DC6278" w14:textId="77777777" w:rsidR="00D44841" w:rsidRPr="003460B7" w:rsidRDefault="00D44841" w:rsidP="004E0278">
            <w:pPr>
              <w:rPr>
                <w:rFonts w:cstheme="minorHAnsi"/>
                <w:b/>
                <w:bCs/>
                <w:noProof/>
                <w:sz w:val="6"/>
                <w:szCs w:val="6"/>
              </w:rPr>
            </w:pPr>
          </w:p>
        </w:tc>
        <w:tc>
          <w:tcPr>
            <w:tcW w:w="8296" w:type="dxa"/>
          </w:tcPr>
          <w:p w14:paraId="16BA9041" w14:textId="77777777" w:rsidR="00D44841" w:rsidRPr="006A1234" w:rsidRDefault="00D44841" w:rsidP="004E0278">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D44841" w:rsidRPr="00062821" w14:paraId="42930B26" w14:textId="77777777" w:rsidTr="0042124F">
        <w:trPr>
          <w:trHeight w:val="2081"/>
        </w:trPr>
        <w:tc>
          <w:tcPr>
            <w:tcW w:w="1288" w:type="dxa"/>
          </w:tcPr>
          <w:p w14:paraId="4DC80A02" w14:textId="77777777" w:rsidR="00D44841" w:rsidRPr="00062821" w:rsidRDefault="00D44841" w:rsidP="004E0278">
            <w:pPr>
              <w:rPr>
                <w:noProof/>
                <w:sz w:val="6"/>
                <w:szCs w:val="6"/>
              </w:rPr>
            </w:pPr>
          </w:p>
          <w:p w14:paraId="0E34C379" w14:textId="77777777" w:rsidR="00D44841" w:rsidRDefault="00D44841" w:rsidP="004E0278">
            <w:pPr>
              <w:rPr>
                <w:rFonts w:cstheme="minorHAnsi"/>
                <w:b/>
                <w:bCs/>
                <w:color w:val="000000"/>
                <w:sz w:val="26"/>
                <w:szCs w:val="26"/>
              </w:rPr>
            </w:pPr>
            <w:r>
              <w:rPr>
                <w:noProof/>
              </w:rPr>
              <w:drawing>
                <wp:inline distT="0" distB="0" distL="0" distR="0" wp14:anchorId="3B84E4B0" wp14:editId="7446036F">
                  <wp:extent cx="662400" cy="900000"/>
                  <wp:effectExtent l="0" t="0" r="4445" b="0"/>
                  <wp:docPr id="2130118263"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4120"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782" w:type="dxa"/>
            <w:gridSpan w:val="2"/>
          </w:tcPr>
          <w:p w14:paraId="193BBD25" w14:textId="77777777" w:rsidR="00D44841" w:rsidRPr="001B6816" w:rsidRDefault="00D44841" w:rsidP="004E0278">
            <w:pPr>
              <w:rPr>
                <w:rFonts w:asciiTheme="minorHAnsi" w:hAnsiTheme="minorHAnsi" w:cstheme="minorHAnsi"/>
                <w:bCs/>
                <w:color w:val="000000"/>
                <w:sz w:val="18"/>
                <w:szCs w:val="18"/>
              </w:rPr>
            </w:pPr>
            <w:r w:rsidRPr="001B6816">
              <w:rPr>
                <w:rFonts w:asciiTheme="minorHAnsi" w:hAnsiTheme="minorHAnsi" w:cstheme="minorHAnsi"/>
                <w:bCs/>
                <w:color w:val="000000"/>
                <w:sz w:val="18"/>
                <w:szCs w:val="18"/>
              </w:rPr>
              <w:t>Marek BESLER</w:t>
            </w:r>
          </w:p>
          <w:p w14:paraId="4931D02C" w14:textId="6F991C7A" w:rsidR="001B6816" w:rsidRPr="001B6816" w:rsidRDefault="00123357" w:rsidP="001B6816">
            <w:pPr>
              <w:pStyle w:val="Akapitzlist"/>
              <w:numPr>
                <w:ilvl w:val="0"/>
                <w:numId w:val="47"/>
              </w:numPr>
              <w:ind w:left="320" w:hanging="334"/>
              <w:rPr>
                <w:rFonts w:eastAsia="Times New Roman" w:cstheme="minorHAnsi"/>
                <w:bCs/>
                <w:color w:val="000000"/>
                <w:sz w:val="18"/>
                <w:szCs w:val="18"/>
              </w:rPr>
            </w:pPr>
            <w:r>
              <w:rPr>
                <w:rFonts w:eastAsia="Times New Roman" w:cstheme="minorHAnsi"/>
                <w:bCs/>
                <w:color w:val="000000"/>
              </w:rPr>
              <w:t>współorzekający w Komisji Odwoławczej przy Urzędzie Patentowym w sprawach własności przemysłowej, składom której przewodniczyli sędziowie Sądu Najwyższego, w latach 1979 -2001</w:t>
            </w:r>
            <w:r w:rsidR="001B6816" w:rsidRPr="001B6816">
              <w:rPr>
                <w:rFonts w:eastAsia="Times New Roman" w:cstheme="minorHAnsi"/>
                <w:bCs/>
                <w:color w:val="000000"/>
                <w:sz w:val="18"/>
                <w:szCs w:val="18"/>
              </w:rPr>
              <w:t xml:space="preserve"> </w:t>
            </w:r>
          </w:p>
          <w:p w14:paraId="23D3F329" w14:textId="17DA228C" w:rsidR="00D44841" w:rsidRPr="001B6816" w:rsidRDefault="00D44841" w:rsidP="004E0278">
            <w:pPr>
              <w:pStyle w:val="Akapitzlist"/>
              <w:numPr>
                <w:ilvl w:val="0"/>
                <w:numId w:val="47"/>
              </w:numPr>
              <w:ind w:left="297" w:hanging="283"/>
              <w:rPr>
                <w:rFonts w:eastAsia="Times New Roman" w:cstheme="minorHAnsi"/>
                <w:bCs/>
                <w:color w:val="000000"/>
                <w:sz w:val="18"/>
                <w:szCs w:val="18"/>
              </w:rPr>
            </w:pPr>
            <w:r w:rsidRPr="001B6816">
              <w:rPr>
                <w:rFonts w:eastAsia="Times New Roman" w:cstheme="minorHAnsi"/>
                <w:bCs/>
                <w:color w:val="000000"/>
                <w:sz w:val="18"/>
                <w:szCs w:val="18"/>
              </w:rPr>
              <w:t>rzecznik patentowy nr 1571</w:t>
            </w:r>
          </w:p>
          <w:p w14:paraId="152420A6" w14:textId="77777777" w:rsidR="00D44841" w:rsidRPr="001B6816" w:rsidRDefault="00D44841" w:rsidP="004E0278">
            <w:pPr>
              <w:pStyle w:val="Akapitzlist"/>
              <w:numPr>
                <w:ilvl w:val="0"/>
                <w:numId w:val="47"/>
              </w:numPr>
              <w:ind w:left="297" w:hanging="283"/>
              <w:rPr>
                <w:rFonts w:eastAsia="Times New Roman" w:cstheme="minorHAnsi"/>
                <w:bCs/>
                <w:color w:val="000000"/>
                <w:sz w:val="18"/>
                <w:szCs w:val="18"/>
              </w:rPr>
            </w:pPr>
            <w:r w:rsidRPr="001B6816">
              <w:rPr>
                <w:rFonts w:eastAsia="Times New Roman" w:cstheme="minorHAnsi"/>
                <w:bCs/>
                <w:color w:val="000000"/>
                <w:sz w:val="18"/>
                <w:szCs w:val="18"/>
              </w:rPr>
              <w:t>profesjonalny pełnomocnik przed EUIPO (</w:t>
            </w:r>
            <w:r w:rsidRPr="001B6816">
              <w:rPr>
                <w:rFonts w:eastAsia="Times New Roman" w:cstheme="minorHAnsi"/>
                <w:bCs/>
                <w:i/>
                <w:color w:val="000000"/>
                <w:sz w:val="18"/>
                <w:szCs w:val="18"/>
              </w:rPr>
              <w:t>European Union Intellectual Property Office</w:t>
            </w:r>
            <w:r w:rsidRPr="001B6816">
              <w:rPr>
                <w:rFonts w:eastAsia="Times New Roman" w:cstheme="minorHAnsi"/>
                <w:bCs/>
                <w:color w:val="000000"/>
                <w:sz w:val="18"/>
                <w:szCs w:val="18"/>
              </w:rPr>
              <w:t xml:space="preserve"> – Urząd Unii Europejskiej ds. Własności Intelektualnej), nr 27177</w:t>
            </w:r>
          </w:p>
          <w:p w14:paraId="26052EFD" w14:textId="77777777" w:rsidR="00D44841" w:rsidRPr="001B6816" w:rsidRDefault="00D44841" w:rsidP="004E0278">
            <w:pPr>
              <w:pStyle w:val="Akapitzlist"/>
              <w:numPr>
                <w:ilvl w:val="0"/>
                <w:numId w:val="47"/>
              </w:numPr>
              <w:ind w:left="297" w:hanging="283"/>
              <w:rPr>
                <w:rFonts w:eastAsia="Times New Roman" w:cstheme="minorHAnsi"/>
                <w:bCs/>
                <w:color w:val="000000"/>
                <w:sz w:val="18"/>
                <w:szCs w:val="18"/>
              </w:rPr>
            </w:pPr>
            <w:r w:rsidRPr="001B6816">
              <w:rPr>
                <w:rFonts w:eastAsia="Times New Roman" w:cstheme="minorHAnsi"/>
                <w:bCs/>
                <w:color w:val="000000"/>
                <w:sz w:val="18"/>
                <w:szCs w:val="18"/>
              </w:rPr>
              <w:t>Europejski Rzecznik Patentowy nr 138820</w:t>
            </w:r>
          </w:p>
          <w:p w14:paraId="2FE8599B" w14:textId="77777777" w:rsidR="00D44841" w:rsidRPr="001B6816" w:rsidRDefault="00D44841" w:rsidP="004E0278">
            <w:pPr>
              <w:pStyle w:val="Akapitzlist"/>
              <w:numPr>
                <w:ilvl w:val="0"/>
                <w:numId w:val="47"/>
              </w:numPr>
              <w:ind w:left="297" w:hanging="283"/>
              <w:rPr>
                <w:rFonts w:eastAsia="Times New Roman" w:cstheme="minorHAnsi"/>
                <w:bCs/>
                <w:color w:val="000000"/>
                <w:sz w:val="18"/>
                <w:szCs w:val="18"/>
              </w:rPr>
            </w:pPr>
            <w:r w:rsidRPr="001B6816">
              <w:rPr>
                <w:rFonts w:eastAsia="Times New Roman" w:cstheme="minorHAnsi"/>
                <w:bCs/>
                <w:color w:val="000000"/>
                <w:sz w:val="18"/>
                <w:szCs w:val="18"/>
              </w:rPr>
              <w:t>Prezes Polskiej Izby Rzeczników Patentowych w latach 2002-2005</w:t>
            </w:r>
          </w:p>
          <w:p w14:paraId="7FC263E6" w14:textId="77777777" w:rsidR="00D44841" w:rsidRPr="001B6816" w:rsidRDefault="00D44841" w:rsidP="004E0278">
            <w:pPr>
              <w:pStyle w:val="Akapitzlist"/>
              <w:numPr>
                <w:ilvl w:val="0"/>
                <w:numId w:val="47"/>
              </w:numPr>
              <w:ind w:left="297" w:hanging="283"/>
              <w:rPr>
                <w:rFonts w:eastAsia="Times New Roman" w:cstheme="minorHAnsi"/>
                <w:bCs/>
                <w:color w:val="000000"/>
                <w:sz w:val="18"/>
                <w:szCs w:val="18"/>
              </w:rPr>
            </w:pPr>
            <w:r w:rsidRPr="001B6816">
              <w:rPr>
                <w:rFonts w:eastAsia="Times New Roman" w:cstheme="minorHAnsi"/>
                <w:bCs/>
                <w:color w:val="000000"/>
                <w:sz w:val="18"/>
                <w:szCs w:val="18"/>
              </w:rPr>
              <w:t>Wiceprezes Zarządu StoWI od 2023 r.</w:t>
            </w:r>
          </w:p>
          <w:p w14:paraId="5F7F7187" w14:textId="77777777" w:rsidR="00D44841" w:rsidRPr="001B6816" w:rsidRDefault="00D44841" w:rsidP="004E0278">
            <w:pPr>
              <w:pStyle w:val="Akapitzlist"/>
              <w:numPr>
                <w:ilvl w:val="0"/>
                <w:numId w:val="47"/>
              </w:numPr>
              <w:ind w:left="297" w:hanging="283"/>
              <w:rPr>
                <w:rFonts w:eastAsia="Times New Roman" w:cstheme="minorHAnsi"/>
                <w:bCs/>
                <w:color w:val="000000"/>
                <w:sz w:val="18"/>
                <w:szCs w:val="18"/>
              </w:rPr>
            </w:pPr>
            <w:r w:rsidRPr="001B6816">
              <w:rPr>
                <w:rFonts w:eastAsia="Times New Roman" w:cstheme="minorHAnsi"/>
                <w:bCs/>
                <w:color w:val="000000"/>
                <w:sz w:val="18"/>
                <w:szCs w:val="18"/>
              </w:rPr>
              <w:t>Redaktor naczelny Kwartalnika „THINK-TANK WSZYSTKO o IP w PL” od listopada 2023 r.</w:t>
            </w:r>
          </w:p>
          <w:p w14:paraId="3733355D" w14:textId="77777777" w:rsidR="00D44841" w:rsidRPr="001B6816" w:rsidRDefault="00D44841" w:rsidP="004E0278">
            <w:pPr>
              <w:rPr>
                <w:rFonts w:cstheme="minorHAnsi"/>
                <w:bCs/>
                <w:color w:val="000000"/>
                <w:sz w:val="18"/>
                <w:szCs w:val="18"/>
              </w:rPr>
            </w:pPr>
          </w:p>
        </w:tc>
      </w:tr>
      <w:tr w:rsidR="00D44841" w:rsidRPr="00505C05" w14:paraId="09686C56" w14:textId="77777777" w:rsidTr="0042124F">
        <w:trPr>
          <w:trHeight w:val="1471"/>
        </w:trPr>
        <w:tc>
          <w:tcPr>
            <w:tcW w:w="1288" w:type="dxa"/>
          </w:tcPr>
          <w:p w14:paraId="1E1F8CE5" w14:textId="42BF82F9" w:rsidR="00D44841" w:rsidRPr="00062821" w:rsidRDefault="00B67665" w:rsidP="004E0278">
            <w:pPr>
              <w:rPr>
                <w:noProof/>
                <w:sz w:val="6"/>
                <w:szCs w:val="6"/>
              </w:rPr>
            </w:pPr>
            <w:r>
              <w:rPr>
                <w:noProof/>
              </w:rPr>
              <w:drawing>
                <wp:anchor distT="0" distB="0" distL="114300" distR="114300" simplePos="0" relativeHeight="252309504" behindDoc="0" locked="0" layoutInCell="1" allowOverlap="1" wp14:anchorId="3CFEAED0" wp14:editId="3279C17B">
                  <wp:simplePos x="0" y="0"/>
                  <wp:positionH relativeFrom="column">
                    <wp:posOffset>-7620</wp:posOffset>
                  </wp:positionH>
                  <wp:positionV relativeFrom="paragraph">
                    <wp:posOffset>-40640</wp:posOffset>
                  </wp:positionV>
                  <wp:extent cx="669600" cy="900000"/>
                  <wp:effectExtent l="0" t="0" r="0" b="0"/>
                  <wp:wrapNone/>
                  <wp:docPr id="2018566787" name="Obraz 13" descr="Obraz zawierający ubrania, osoba, krawat, Ubiór form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56375" name="Obraz 13" descr="Obraz zawierający ubrania, osoba, krawat, Ubiór formalny&#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600" cy="900000"/>
                          </a:xfrm>
                          <a:prstGeom prst="rect">
                            <a:avLst/>
                          </a:prstGeom>
                          <a:noFill/>
                          <a:ln>
                            <a:noFill/>
                          </a:ln>
                        </pic:spPr>
                      </pic:pic>
                    </a:graphicData>
                  </a:graphic>
                </wp:anchor>
              </w:drawing>
            </w:r>
          </w:p>
          <w:p w14:paraId="562FAF60" w14:textId="573C636F" w:rsidR="00D44841" w:rsidRDefault="00D44841" w:rsidP="004E0278">
            <w:pPr>
              <w:rPr>
                <w:rFonts w:cstheme="minorHAnsi"/>
                <w:b/>
                <w:bCs/>
                <w:color w:val="000000"/>
                <w:sz w:val="26"/>
                <w:szCs w:val="26"/>
              </w:rPr>
            </w:pPr>
          </w:p>
          <w:p w14:paraId="6EBDFAFB" w14:textId="77777777" w:rsidR="009C564A" w:rsidRDefault="009C564A" w:rsidP="004E0278">
            <w:pPr>
              <w:rPr>
                <w:rFonts w:cstheme="minorHAnsi"/>
                <w:b/>
                <w:bCs/>
                <w:color w:val="000000"/>
                <w:sz w:val="26"/>
                <w:szCs w:val="26"/>
              </w:rPr>
            </w:pPr>
          </w:p>
          <w:p w14:paraId="35AE3295" w14:textId="6E636E9B" w:rsidR="009C564A" w:rsidRDefault="009C564A" w:rsidP="004E0278">
            <w:pPr>
              <w:rPr>
                <w:rFonts w:cstheme="minorHAnsi"/>
                <w:b/>
                <w:bCs/>
                <w:color w:val="000000"/>
                <w:sz w:val="26"/>
                <w:szCs w:val="26"/>
              </w:rPr>
            </w:pPr>
          </w:p>
          <w:p w14:paraId="3BE6D2D4" w14:textId="59DA4809" w:rsidR="009C564A" w:rsidRDefault="009C564A" w:rsidP="004E0278">
            <w:pPr>
              <w:rPr>
                <w:rFonts w:cstheme="minorHAnsi"/>
                <w:b/>
                <w:bCs/>
                <w:color w:val="000000"/>
                <w:sz w:val="26"/>
                <w:szCs w:val="26"/>
              </w:rPr>
            </w:pPr>
          </w:p>
          <w:p w14:paraId="3AD69751" w14:textId="5785C8E4" w:rsidR="009C564A" w:rsidRDefault="009C564A" w:rsidP="004E0278">
            <w:pPr>
              <w:rPr>
                <w:rFonts w:cstheme="minorHAnsi"/>
                <w:b/>
                <w:bCs/>
                <w:color w:val="000000"/>
                <w:sz w:val="26"/>
                <w:szCs w:val="26"/>
              </w:rPr>
            </w:pPr>
          </w:p>
          <w:p w14:paraId="6E801F1A" w14:textId="6EE13CBF" w:rsidR="009C564A" w:rsidRDefault="00B67665" w:rsidP="004E0278">
            <w:pPr>
              <w:rPr>
                <w:rFonts w:cstheme="minorHAnsi"/>
                <w:b/>
                <w:bCs/>
                <w:color w:val="000000"/>
                <w:sz w:val="26"/>
                <w:szCs w:val="26"/>
              </w:rPr>
            </w:pPr>
            <w:r>
              <w:rPr>
                <w:noProof/>
              </w:rPr>
              <w:drawing>
                <wp:inline distT="0" distB="0" distL="0" distR="0" wp14:anchorId="51E44D9E" wp14:editId="3E828555">
                  <wp:extent cx="658800" cy="900000"/>
                  <wp:effectExtent l="0" t="0" r="8255" b="0"/>
                  <wp:docPr id="453476229"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00081"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p w14:paraId="3B6CE9BC" w14:textId="77777777" w:rsidR="009C564A" w:rsidRPr="0042124F" w:rsidRDefault="009C564A" w:rsidP="004E0278">
            <w:pPr>
              <w:rPr>
                <w:rFonts w:cstheme="minorHAnsi"/>
                <w:b/>
                <w:bCs/>
                <w:color w:val="000000"/>
              </w:rPr>
            </w:pPr>
          </w:p>
        </w:tc>
        <w:tc>
          <w:tcPr>
            <w:tcW w:w="8782" w:type="dxa"/>
            <w:gridSpan w:val="2"/>
          </w:tcPr>
          <w:p w14:paraId="5C4FA225" w14:textId="77777777" w:rsidR="00D44841" w:rsidRPr="001B6816" w:rsidRDefault="00D44841" w:rsidP="004E0278">
            <w:pPr>
              <w:rPr>
                <w:rFonts w:asciiTheme="minorHAnsi" w:hAnsiTheme="minorHAnsi" w:cstheme="minorHAnsi"/>
                <w:bCs/>
                <w:color w:val="000000"/>
                <w:sz w:val="18"/>
                <w:szCs w:val="18"/>
              </w:rPr>
            </w:pPr>
            <w:r w:rsidRPr="001B6816">
              <w:rPr>
                <w:rFonts w:asciiTheme="minorHAnsi" w:hAnsiTheme="minorHAnsi" w:cstheme="minorHAnsi"/>
                <w:bCs/>
                <w:color w:val="000000"/>
                <w:sz w:val="18"/>
                <w:szCs w:val="18"/>
              </w:rPr>
              <w:t>Tadeusz KACHNIC</w:t>
            </w:r>
          </w:p>
          <w:p w14:paraId="760C3EE7" w14:textId="77777777" w:rsidR="00D44841" w:rsidRPr="001B6816" w:rsidRDefault="00D44841" w:rsidP="004E0278">
            <w:pPr>
              <w:pStyle w:val="Akapitzlist"/>
              <w:numPr>
                <w:ilvl w:val="0"/>
                <w:numId w:val="46"/>
              </w:numPr>
              <w:ind w:left="297" w:hanging="297"/>
              <w:rPr>
                <w:rFonts w:eastAsia="Times New Roman" w:cstheme="minorHAnsi"/>
                <w:bCs/>
                <w:color w:val="000000"/>
                <w:sz w:val="18"/>
                <w:szCs w:val="18"/>
              </w:rPr>
            </w:pPr>
            <w:r w:rsidRPr="001B6816">
              <w:rPr>
                <w:rFonts w:eastAsia="Times New Roman" w:cstheme="minorHAnsi"/>
                <w:bCs/>
                <w:color w:val="000000"/>
                <w:sz w:val="18"/>
                <w:szCs w:val="18"/>
              </w:rPr>
              <w:t>rzecznik patentowy</w:t>
            </w:r>
          </w:p>
          <w:p w14:paraId="4ED61F79" w14:textId="77777777" w:rsidR="00D44841" w:rsidRPr="001B6816" w:rsidRDefault="00D44841" w:rsidP="004E0278">
            <w:pPr>
              <w:pStyle w:val="Akapitzlist"/>
              <w:numPr>
                <w:ilvl w:val="0"/>
                <w:numId w:val="46"/>
              </w:numPr>
              <w:ind w:left="297" w:hanging="297"/>
              <w:rPr>
                <w:rFonts w:eastAsia="Times New Roman" w:cstheme="minorHAnsi"/>
                <w:bCs/>
                <w:color w:val="000000"/>
                <w:sz w:val="18"/>
                <w:szCs w:val="18"/>
              </w:rPr>
            </w:pPr>
            <w:r w:rsidRPr="001B6816">
              <w:rPr>
                <w:rFonts w:eastAsia="Times New Roman" w:cstheme="minorHAnsi"/>
                <w:bCs/>
                <w:color w:val="000000"/>
                <w:sz w:val="18"/>
                <w:szCs w:val="18"/>
              </w:rPr>
              <w:t>współzałożyciel Polskiej Izby Rzeczników Patentowych</w:t>
            </w:r>
          </w:p>
          <w:p w14:paraId="07825308" w14:textId="77777777" w:rsidR="00D44841" w:rsidRPr="001B6816" w:rsidRDefault="00D44841" w:rsidP="004E0278">
            <w:pPr>
              <w:pStyle w:val="Akapitzlist"/>
              <w:numPr>
                <w:ilvl w:val="0"/>
                <w:numId w:val="46"/>
              </w:numPr>
              <w:ind w:left="297" w:hanging="297"/>
              <w:rPr>
                <w:rFonts w:eastAsia="Times New Roman" w:cstheme="minorHAnsi"/>
                <w:bCs/>
                <w:color w:val="000000"/>
                <w:sz w:val="18"/>
                <w:szCs w:val="18"/>
              </w:rPr>
            </w:pPr>
            <w:r w:rsidRPr="001B6816">
              <w:rPr>
                <w:rFonts w:eastAsia="Times New Roman" w:cstheme="minorHAnsi"/>
                <w:bCs/>
                <w:color w:val="000000"/>
                <w:sz w:val="18"/>
                <w:szCs w:val="18"/>
              </w:rPr>
              <w:t>uczestnik I Krajowego Zjazdu w dniu 28.08.1993 r.</w:t>
            </w:r>
          </w:p>
          <w:p w14:paraId="2DB806DD" w14:textId="77777777" w:rsidR="00D44841" w:rsidRPr="001B6816" w:rsidRDefault="00D44841" w:rsidP="004E0278">
            <w:pPr>
              <w:pStyle w:val="Akapitzlist"/>
              <w:numPr>
                <w:ilvl w:val="0"/>
                <w:numId w:val="46"/>
              </w:numPr>
              <w:ind w:left="297" w:hanging="297"/>
              <w:rPr>
                <w:rFonts w:eastAsia="Times New Roman" w:cstheme="minorHAnsi"/>
                <w:bCs/>
                <w:color w:val="000000"/>
                <w:sz w:val="18"/>
                <w:szCs w:val="18"/>
              </w:rPr>
            </w:pPr>
            <w:r w:rsidRPr="001B6816">
              <w:rPr>
                <w:rFonts w:eastAsia="Times New Roman" w:cstheme="minorHAnsi"/>
                <w:bCs/>
                <w:color w:val="000000"/>
                <w:sz w:val="18"/>
                <w:szCs w:val="18"/>
              </w:rPr>
              <w:t>Wiceprezes PIRP od 1993 r. do 05.11.2017 r.</w:t>
            </w:r>
          </w:p>
          <w:p w14:paraId="6C2F6655" w14:textId="77777777" w:rsidR="00B67665" w:rsidRPr="001B6816" w:rsidRDefault="00B67665" w:rsidP="009C564A">
            <w:pPr>
              <w:rPr>
                <w:rFonts w:asciiTheme="minorHAnsi" w:hAnsiTheme="minorHAnsi" w:cstheme="minorHAnsi"/>
                <w:bCs/>
                <w:color w:val="000000"/>
                <w:sz w:val="18"/>
                <w:szCs w:val="18"/>
              </w:rPr>
            </w:pPr>
          </w:p>
          <w:p w14:paraId="0D9CF692" w14:textId="3041ED0A" w:rsidR="009C564A" w:rsidRPr="001B6816" w:rsidRDefault="009C564A" w:rsidP="009C564A">
            <w:pPr>
              <w:rPr>
                <w:rFonts w:asciiTheme="minorHAnsi" w:hAnsiTheme="minorHAnsi" w:cstheme="minorHAnsi"/>
                <w:bCs/>
                <w:color w:val="000000"/>
                <w:sz w:val="18"/>
                <w:szCs w:val="18"/>
              </w:rPr>
            </w:pPr>
            <w:r w:rsidRPr="001B6816">
              <w:rPr>
                <w:rFonts w:asciiTheme="minorHAnsi" w:hAnsiTheme="minorHAnsi" w:cstheme="minorHAnsi"/>
                <w:bCs/>
                <w:color w:val="000000"/>
                <w:sz w:val="18"/>
                <w:szCs w:val="18"/>
              </w:rPr>
              <w:t>Anna KORBELA</w:t>
            </w:r>
          </w:p>
          <w:p w14:paraId="43D16C9A" w14:textId="28A83643" w:rsidR="00755F82" w:rsidRPr="001B6816" w:rsidRDefault="00E86418"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eastAsia="Times New Roman" w:cstheme="minorHAnsi"/>
                <w:bCs/>
                <w:color w:val="000000"/>
                <w:sz w:val="18"/>
                <w:szCs w:val="18"/>
              </w:rPr>
              <w:t xml:space="preserve">w 1994 r. </w:t>
            </w:r>
            <w:r w:rsidR="00FE4722">
              <w:rPr>
                <w:rFonts w:cstheme="minorHAnsi"/>
                <w:bCs/>
                <w:color w:val="000000"/>
              </w:rPr>
              <w:t xml:space="preserve">zdała </w:t>
            </w:r>
            <w:r w:rsidR="00755F82" w:rsidRPr="001B6816">
              <w:rPr>
                <w:rFonts w:eastAsia="Times New Roman" w:cstheme="minorHAnsi"/>
                <w:bCs/>
                <w:color w:val="000000"/>
                <w:sz w:val="18"/>
                <w:szCs w:val="18"/>
              </w:rPr>
              <w:t xml:space="preserve">egzamin sędziowski poprzedzony etatową aplikacją sędziowską (złożony z </w:t>
            </w:r>
            <w:r w:rsidR="00123357" w:rsidRPr="001B6816">
              <w:rPr>
                <w:rFonts w:eastAsia="Times New Roman" w:cstheme="minorHAnsi"/>
                <w:bCs/>
                <w:color w:val="000000"/>
                <w:sz w:val="18"/>
                <w:szCs w:val="18"/>
              </w:rPr>
              <w:t xml:space="preserve">dobrym </w:t>
            </w:r>
            <w:r w:rsidR="00755F82" w:rsidRPr="001B6816">
              <w:rPr>
                <w:rFonts w:eastAsia="Times New Roman" w:cstheme="minorHAnsi"/>
                <w:bCs/>
                <w:color w:val="000000"/>
                <w:sz w:val="18"/>
                <w:szCs w:val="18"/>
              </w:rPr>
              <w:t>wynikiem, umożliwiającym podjęcie kariery sędziowskiej</w:t>
            </w:r>
            <w:r w:rsidR="00D76DA8" w:rsidRPr="001B6816">
              <w:rPr>
                <w:rFonts w:eastAsia="Times New Roman" w:cstheme="minorHAnsi"/>
                <w:bCs/>
                <w:color w:val="000000"/>
                <w:sz w:val="18"/>
                <w:szCs w:val="18"/>
              </w:rPr>
              <w:t>)</w:t>
            </w:r>
          </w:p>
          <w:p w14:paraId="59AC0266" w14:textId="5EECF720" w:rsidR="009C564A" w:rsidRPr="001B6816" w:rsidRDefault="009C564A"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rzecznik patentowy nr 3040</w:t>
            </w:r>
          </w:p>
          <w:p w14:paraId="36E4E835" w14:textId="77777777" w:rsidR="009C564A" w:rsidRPr="001B6816" w:rsidRDefault="009C564A"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radca prawny nr 364/96</w:t>
            </w:r>
          </w:p>
          <w:p w14:paraId="06AD1B57" w14:textId="77777777" w:rsidR="009C564A" w:rsidRPr="001B6816" w:rsidRDefault="009C564A"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profesjonalny pełnomocnik przed EUIPO (</w:t>
            </w:r>
            <w:r w:rsidRPr="001B6816">
              <w:rPr>
                <w:rFonts w:asciiTheme="minorHAnsi" w:eastAsia="Times New Roman" w:hAnsiTheme="minorHAnsi" w:cstheme="minorHAnsi"/>
                <w:bCs/>
                <w:i/>
                <w:color w:val="000000"/>
                <w:sz w:val="18"/>
                <w:szCs w:val="18"/>
              </w:rPr>
              <w:t>European Union Intellectual Property Office</w:t>
            </w:r>
            <w:r w:rsidRPr="001B6816">
              <w:rPr>
                <w:rFonts w:asciiTheme="minorHAnsi" w:eastAsia="Times New Roman" w:hAnsiTheme="minorHAnsi" w:cstheme="minorHAnsi"/>
                <w:bCs/>
                <w:color w:val="000000"/>
                <w:sz w:val="18"/>
                <w:szCs w:val="18"/>
              </w:rPr>
              <w:t xml:space="preserve"> - </w:t>
            </w:r>
            <w:r w:rsidRPr="001B6816">
              <w:rPr>
                <w:rFonts w:eastAsia="Times New Roman" w:cstheme="minorHAnsi"/>
                <w:bCs/>
                <w:color w:val="000000"/>
                <w:sz w:val="18"/>
                <w:szCs w:val="18"/>
              </w:rPr>
              <w:t>Urzędem</w:t>
            </w:r>
            <w:r w:rsidRPr="001B6816">
              <w:rPr>
                <w:rFonts w:asciiTheme="minorHAnsi" w:eastAsia="Times New Roman" w:hAnsiTheme="minorHAnsi" w:cstheme="minorHAnsi"/>
                <w:bCs/>
                <w:color w:val="000000"/>
                <w:sz w:val="18"/>
                <w:szCs w:val="18"/>
              </w:rPr>
              <w:t xml:space="preserve"> Unii Europejskiej ds. Własności Intelektualnej), nr 27595</w:t>
            </w:r>
          </w:p>
          <w:p w14:paraId="39FE832A" w14:textId="77777777" w:rsidR="009C564A" w:rsidRPr="001B6816" w:rsidRDefault="009C564A"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Europejski Rzecznik Patentowy nr 137760</w:t>
            </w:r>
          </w:p>
          <w:p w14:paraId="73FAC2B0" w14:textId="77777777" w:rsidR="009C564A" w:rsidRPr="001B6816" w:rsidRDefault="009C564A"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pełnomocnik uprawniony do działania przed DPMA (</w:t>
            </w:r>
            <w:proofErr w:type="spellStart"/>
            <w:r w:rsidRPr="001B6816">
              <w:rPr>
                <w:rFonts w:asciiTheme="minorHAnsi" w:eastAsia="Times New Roman" w:hAnsiTheme="minorHAnsi" w:cstheme="minorHAnsi"/>
                <w:bCs/>
                <w:i/>
                <w:color w:val="000000"/>
                <w:sz w:val="18"/>
                <w:szCs w:val="18"/>
              </w:rPr>
              <w:t>Deutsches</w:t>
            </w:r>
            <w:proofErr w:type="spellEnd"/>
            <w:r w:rsidRPr="001B6816">
              <w:rPr>
                <w:rFonts w:asciiTheme="minorHAnsi" w:eastAsia="Times New Roman" w:hAnsiTheme="minorHAnsi" w:cstheme="minorHAnsi"/>
                <w:bCs/>
                <w:i/>
                <w:color w:val="000000"/>
                <w:sz w:val="18"/>
                <w:szCs w:val="18"/>
              </w:rPr>
              <w:t xml:space="preserve"> Patent- </w:t>
            </w:r>
            <w:proofErr w:type="spellStart"/>
            <w:r w:rsidRPr="001B6816">
              <w:rPr>
                <w:rFonts w:asciiTheme="minorHAnsi" w:eastAsia="Times New Roman" w:hAnsiTheme="minorHAnsi" w:cstheme="minorHAnsi"/>
                <w:bCs/>
                <w:i/>
                <w:color w:val="000000"/>
                <w:sz w:val="18"/>
                <w:szCs w:val="18"/>
              </w:rPr>
              <w:t>und</w:t>
            </w:r>
            <w:proofErr w:type="spellEnd"/>
            <w:r w:rsidRPr="001B6816">
              <w:rPr>
                <w:rFonts w:asciiTheme="minorHAnsi" w:eastAsia="Times New Roman" w:hAnsiTheme="minorHAnsi" w:cstheme="minorHAnsi"/>
                <w:bCs/>
                <w:i/>
                <w:color w:val="000000"/>
                <w:sz w:val="18"/>
                <w:szCs w:val="18"/>
              </w:rPr>
              <w:t xml:space="preserve"> </w:t>
            </w:r>
            <w:proofErr w:type="spellStart"/>
            <w:r w:rsidRPr="001B6816">
              <w:rPr>
                <w:rFonts w:asciiTheme="minorHAnsi" w:eastAsia="Times New Roman" w:hAnsiTheme="minorHAnsi" w:cstheme="minorHAnsi"/>
                <w:bCs/>
                <w:i/>
                <w:color w:val="000000"/>
                <w:sz w:val="18"/>
                <w:szCs w:val="18"/>
              </w:rPr>
              <w:t>Markenamt</w:t>
            </w:r>
            <w:proofErr w:type="spellEnd"/>
            <w:r w:rsidRPr="001B6816">
              <w:rPr>
                <w:rFonts w:asciiTheme="minorHAnsi" w:eastAsia="Times New Roman" w:hAnsiTheme="minorHAnsi" w:cstheme="minorHAnsi"/>
                <w:bCs/>
                <w:color w:val="000000"/>
                <w:sz w:val="18"/>
                <w:szCs w:val="18"/>
              </w:rPr>
              <w:t xml:space="preserve"> - Niemieckim Urzędem ds. Patentów i Znaków Towarowych) nr 38701324</w:t>
            </w:r>
          </w:p>
          <w:p w14:paraId="760BD15F" w14:textId="77777777" w:rsidR="009C564A" w:rsidRPr="001B6816" w:rsidRDefault="009C564A" w:rsidP="009C564A">
            <w:pPr>
              <w:pStyle w:val="Akapitzlist"/>
              <w:numPr>
                <w:ilvl w:val="0"/>
                <w:numId w:val="45"/>
              </w:numPr>
              <w:ind w:left="297" w:right="-534"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pełnomocnik przed UPC (</w:t>
            </w:r>
            <w:proofErr w:type="spellStart"/>
            <w:r w:rsidRPr="001B6816">
              <w:rPr>
                <w:rFonts w:asciiTheme="minorHAnsi" w:eastAsia="Times New Roman" w:hAnsiTheme="minorHAnsi" w:cstheme="minorHAnsi"/>
                <w:bCs/>
                <w:i/>
                <w:color w:val="000000"/>
                <w:sz w:val="18"/>
                <w:szCs w:val="18"/>
              </w:rPr>
              <w:t>Unitary</w:t>
            </w:r>
            <w:proofErr w:type="spellEnd"/>
            <w:r w:rsidRPr="001B6816">
              <w:rPr>
                <w:rFonts w:asciiTheme="minorHAnsi" w:eastAsia="Times New Roman" w:hAnsiTheme="minorHAnsi" w:cstheme="minorHAnsi"/>
                <w:bCs/>
                <w:i/>
                <w:color w:val="000000"/>
                <w:sz w:val="18"/>
                <w:szCs w:val="18"/>
              </w:rPr>
              <w:t xml:space="preserve"> Patent Court</w:t>
            </w:r>
            <w:r w:rsidRPr="001B6816">
              <w:rPr>
                <w:rFonts w:asciiTheme="minorHAnsi" w:eastAsia="Times New Roman" w:hAnsiTheme="minorHAnsi" w:cstheme="minorHAnsi"/>
                <w:bCs/>
                <w:color w:val="000000"/>
                <w:sz w:val="18"/>
                <w:szCs w:val="18"/>
              </w:rPr>
              <w:t xml:space="preserve"> - Jednolitym Sądem Patentowym) AUTH_525119/2023</w:t>
            </w:r>
          </w:p>
          <w:p w14:paraId="3E6C1808" w14:textId="77777777" w:rsidR="009C564A" w:rsidRPr="001B6816" w:rsidRDefault="009C564A" w:rsidP="009C564A">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Prezes Polskiej Izby Rzeczników Patentowych w latach 2009-2013 i 2013-2017</w:t>
            </w:r>
          </w:p>
          <w:p w14:paraId="07EC2587" w14:textId="5DD1C089" w:rsidR="009C564A" w:rsidRPr="001B6816" w:rsidRDefault="009C564A" w:rsidP="004E0278">
            <w:pPr>
              <w:pStyle w:val="Akapitzlist"/>
              <w:numPr>
                <w:ilvl w:val="0"/>
                <w:numId w:val="45"/>
              </w:numPr>
              <w:ind w:left="297" w:hanging="283"/>
              <w:rPr>
                <w:rFonts w:asciiTheme="minorHAnsi" w:eastAsia="Times New Roman" w:hAnsiTheme="minorHAnsi" w:cstheme="minorHAnsi"/>
                <w:bCs/>
                <w:color w:val="000000"/>
                <w:sz w:val="18"/>
                <w:szCs w:val="18"/>
              </w:rPr>
            </w:pPr>
            <w:r w:rsidRPr="001B6816">
              <w:rPr>
                <w:rFonts w:eastAsia="Times New Roman" w:cstheme="minorHAnsi"/>
                <w:bCs/>
                <w:color w:val="000000"/>
                <w:sz w:val="18"/>
                <w:szCs w:val="18"/>
              </w:rPr>
              <w:t>Prezes StoWI od 2023 r.</w:t>
            </w:r>
          </w:p>
        </w:tc>
      </w:tr>
      <w:tr w:rsidR="00D44841" w:rsidRPr="003362C7" w14:paraId="1BB8A2A3" w14:textId="77777777" w:rsidTr="0042124F">
        <w:trPr>
          <w:trHeight w:val="1391"/>
        </w:trPr>
        <w:tc>
          <w:tcPr>
            <w:tcW w:w="1288" w:type="dxa"/>
          </w:tcPr>
          <w:p w14:paraId="0610CCE1" w14:textId="77777777" w:rsidR="00D44841" w:rsidRPr="0042124F" w:rsidRDefault="00D44841" w:rsidP="004E0278">
            <w:pPr>
              <w:rPr>
                <w:rFonts w:cstheme="minorHAnsi"/>
                <w:b/>
                <w:bCs/>
                <w:noProof/>
                <w:sz w:val="2"/>
                <w:szCs w:val="2"/>
              </w:rPr>
            </w:pPr>
          </w:p>
          <w:p w14:paraId="4D90789A" w14:textId="77777777" w:rsidR="00D44841" w:rsidRPr="00EC4F25" w:rsidRDefault="00D44841" w:rsidP="004E0278">
            <w:pPr>
              <w:rPr>
                <w:rFonts w:cstheme="minorHAnsi"/>
                <w:b/>
                <w:bCs/>
                <w:noProof/>
                <w:sz w:val="18"/>
                <w:szCs w:val="18"/>
              </w:rPr>
            </w:pPr>
            <w:r>
              <w:rPr>
                <w:rFonts w:cstheme="minorHAnsi"/>
                <w:b/>
                <w:bCs/>
                <w:noProof/>
                <w:sz w:val="18"/>
                <w:szCs w:val="18"/>
              </w:rPr>
              <w:drawing>
                <wp:anchor distT="0" distB="0" distL="114300" distR="114300" simplePos="0" relativeHeight="252310528" behindDoc="0" locked="0" layoutInCell="1" allowOverlap="1" wp14:anchorId="3E30BC81" wp14:editId="651EC059">
                  <wp:simplePos x="0" y="0"/>
                  <wp:positionH relativeFrom="column">
                    <wp:posOffset>12700</wp:posOffset>
                  </wp:positionH>
                  <wp:positionV relativeFrom="paragraph">
                    <wp:posOffset>78105</wp:posOffset>
                  </wp:positionV>
                  <wp:extent cx="666000" cy="900000"/>
                  <wp:effectExtent l="0" t="0" r="1270" b="0"/>
                  <wp:wrapNone/>
                  <wp:docPr id="207917735" name="Obraz 1" descr="Obraz zawierający osoba, Ludzka twarz, ubrania,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85372" name="Obraz 1" descr="Obraz zawierający osoba, Ludzka twarz, ubrania, uśmiech&#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66000" cy="900000"/>
                          </a:xfrm>
                          <a:prstGeom prst="rect">
                            <a:avLst/>
                          </a:prstGeom>
                          <a:noFill/>
                          <a:ln>
                            <a:noFill/>
                          </a:ln>
                        </pic:spPr>
                      </pic:pic>
                    </a:graphicData>
                  </a:graphic>
                </wp:anchor>
              </w:drawing>
            </w:r>
          </w:p>
        </w:tc>
        <w:tc>
          <w:tcPr>
            <w:tcW w:w="8782" w:type="dxa"/>
            <w:gridSpan w:val="2"/>
          </w:tcPr>
          <w:p w14:paraId="4B50C097" w14:textId="77777777" w:rsidR="00B67665" w:rsidRPr="001B6816" w:rsidRDefault="00B67665" w:rsidP="004E0278">
            <w:pPr>
              <w:rPr>
                <w:rFonts w:asciiTheme="minorHAnsi" w:hAnsiTheme="minorHAnsi" w:cstheme="minorHAnsi"/>
                <w:bCs/>
                <w:color w:val="000000"/>
                <w:sz w:val="18"/>
                <w:szCs w:val="18"/>
              </w:rPr>
            </w:pPr>
          </w:p>
          <w:p w14:paraId="3A6F93DF" w14:textId="7175B294" w:rsidR="00D44841" w:rsidRPr="001B6816" w:rsidRDefault="00D44841" w:rsidP="004E0278">
            <w:pPr>
              <w:rPr>
                <w:rFonts w:asciiTheme="minorHAnsi" w:hAnsiTheme="minorHAnsi" w:cstheme="minorHAnsi"/>
                <w:bCs/>
                <w:color w:val="000000"/>
                <w:sz w:val="18"/>
                <w:szCs w:val="18"/>
              </w:rPr>
            </w:pPr>
            <w:r w:rsidRPr="001B6816">
              <w:rPr>
                <w:rFonts w:asciiTheme="minorHAnsi" w:hAnsiTheme="minorHAnsi" w:cstheme="minorHAnsi"/>
                <w:bCs/>
                <w:color w:val="000000"/>
                <w:sz w:val="18"/>
                <w:szCs w:val="18"/>
              </w:rPr>
              <w:t xml:space="preserve">Krystyna KOZŁOWSKA </w:t>
            </w:r>
          </w:p>
          <w:p w14:paraId="6588A960" w14:textId="77777777" w:rsidR="00D44841" w:rsidRPr="001B6816" w:rsidRDefault="00D44841" w:rsidP="004E0278">
            <w:pPr>
              <w:pStyle w:val="Akapitzlist"/>
              <w:numPr>
                <w:ilvl w:val="0"/>
                <w:numId w:val="50"/>
              </w:numPr>
              <w:ind w:left="297" w:hanging="283"/>
              <w:rPr>
                <w:rFonts w:eastAsia="Times New Roman" w:cstheme="minorHAnsi"/>
                <w:bCs/>
                <w:color w:val="000000"/>
                <w:sz w:val="18"/>
                <w:szCs w:val="18"/>
              </w:rPr>
            </w:pPr>
            <w:r w:rsidRPr="001B6816">
              <w:rPr>
                <w:rFonts w:eastAsia="Times New Roman" w:cstheme="minorHAnsi"/>
                <w:bCs/>
                <w:color w:val="000000"/>
                <w:sz w:val="18"/>
                <w:szCs w:val="18"/>
              </w:rPr>
              <w:t>rzecznik patentowy</w:t>
            </w:r>
          </w:p>
          <w:p w14:paraId="46D6C023" w14:textId="77777777" w:rsidR="00D44841" w:rsidRPr="001B6816" w:rsidRDefault="00D44841" w:rsidP="004E0278">
            <w:pPr>
              <w:pStyle w:val="Akapitzlist"/>
              <w:numPr>
                <w:ilvl w:val="0"/>
                <w:numId w:val="50"/>
              </w:numPr>
              <w:ind w:left="297" w:hanging="283"/>
              <w:rPr>
                <w:rFonts w:eastAsia="Times New Roman" w:cstheme="minorHAnsi"/>
                <w:bCs/>
                <w:color w:val="000000"/>
                <w:sz w:val="18"/>
                <w:szCs w:val="18"/>
              </w:rPr>
            </w:pPr>
            <w:r w:rsidRPr="001B6816">
              <w:rPr>
                <w:rFonts w:eastAsia="Times New Roman" w:cstheme="minorHAnsi"/>
                <w:bCs/>
                <w:color w:val="000000"/>
                <w:sz w:val="18"/>
                <w:szCs w:val="18"/>
              </w:rPr>
              <w:t>współzałożyciel Polskiej Izby Rzeczników Prezes Polskiej Izby Rzeczników Patentowych</w:t>
            </w:r>
          </w:p>
          <w:p w14:paraId="3795C6A6" w14:textId="77777777" w:rsidR="00D44841" w:rsidRPr="001B6816" w:rsidRDefault="00D44841" w:rsidP="004E0278">
            <w:pPr>
              <w:pStyle w:val="Akapitzlist"/>
              <w:numPr>
                <w:ilvl w:val="0"/>
                <w:numId w:val="50"/>
              </w:numPr>
              <w:ind w:left="297" w:hanging="283"/>
              <w:rPr>
                <w:rFonts w:eastAsia="Times New Roman" w:cstheme="minorHAnsi"/>
                <w:bCs/>
                <w:color w:val="000000"/>
                <w:sz w:val="18"/>
                <w:szCs w:val="18"/>
              </w:rPr>
            </w:pPr>
            <w:r w:rsidRPr="001B6816">
              <w:rPr>
                <w:rFonts w:eastAsia="Times New Roman" w:cstheme="minorHAnsi"/>
                <w:bCs/>
                <w:color w:val="000000"/>
                <w:sz w:val="18"/>
                <w:szCs w:val="18"/>
              </w:rPr>
              <w:t>uczestnik I Krajowego Zjazdu w dniu 28.08.1993 r.</w:t>
            </w:r>
          </w:p>
          <w:p w14:paraId="07F2902C" w14:textId="77777777" w:rsidR="00D44841" w:rsidRPr="001B6816" w:rsidRDefault="00D44841" w:rsidP="004E0278">
            <w:pPr>
              <w:pStyle w:val="Akapitzlist"/>
              <w:numPr>
                <w:ilvl w:val="0"/>
                <w:numId w:val="50"/>
              </w:numPr>
              <w:ind w:left="297" w:hanging="283"/>
              <w:rPr>
                <w:rFonts w:ascii="Times New Roman" w:eastAsia="Times New Roman" w:hAnsi="Times New Roman" w:cstheme="minorHAnsi"/>
                <w:bCs/>
                <w:color w:val="000000"/>
                <w:sz w:val="18"/>
                <w:szCs w:val="18"/>
              </w:rPr>
            </w:pPr>
            <w:r w:rsidRPr="001B6816">
              <w:rPr>
                <w:rFonts w:eastAsia="Times New Roman" w:cstheme="minorHAnsi"/>
                <w:bCs/>
                <w:color w:val="000000"/>
                <w:sz w:val="18"/>
                <w:szCs w:val="18"/>
              </w:rPr>
              <w:t>Dziekan Okręgu Dolnośląskiego 1997 – 5.10.2021</w:t>
            </w:r>
          </w:p>
          <w:p w14:paraId="7F918E7E" w14:textId="77777777" w:rsidR="00D44841" w:rsidRPr="001B6816" w:rsidRDefault="00D44841" w:rsidP="004E0278">
            <w:pPr>
              <w:pStyle w:val="Akapitzlist"/>
              <w:ind w:left="297"/>
              <w:rPr>
                <w:rFonts w:ascii="Times New Roman" w:eastAsia="Times New Roman" w:hAnsi="Times New Roman" w:cstheme="minorHAnsi"/>
                <w:bCs/>
                <w:color w:val="000000"/>
                <w:sz w:val="18"/>
                <w:szCs w:val="18"/>
              </w:rPr>
            </w:pPr>
          </w:p>
          <w:p w14:paraId="052C21B3" w14:textId="77777777" w:rsidR="00D44841" w:rsidRPr="001B6816" w:rsidRDefault="00D44841" w:rsidP="001B6816">
            <w:pPr>
              <w:rPr>
                <w:rFonts w:cstheme="minorHAnsi"/>
                <w:bCs/>
                <w:color w:val="000000"/>
                <w:sz w:val="18"/>
                <w:szCs w:val="18"/>
              </w:rPr>
            </w:pPr>
          </w:p>
          <w:p w14:paraId="09159318" w14:textId="73FD5A83" w:rsidR="00D44841" w:rsidRPr="001B6816" w:rsidRDefault="00D44841" w:rsidP="004E0278">
            <w:pPr>
              <w:pStyle w:val="Akapitzlist"/>
              <w:ind w:left="297"/>
              <w:rPr>
                <w:rFonts w:ascii="Times New Roman" w:eastAsia="Times New Roman" w:hAnsi="Times New Roman" w:cstheme="minorHAnsi"/>
                <w:bCs/>
                <w:color w:val="000000"/>
                <w:sz w:val="6"/>
                <w:szCs w:val="6"/>
              </w:rPr>
            </w:pPr>
          </w:p>
        </w:tc>
      </w:tr>
      <w:tr w:rsidR="00D44841" w:rsidRPr="001D7639" w14:paraId="7FA9AD2D" w14:textId="77777777" w:rsidTr="0042124F">
        <w:trPr>
          <w:trHeight w:val="2363"/>
        </w:trPr>
        <w:tc>
          <w:tcPr>
            <w:tcW w:w="1288" w:type="dxa"/>
          </w:tcPr>
          <w:p w14:paraId="1544136B" w14:textId="77777777" w:rsidR="00D44841" w:rsidRPr="00177F51" w:rsidRDefault="00D44841" w:rsidP="004E0278">
            <w:pPr>
              <w:rPr>
                <w:noProof/>
                <w:sz w:val="6"/>
                <w:szCs w:val="6"/>
              </w:rPr>
            </w:pPr>
          </w:p>
          <w:p w14:paraId="6FA9BF4B" w14:textId="63423EA0" w:rsidR="00D44841" w:rsidRPr="00EC4F25" w:rsidRDefault="00B67665" w:rsidP="004E0278">
            <w:pPr>
              <w:rPr>
                <w:rFonts w:cstheme="minorHAnsi"/>
                <w:b/>
                <w:bCs/>
                <w:noProof/>
                <w:sz w:val="18"/>
                <w:szCs w:val="18"/>
              </w:rPr>
            </w:pPr>
            <w:r>
              <w:rPr>
                <w:noProof/>
              </w:rPr>
              <w:drawing>
                <wp:anchor distT="0" distB="0" distL="114300" distR="114300" simplePos="0" relativeHeight="252308480" behindDoc="0" locked="0" layoutInCell="1" allowOverlap="1" wp14:anchorId="4DFC8057" wp14:editId="3C66EBB2">
                  <wp:simplePos x="0" y="0"/>
                  <wp:positionH relativeFrom="margin">
                    <wp:posOffset>-25400</wp:posOffset>
                  </wp:positionH>
                  <wp:positionV relativeFrom="paragraph">
                    <wp:posOffset>1349961</wp:posOffset>
                  </wp:positionV>
                  <wp:extent cx="676275" cy="899795"/>
                  <wp:effectExtent l="0" t="0" r="9525" b="0"/>
                  <wp:wrapNone/>
                  <wp:docPr id="1330814744" name="Obraz 17" descr="Obraz zawierający osoba, ubrania, człowiek,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79556" name="Obraz 17" descr="Obraz zawierający osoba, ubrania, człowiek, okno&#10;&#10;Opis wygenerowany automatyczni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76275" cy="899795"/>
                          </a:xfrm>
                          <a:prstGeom prst="rect">
                            <a:avLst/>
                          </a:prstGeom>
                          <a:noFill/>
                          <a:ln>
                            <a:noFill/>
                          </a:ln>
                        </pic:spPr>
                      </pic:pic>
                    </a:graphicData>
                  </a:graphic>
                </wp:anchor>
              </w:drawing>
            </w:r>
            <w:r w:rsidR="00D44841">
              <w:rPr>
                <w:noProof/>
              </w:rPr>
              <w:drawing>
                <wp:inline distT="0" distB="0" distL="0" distR="0" wp14:anchorId="5176C925" wp14:editId="550F7B5D">
                  <wp:extent cx="662400" cy="900000"/>
                  <wp:effectExtent l="0" t="0" r="4445" b="0"/>
                  <wp:docPr id="539435275"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93689"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782" w:type="dxa"/>
            <w:gridSpan w:val="2"/>
          </w:tcPr>
          <w:p w14:paraId="03282D3D" w14:textId="77777777" w:rsidR="00AB5E62" w:rsidRPr="001B6816" w:rsidRDefault="00AB5E62" w:rsidP="001C734B">
            <w:pPr>
              <w:rPr>
                <w:rFonts w:asciiTheme="minorHAnsi" w:hAnsiTheme="minorHAnsi" w:cstheme="minorHAnsi"/>
                <w:bCs/>
                <w:color w:val="000000"/>
                <w:sz w:val="18"/>
                <w:szCs w:val="18"/>
              </w:rPr>
            </w:pPr>
            <w:r w:rsidRPr="001B6816">
              <w:rPr>
                <w:rFonts w:asciiTheme="minorHAnsi" w:hAnsiTheme="minorHAnsi" w:cstheme="minorHAnsi"/>
                <w:bCs/>
                <w:color w:val="000000"/>
                <w:sz w:val="18"/>
                <w:szCs w:val="18"/>
              </w:rPr>
              <w:t>Ryszard MATUSIAK</w:t>
            </w:r>
          </w:p>
          <w:p w14:paraId="1E56EF2D"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rzecznik patentowy w latach 1978-97</w:t>
            </w:r>
          </w:p>
          <w:p w14:paraId="082249EC"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 xml:space="preserve">współzałożyciel Polskiej Izby Rzeczników Patentowych </w:t>
            </w:r>
          </w:p>
          <w:p w14:paraId="267A9B88"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uczestnik I Krajowego Zjazdu w dniu 28.08.1993 r.</w:t>
            </w:r>
          </w:p>
          <w:p w14:paraId="48AD7E1B"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Przewodniczący Głównej Komisji Rewizyjnej SIMP 28.06.2002-26.11.2022</w:t>
            </w:r>
          </w:p>
          <w:p w14:paraId="42CBB982"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 xml:space="preserve">Ekspert Urzędu Marszałkowskiego Województwa Wielkopolskiego </w:t>
            </w:r>
          </w:p>
          <w:p w14:paraId="1C98990E"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 xml:space="preserve">Wpisany przez Urząd Marszałkowski Województwa Wielkopolskiego na Listę Krajową Ekspertów </w:t>
            </w:r>
          </w:p>
          <w:p w14:paraId="253465FC"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 xml:space="preserve">Przewodniczący </w:t>
            </w:r>
            <w:proofErr w:type="spellStart"/>
            <w:r w:rsidRPr="001B6816">
              <w:rPr>
                <w:rFonts w:asciiTheme="minorHAnsi" w:eastAsia="Times New Roman" w:hAnsiTheme="minorHAnsi" w:cstheme="minorHAnsi"/>
                <w:bCs/>
                <w:color w:val="000000"/>
                <w:sz w:val="18"/>
                <w:szCs w:val="18"/>
              </w:rPr>
              <w:t>WKTiR</w:t>
            </w:r>
            <w:proofErr w:type="spellEnd"/>
            <w:r w:rsidRPr="001B6816">
              <w:rPr>
                <w:rFonts w:asciiTheme="minorHAnsi" w:eastAsia="Times New Roman" w:hAnsiTheme="minorHAnsi" w:cstheme="minorHAnsi"/>
                <w:bCs/>
                <w:color w:val="000000"/>
                <w:sz w:val="18"/>
                <w:szCs w:val="18"/>
              </w:rPr>
              <w:t xml:space="preserve"> w Poznaniu (1981-1985) </w:t>
            </w:r>
          </w:p>
          <w:p w14:paraId="06F0F4D1" w14:textId="77777777" w:rsidR="00AB5E62" w:rsidRPr="001B6816" w:rsidRDefault="00AB5E62" w:rsidP="00355D81">
            <w:pPr>
              <w:pStyle w:val="Akapitzlist"/>
              <w:numPr>
                <w:ilvl w:val="0"/>
                <w:numId w:val="58"/>
              </w:numPr>
              <w:ind w:left="317" w:hanging="283"/>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Rzeczoznawca SIMP</w:t>
            </w:r>
          </w:p>
          <w:p w14:paraId="5CFF1D91" w14:textId="77777777" w:rsidR="002560E0" w:rsidRPr="001B6816" w:rsidRDefault="002560E0" w:rsidP="002560E0">
            <w:pPr>
              <w:rPr>
                <w:rFonts w:asciiTheme="minorHAnsi" w:hAnsiTheme="minorHAnsi" w:cstheme="minorHAnsi"/>
                <w:bCs/>
                <w:color w:val="000000"/>
                <w:sz w:val="6"/>
                <w:szCs w:val="6"/>
              </w:rPr>
            </w:pPr>
          </w:p>
          <w:p w14:paraId="08D5C029" w14:textId="05E27DC2" w:rsidR="002560E0" w:rsidRPr="001B6816" w:rsidRDefault="002560E0" w:rsidP="002560E0">
            <w:pPr>
              <w:rPr>
                <w:rFonts w:asciiTheme="minorHAnsi" w:hAnsiTheme="minorHAnsi" w:cstheme="minorHAnsi"/>
                <w:bCs/>
                <w:color w:val="000000"/>
                <w:sz w:val="18"/>
                <w:szCs w:val="18"/>
              </w:rPr>
            </w:pPr>
            <w:r w:rsidRPr="001B6816">
              <w:rPr>
                <w:rFonts w:asciiTheme="minorHAnsi" w:hAnsiTheme="minorHAnsi" w:cstheme="minorHAnsi"/>
                <w:bCs/>
                <w:color w:val="000000"/>
                <w:sz w:val="18"/>
                <w:szCs w:val="18"/>
              </w:rPr>
              <w:t>Tadeusz REJMAN</w:t>
            </w:r>
          </w:p>
          <w:p w14:paraId="4F3702D6" w14:textId="77777777" w:rsidR="001B6816" w:rsidRDefault="002560E0" w:rsidP="002560E0">
            <w:pPr>
              <w:pStyle w:val="Akapitzlist"/>
              <w:numPr>
                <w:ilvl w:val="0"/>
                <w:numId w:val="49"/>
              </w:numPr>
              <w:ind w:left="297" w:hanging="297"/>
              <w:rPr>
                <w:rFonts w:asciiTheme="minorHAnsi" w:eastAsia="Times New Roman" w:hAnsiTheme="minorHAnsi" w:cstheme="minorHAnsi"/>
                <w:bCs/>
                <w:color w:val="000000"/>
                <w:sz w:val="18"/>
                <w:szCs w:val="18"/>
              </w:rPr>
            </w:pPr>
            <w:r w:rsidRPr="001B6816">
              <w:rPr>
                <w:rFonts w:eastAsia="Times New Roman" w:cstheme="minorHAnsi"/>
                <w:bCs/>
                <w:color w:val="000000"/>
                <w:sz w:val="18"/>
                <w:szCs w:val="18"/>
              </w:rPr>
              <w:t xml:space="preserve">rzecznik patentowy, </w:t>
            </w:r>
            <w:r w:rsidRPr="001B6816">
              <w:rPr>
                <w:rFonts w:asciiTheme="minorHAnsi" w:eastAsia="Times New Roman" w:hAnsiTheme="minorHAnsi" w:cstheme="minorHAnsi"/>
                <w:bCs/>
                <w:color w:val="000000"/>
                <w:sz w:val="18"/>
                <w:szCs w:val="18"/>
              </w:rPr>
              <w:t xml:space="preserve">współzałożyciel Polskiej Izby Rzeczników Patentowych, </w:t>
            </w:r>
          </w:p>
          <w:p w14:paraId="049C6A61" w14:textId="36AE13B6" w:rsidR="002560E0" w:rsidRPr="001B6816" w:rsidRDefault="002560E0" w:rsidP="002560E0">
            <w:pPr>
              <w:pStyle w:val="Akapitzlist"/>
              <w:numPr>
                <w:ilvl w:val="0"/>
                <w:numId w:val="49"/>
              </w:numPr>
              <w:ind w:left="297" w:hanging="297"/>
              <w:rPr>
                <w:rFonts w:asciiTheme="minorHAnsi" w:eastAsia="Times New Roman" w:hAnsiTheme="minorHAnsi" w:cstheme="minorHAnsi"/>
                <w:bCs/>
                <w:color w:val="000000"/>
                <w:sz w:val="18"/>
                <w:szCs w:val="18"/>
              </w:rPr>
            </w:pPr>
            <w:r w:rsidRPr="001B6816">
              <w:rPr>
                <w:rFonts w:asciiTheme="minorHAnsi" w:eastAsia="Times New Roman" w:hAnsiTheme="minorHAnsi" w:cstheme="minorHAnsi"/>
                <w:bCs/>
                <w:color w:val="000000"/>
                <w:sz w:val="18"/>
                <w:szCs w:val="18"/>
              </w:rPr>
              <w:t>uczestnik I Krajowego Zjazdu w dniu 28.08.1993 r.</w:t>
            </w:r>
          </w:p>
        </w:tc>
      </w:tr>
    </w:tbl>
    <w:p w14:paraId="6D50B6E1" w14:textId="77777777" w:rsidR="001B6816" w:rsidRDefault="001B6816" w:rsidP="00D44841">
      <w:pPr>
        <w:spacing w:after="0" w:line="240" w:lineRule="auto"/>
        <w:jc w:val="center"/>
        <w:rPr>
          <w:b/>
          <w:bCs/>
        </w:rPr>
      </w:pPr>
    </w:p>
    <w:p w14:paraId="156E0C82" w14:textId="49BA49CF" w:rsidR="00D44841" w:rsidRDefault="001B6816" w:rsidP="00D44841">
      <w:pPr>
        <w:spacing w:after="0" w:line="240" w:lineRule="auto"/>
        <w:jc w:val="center"/>
        <w:rPr>
          <w:b/>
          <w:bCs/>
        </w:rPr>
      </w:pPr>
      <w:r>
        <w:rPr>
          <w:b/>
          <w:bCs/>
          <w:noProof/>
          <w:lang w:eastAsia="pl-PL"/>
        </w:rPr>
        <w:drawing>
          <wp:anchor distT="0" distB="0" distL="114300" distR="114300" simplePos="0" relativeHeight="252321792" behindDoc="0" locked="0" layoutInCell="1" allowOverlap="1" wp14:anchorId="73D1FD3C" wp14:editId="0AAE6EE8">
            <wp:simplePos x="0" y="0"/>
            <wp:positionH relativeFrom="margin">
              <wp:align>right</wp:align>
            </wp:positionH>
            <wp:positionV relativeFrom="paragraph">
              <wp:posOffset>-610235</wp:posOffset>
            </wp:positionV>
            <wp:extent cx="6186805" cy="2078355"/>
            <wp:effectExtent l="0" t="0" r="4445" b="0"/>
            <wp:wrapNone/>
            <wp:docPr id="116278668" name="Obraz 116278668" descr="Obraz zawierający tekst, Czcionka, diagram,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8668" name="Obraz 116278668" descr="Obraz zawierający tekst, Czcionka, diagram, linia&#10;&#10;Opis wygenerowany automatyczni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86805" cy="2078355"/>
                    </a:xfrm>
                    <a:prstGeom prst="rect">
                      <a:avLst/>
                    </a:prstGeom>
                    <a:noFill/>
                    <a:ln>
                      <a:noFill/>
                    </a:ln>
                  </pic:spPr>
                </pic:pic>
              </a:graphicData>
            </a:graphic>
          </wp:anchor>
        </w:drawing>
      </w:r>
    </w:p>
    <w:p w14:paraId="62EEDE86" w14:textId="77777777" w:rsidR="001B6816" w:rsidRDefault="001B6816" w:rsidP="00D44841">
      <w:pPr>
        <w:spacing w:after="0" w:line="240" w:lineRule="auto"/>
        <w:jc w:val="center"/>
        <w:rPr>
          <w:b/>
          <w:bCs/>
        </w:rPr>
      </w:pPr>
    </w:p>
    <w:p w14:paraId="02AF8610" w14:textId="3920882F" w:rsidR="001B6816" w:rsidRDefault="001B6816" w:rsidP="00D44841">
      <w:pPr>
        <w:spacing w:after="0" w:line="240" w:lineRule="auto"/>
        <w:jc w:val="center"/>
        <w:rPr>
          <w:b/>
          <w:bCs/>
        </w:rPr>
      </w:pPr>
    </w:p>
    <w:p w14:paraId="57591274" w14:textId="3070BB81" w:rsidR="001B6816" w:rsidRDefault="001B6816" w:rsidP="00D44841">
      <w:pPr>
        <w:spacing w:after="0" w:line="240" w:lineRule="auto"/>
        <w:jc w:val="center"/>
        <w:rPr>
          <w:b/>
          <w:bCs/>
        </w:rPr>
      </w:pPr>
    </w:p>
    <w:p w14:paraId="7CE0890A" w14:textId="77777777" w:rsidR="001B6816" w:rsidRDefault="001B6816" w:rsidP="00D44841">
      <w:pPr>
        <w:spacing w:after="0" w:line="240" w:lineRule="auto"/>
        <w:jc w:val="center"/>
        <w:rPr>
          <w:b/>
          <w:bCs/>
        </w:rPr>
      </w:pPr>
    </w:p>
    <w:p w14:paraId="207EE31D" w14:textId="3E0C8397" w:rsidR="001B6816" w:rsidRDefault="001B6816" w:rsidP="00D44841">
      <w:pPr>
        <w:spacing w:after="0" w:line="240" w:lineRule="auto"/>
        <w:jc w:val="center"/>
        <w:rPr>
          <w:b/>
          <w:bCs/>
        </w:rPr>
      </w:pPr>
    </w:p>
    <w:p w14:paraId="06F2F39E" w14:textId="77777777" w:rsidR="001B6816" w:rsidRDefault="001B6816" w:rsidP="00D44841">
      <w:pPr>
        <w:spacing w:after="0" w:line="240" w:lineRule="auto"/>
        <w:jc w:val="center"/>
        <w:rPr>
          <w:b/>
          <w:bCs/>
        </w:rPr>
      </w:pPr>
    </w:p>
    <w:p w14:paraId="367DF784" w14:textId="252B9048" w:rsidR="001B6816" w:rsidRDefault="001B6816" w:rsidP="00D44841">
      <w:pPr>
        <w:spacing w:after="0" w:line="240" w:lineRule="auto"/>
        <w:jc w:val="center"/>
        <w:rPr>
          <w:b/>
          <w:bCs/>
        </w:rPr>
      </w:pPr>
    </w:p>
    <w:p w14:paraId="5B17587E" w14:textId="6EF667F4" w:rsidR="001B6816" w:rsidRPr="00EC4F25" w:rsidRDefault="001B6816" w:rsidP="00D44841">
      <w:pPr>
        <w:spacing w:after="0" w:line="240" w:lineRule="auto"/>
        <w:jc w:val="center"/>
        <w:rPr>
          <w:b/>
          <w:bCs/>
        </w:rPr>
      </w:pPr>
    </w:p>
    <w:p w14:paraId="39E29438" w14:textId="1A3A4D75" w:rsidR="00D44841" w:rsidRPr="00F00CA5" w:rsidRDefault="00D44841" w:rsidP="00D44841">
      <w:pPr>
        <w:spacing w:after="0" w:line="240" w:lineRule="auto"/>
        <w:ind w:firstLine="567"/>
        <w:jc w:val="both"/>
        <w:rPr>
          <w:rFonts w:ascii="Times New Roman" w:hAnsi="Times New Roman" w:cs="Times New Roman"/>
          <w:sz w:val="24"/>
          <w:szCs w:val="24"/>
        </w:rPr>
      </w:pPr>
      <w:r w:rsidRPr="00F00CA5">
        <w:rPr>
          <w:rFonts w:ascii="Times New Roman" w:hAnsi="Times New Roman" w:cs="Times New Roman"/>
          <w:sz w:val="24"/>
          <w:szCs w:val="24"/>
        </w:rPr>
        <w:t xml:space="preserve">Działając zgodnie z prawem i obowiązkiem, jaki stwarza </w:t>
      </w:r>
      <w:r w:rsidRPr="00F00CA5">
        <w:rPr>
          <w:rFonts w:ascii="Times New Roman" w:hAnsi="Times New Roman" w:cs="Times New Roman"/>
          <w:b/>
          <w:bCs/>
          <w:sz w:val="24"/>
          <w:szCs w:val="24"/>
        </w:rPr>
        <w:t>art. 63 Konstytucji Rzeczypospolitej Polskiej</w:t>
      </w:r>
      <w:r w:rsidRPr="00F00CA5">
        <w:rPr>
          <w:rFonts w:ascii="Times New Roman" w:hAnsi="Times New Roman" w:cs="Times New Roman"/>
          <w:sz w:val="24"/>
          <w:szCs w:val="24"/>
        </w:rPr>
        <w:t xml:space="preserve"> dotyczący prawa petycji (w każdej sytuacji, która wymaga usprawnienia), a także realizując </w:t>
      </w:r>
      <w:r w:rsidRPr="00F00CA5">
        <w:rPr>
          <w:rFonts w:ascii="Times New Roman" w:hAnsi="Times New Roman" w:cs="Times New Roman"/>
          <w:b/>
          <w:bCs/>
          <w:sz w:val="24"/>
          <w:szCs w:val="24"/>
        </w:rPr>
        <w:t xml:space="preserve">art. 221 </w:t>
      </w:r>
      <w:r w:rsidRPr="00F00CA5">
        <w:rPr>
          <w:rFonts w:ascii="Times New Roman" w:hAnsi="Times New Roman" w:cs="Times New Roman"/>
          <w:sz w:val="24"/>
          <w:szCs w:val="24"/>
        </w:rPr>
        <w:t xml:space="preserve">ustawy z dnia 14 czerwca 1960 r. </w:t>
      </w:r>
      <w:r w:rsidRPr="00F00CA5">
        <w:rPr>
          <w:rFonts w:ascii="Times New Roman" w:hAnsi="Times New Roman" w:cs="Times New Roman"/>
          <w:b/>
          <w:bCs/>
          <w:sz w:val="24"/>
          <w:szCs w:val="24"/>
        </w:rPr>
        <w:t>Kodeks postępowania administracyjnego</w:t>
      </w:r>
      <w:r w:rsidRPr="00F00CA5">
        <w:rPr>
          <w:rFonts w:ascii="Times New Roman" w:hAnsi="Times New Roman" w:cs="Times New Roman"/>
          <w:sz w:val="24"/>
          <w:szCs w:val="24"/>
        </w:rPr>
        <w:t xml:space="preserve"> (Dz. U. 2021 r. poz. 735 z późn. zm.), nazywanej dalej: ,,</w:t>
      </w:r>
      <w:r w:rsidRPr="00F00CA5">
        <w:rPr>
          <w:rFonts w:ascii="Times New Roman" w:hAnsi="Times New Roman" w:cs="Times New Roman"/>
          <w:i/>
          <w:iCs/>
          <w:sz w:val="24"/>
          <w:szCs w:val="24"/>
        </w:rPr>
        <w:t>k.p.a.”,</w:t>
      </w:r>
      <w:r w:rsidRPr="00F00CA5">
        <w:rPr>
          <w:rFonts w:ascii="Times New Roman" w:hAnsi="Times New Roman" w:cs="Times New Roman"/>
          <w:sz w:val="24"/>
          <w:szCs w:val="24"/>
        </w:rPr>
        <w:t xml:space="preserve"> zgodnie z którym: „</w:t>
      </w:r>
      <w:r w:rsidRPr="00F00CA5">
        <w:rPr>
          <w:rFonts w:ascii="Times New Roman" w:hAnsi="Times New Roman" w:cs="Times New Roman"/>
          <w:i/>
          <w:iCs/>
          <w:sz w:val="24"/>
          <w:szCs w:val="24"/>
          <w:u w:val="single"/>
        </w:rPr>
        <w:t>Zagwarantowane każdemu w Konstytucji Rzeczpospolitej Polskiej prawo składania skarg i wniosków do organów państwowych (...)"</w:t>
      </w:r>
      <w:r w:rsidRPr="00F00CA5">
        <w:rPr>
          <w:rFonts w:ascii="Times New Roman" w:hAnsi="Times New Roman" w:cs="Times New Roman"/>
          <w:sz w:val="24"/>
          <w:szCs w:val="24"/>
        </w:rPr>
        <w:t xml:space="preserve"> urzeczywistniane jest na zasadzie określonej w </w:t>
      </w:r>
      <w:r w:rsidRPr="00F00CA5">
        <w:rPr>
          <w:rFonts w:ascii="Times New Roman" w:hAnsi="Times New Roman" w:cs="Times New Roman"/>
          <w:b/>
          <w:bCs/>
          <w:sz w:val="24"/>
          <w:szCs w:val="24"/>
        </w:rPr>
        <w:t xml:space="preserve">art. 241 </w:t>
      </w:r>
      <w:r w:rsidRPr="00F00CA5">
        <w:rPr>
          <w:rFonts w:ascii="Times New Roman" w:hAnsi="Times New Roman" w:cs="Times New Roman"/>
          <w:sz w:val="24"/>
          <w:szCs w:val="24"/>
        </w:rPr>
        <w:t xml:space="preserve">k.p.a., w myśl którego wnioski do organów państwowych może składać każdy </w:t>
      </w:r>
      <w:r w:rsidRPr="00F00CA5">
        <w:rPr>
          <w:rFonts w:ascii="Times New Roman" w:hAnsi="Times New Roman" w:cs="Times New Roman"/>
          <w:i/>
          <w:iCs/>
          <w:sz w:val="24"/>
          <w:szCs w:val="24"/>
        </w:rPr>
        <w:t>„w interesie publicznym</w:t>
      </w:r>
      <w:r w:rsidRPr="00F00CA5">
        <w:rPr>
          <w:rFonts w:ascii="Times New Roman" w:hAnsi="Times New Roman" w:cs="Times New Roman"/>
          <w:sz w:val="24"/>
          <w:szCs w:val="24"/>
        </w:rPr>
        <w:t xml:space="preserve">”, jak i </w:t>
      </w:r>
      <w:r w:rsidRPr="00F00CA5">
        <w:rPr>
          <w:rFonts w:ascii="Times New Roman" w:hAnsi="Times New Roman" w:cs="Times New Roman"/>
          <w:i/>
          <w:iCs/>
          <w:sz w:val="24"/>
          <w:szCs w:val="24"/>
        </w:rPr>
        <w:t>„własnym</w:t>
      </w:r>
      <w:r w:rsidRPr="00F00CA5">
        <w:rPr>
          <w:rFonts w:ascii="Times New Roman" w:hAnsi="Times New Roman" w:cs="Times New Roman"/>
          <w:sz w:val="24"/>
          <w:szCs w:val="24"/>
        </w:rPr>
        <w:t xml:space="preserve">” - </w:t>
      </w:r>
      <w:r w:rsidRPr="00F00CA5">
        <w:rPr>
          <w:rFonts w:ascii="Times New Roman" w:hAnsi="Times New Roman" w:cs="Times New Roman"/>
          <w:b/>
          <w:bCs/>
          <w:sz w:val="24"/>
          <w:szCs w:val="24"/>
        </w:rPr>
        <w:t>zwracamy się z apelem o podjęcie działań życzliwych dla twórców wynalazków,</w:t>
      </w:r>
      <w:r w:rsidRPr="00F00CA5">
        <w:rPr>
          <w:rFonts w:ascii="Times New Roman" w:hAnsi="Times New Roman" w:cs="Times New Roman"/>
          <w:sz w:val="24"/>
          <w:szCs w:val="24"/>
        </w:rPr>
        <w:t xml:space="preserve"> dotyczących problemu, który nie powinien zaistnieć „</w:t>
      </w:r>
      <w:r w:rsidRPr="00F00CA5">
        <w:rPr>
          <w:rFonts w:ascii="Times New Roman" w:hAnsi="Times New Roman" w:cs="Times New Roman"/>
          <w:i/>
          <w:iCs/>
          <w:sz w:val="24"/>
          <w:szCs w:val="24"/>
        </w:rPr>
        <w:t>w demokratycznym państwie prawnym</w:t>
      </w:r>
      <w:r w:rsidRPr="00F00CA5">
        <w:rPr>
          <w:rFonts w:ascii="Times New Roman" w:hAnsi="Times New Roman" w:cs="Times New Roman"/>
          <w:sz w:val="24"/>
          <w:szCs w:val="24"/>
        </w:rPr>
        <w:t>” (art. 2 Konstytucji). Zbędna byłaby wówczas wykładnia przepisów prawnych, które winny być jasne, czytelne i oczywiste. Dlatego też prosimy o to, by - na podstawie art. 263 ust. 1 oraz w trybie art. 269 ust. 4 i 5 ustawy z 30 czerwca 2000 r. Prawo własności przemysłowej (Dz. U. 2021 r., poz. 324), dalej nazywanej „</w:t>
      </w:r>
      <w:r w:rsidRPr="00F00CA5">
        <w:rPr>
          <w:rFonts w:ascii="Times New Roman" w:hAnsi="Times New Roman" w:cs="Times New Roman"/>
          <w:i/>
          <w:iCs/>
          <w:sz w:val="24"/>
          <w:szCs w:val="24"/>
        </w:rPr>
        <w:t>p.w.p.”</w:t>
      </w:r>
      <w:r w:rsidRPr="00F00CA5">
        <w:rPr>
          <w:rFonts w:ascii="Times New Roman" w:hAnsi="Times New Roman" w:cs="Times New Roman"/>
          <w:sz w:val="24"/>
          <w:szCs w:val="24"/>
        </w:rPr>
        <w:t xml:space="preserve"> - zostały opracowane oraz podane do wiadomości publicznej </w:t>
      </w:r>
      <w:r w:rsidRPr="00F00CA5">
        <w:rPr>
          <w:rFonts w:ascii="Times New Roman" w:hAnsi="Times New Roman" w:cs="Times New Roman"/>
          <w:b/>
          <w:bCs/>
          <w:sz w:val="24"/>
          <w:szCs w:val="24"/>
        </w:rPr>
        <w:t>dyrektywy interpretacyjne ustalone przez Prezesa Urzędu Patentowego RP</w:t>
      </w:r>
      <w:r w:rsidRPr="00F00CA5">
        <w:rPr>
          <w:rFonts w:ascii="Times New Roman" w:hAnsi="Times New Roman" w:cs="Times New Roman"/>
          <w:sz w:val="24"/>
          <w:szCs w:val="24"/>
        </w:rPr>
        <w:t xml:space="preserve">, które oszczędzą czas i usprawnią pracę </w:t>
      </w:r>
      <w:r w:rsidRPr="00F00CA5">
        <w:rPr>
          <w:rFonts w:ascii="Times New Roman" w:hAnsi="Times New Roman" w:cs="Times New Roman"/>
          <w:b/>
          <w:bCs/>
          <w:sz w:val="24"/>
          <w:szCs w:val="24"/>
        </w:rPr>
        <w:t>Departamentu Prawnego i Orzecznictwa</w:t>
      </w:r>
      <w:r w:rsidRPr="00F00CA5">
        <w:rPr>
          <w:rFonts w:ascii="Times New Roman" w:hAnsi="Times New Roman" w:cs="Times New Roman"/>
          <w:sz w:val="24"/>
          <w:szCs w:val="24"/>
        </w:rPr>
        <w:t xml:space="preserve"> (i przeciążonych pracą ekspertów dokonujących wykładni przepisów prawnych w autonomicznych, zmultiplikowanych postępowaniach), wyjaśniające, że:</w:t>
      </w:r>
    </w:p>
    <w:p w14:paraId="445CFCA3" w14:textId="77777777" w:rsidR="00D44841" w:rsidRPr="00F00CA5" w:rsidRDefault="00D44841" w:rsidP="00D44841">
      <w:pPr>
        <w:spacing w:after="0" w:line="240" w:lineRule="auto"/>
        <w:ind w:firstLine="708"/>
        <w:jc w:val="both"/>
        <w:rPr>
          <w:rFonts w:ascii="Times New Roman" w:hAnsi="Times New Roman" w:cs="Times New Roman"/>
          <w:sz w:val="6"/>
          <w:szCs w:val="6"/>
        </w:rPr>
      </w:pPr>
    </w:p>
    <w:p w14:paraId="3E54E051" w14:textId="77777777" w:rsidR="00D44841" w:rsidRPr="00F00CA5" w:rsidRDefault="00D44841" w:rsidP="00D44841">
      <w:pPr>
        <w:pStyle w:val="Akapitzlist"/>
        <w:numPr>
          <w:ilvl w:val="0"/>
          <w:numId w:val="21"/>
        </w:numPr>
        <w:ind w:left="567" w:hanging="425"/>
        <w:contextualSpacing/>
        <w:jc w:val="both"/>
        <w:rPr>
          <w:rFonts w:ascii="Times New Roman" w:hAnsi="Times New Roman"/>
          <w:sz w:val="24"/>
          <w:szCs w:val="24"/>
        </w:rPr>
      </w:pPr>
      <w:r w:rsidRPr="00F00CA5">
        <w:rPr>
          <w:rFonts w:ascii="Times New Roman" w:hAnsi="Times New Roman"/>
          <w:sz w:val="24"/>
          <w:szCs w:val="24"/>
        </w:rPr>
        <w:t>zgodnie z art. 9 ustawy p.w.p. „</w:t>
      </w:r>
      <w:r w:rsidRPr="00F00CA5">
        <w:rPr>
          <w:rFonts w:ascii="Times New Roman" w:hAnsi="Times New Roman"/>
          <w:b/>
          <w:bCs/>
          <w:i/>
          <w:iCs/>
          <w:sz w:val="24"/>
          <w:szCs w:val="24"/>
        </w:rPr>
        <w:t xml:space="preserve">Przedstawiciele organizacji społecznych, do których zakresu działania należą sprawy popierania własności przemysłowej, </w:t>
      </w:r>
      <w:r w:rsidRPr="00F00CA5">
        <w:rPr>
          <w:rFonts w:ascii="Times New Roman" w:hAnsi="Times New Roman"/>
          <w:b/>
          <w:bCs/>
          <w:i/>
          <w:iCs/>
          <w:sz w:val="24"/>
          <w:szCs w:val="24"/>
          <w:u w:val="single"/>
        </w:rPr>
        <w:t>mogą</w:t>
      </w:r>
      <w:r w:rsidRPr="00F00CA5">
        <w:rPr>
          <w:rFonts w:ascii="Times New Roman" w:hAnsi="Times New Roman"/>
          <w:b/>
          <w:bCs/>
          <w:i/>
          <w:iCs/>
          <w:sz w:val="24"/>
          <w:szCs w:val="24"/>
        </w:rPr>
        <w:t xml:space="preserve"> zgodnie ze swoimi statutami </w:t>
      </w:r>
      <w:r w:rsidRPr="00F00CA5">
        <w:rPr>
          <w:rFonts w:ascii="Times New Roman" w:hAnsi="Times New Roman"/>
          <w:b/>
          <w:bCs/>
          <w:i/>
          <w:iCs/>
          <w:sz w:val="24"/>
          <w:szCs w:val="24"/>
          <w:u w:val="single"/>
        </w:rPr>
        <w:t>udzielać pomocy twórcom</w:t>
      </w:r>
      <w:r w:rsidRPr="00F00CA5">
        <w:rPr>
          <w:rFonts w:ascii="Times New Roman" w:hAnsi="Times New Roman"/>
          <w:b/>
          <w:bCs/>
          <w:i/>
          <w:iCs/>
          <w:sz w:val="24"/>
          <w:szCs w:val="24"/>
        </w:rPr>
        <w:t xml:space="preserve"> projektów wynalazczych i występować w ich interesie przed organami wymiaru sprawiedliwości oraz, z zastrzeżeniem art. 236, przed Urzędem Patentowym.</w:t>
      </w:r>
      <w:r w:rsidRPr="00F00CA5">
        <w:rPr>
          <w:rFonts w:ascii="Times New Roman" w:hAnsi="Times New Roman"/>
          <w:i/>
          <w:iCs/>
          <w:sz w:val="24"/>
          <w:szCs w:val="24"/>
        </w:rPr>
        <w:t>”</w:t>
      </w:r>
      <w:r w:rsidRPr="00F00CA5">
        <w:rPr>
          <w:rFonts w:ascii="Times New Roman" w:hAnsi="Times New Roman"/>
          <w:sz w:val="24"/>
          <w:szCs w:val="24"/>
        </w:rPr>
        <w:t xml:space="preserve"> - zatem </w:t>
      </w:r>
      <w:r w:rsidRPr="00F00CA5">
        <w:rPr>
          <w:rFonts w:ascii="Times New Roman" w:hAnsi="Times New Roman"/>
          <w:spacing w:val="50"/>
          <w:sz w:val="24"/>
          <w:szCs w:val="24"/>
        </w:rPr>
        <w:t xml:space="preserve">mogą występować w toku postępowań zmierzających do unieważnienia patentu </w:t>
      </w:r>
      <w:r w:rsidRPr="00F00CA5">
        <w:rPr>
          <w:rFonts w:ascii="Times New Roman" w:hAnsi="Times New Roman"/>
          <w:sz w:val="24"/>
          <w:szCs w:val="24"/>
        </w:rPr>
        <w:t xml:space="preserve">na wynalazek, aby udzielić pomocy jego twórcy, </w:t>
      </w:r>
    </w:p>
    <w:p w14:paraId="592E5ADE" w14:textId="77777777" w:rsidR="00D44841" w:rsidRPr="00F00CA5" w:rsidRDefault="00D44841" w:rsidP="00D44841">
      <w:pPr>
        <w:pStyle w:val="Akapitzlist"/>
        <w:ind w:left="567" w:hanging="425"/>
        <w:jc w:val="both"/>
        <w:rPr>
          <w:rFonts w:ascii="Times New Roman" w:hAnsi="Times New Roman"/>
          <w:sz w:val="6"/>
          <w:szCs w:val="6"/>
        </w:rPr>
      </w:pPr>
    </w:p>
    <w:p w14:paraId="6260CF83" w14:textId="77777777" w:rsidR="00D44841" w:rsidRPr="00F00CA5" w:rsidRDefault="00D44841" w:rsidP="00D44841">
      <w:pPr>
        <w:pStyle w:val="Akapitzlist"/>
        <w:numPr>
          <w:ilvl w:val="0"/>
          <w:numId w:val="21"/>
        </w:numPr>
        <w:ind w:left="567" w:hanging="425"/>
        <w:contextualSpacing/>
        <w:jc w:val="both"/>
        <w:rPr>
          <w:rFonts w:ascii="Times New Roman" w:hAnsi="Times New Roman"/>
          <w:sz w:val="24"/>
          <w:szCs w:val="24"/>
        </w:rPr>
      </w:pPr>
      <w:r w:rsidRPr="00F00CA5">
        <w:rPr>
          <w:rFonts w:ascii="Times New Roman" w:hAnsi="Times New Roman"/>
          <w:sz w:val="24"/>
          <w:szCs w:val="24"/>
        </w:rPr>
        <w:t>możliwości tej nie ogranicza art. 235 ust. 2 ustawy p.w.p. „</w:t>
      </w:r>
      <w:r w:rsidRPr="00F00CA5">
        <w:rPr>
          <w:rFonts w:ascii="Times New Roman" w:hAnsi="Times New Roman"/>
          <w:b/>
          <w:bCs/>
          <w:i/>
          <w:iCs/>
          <w:sz w:val="24"/>
          <w:szCs w:val="24"/>
        </w:rPr>
        <w:t>2. Stroną w postępowaniu przed Urzędem Patentowym w sprawie uzyskania patentu, prawa ochronnego albo prawa z rejestracji jest zgłaszający."</w:t>
      </w:r>
      <w:r w:rsidRPr="00F00CA5">
        <w:rPr>
          <w:rFonts w:ascii="Times New Roman" w:hAnsi="Times New Roman"/>
          <w:sz w:val="24"/>
          <w:szCs w:val="24"/>
        </w:rPr>
        <w:t xml:space="preserve">, gdyż przenoszenie tej regulacji na inne postępowania poza zgłoszeniowym -jest nieuprawnione, </w:t>
      </w:r>
    </w:p>
    <w:p w14:paraId="3705BEC4" w14:textId="77777777" w:rsidR="00D44841" w:rsidRPr="00F00CA5" w:rsidRDefault="00D44841" w:rsidP="00D44841">
      <w:pPr>
        <w:pStyle w:val="Akapitzlist"/>
        <w:ind w:left="567" w:hanging="425"/>
        <w:jc w:val="both"/>
        <w:rPr>
          <w:rFonts w:ascii="Times New Roman" w:hAnsi="Times New Roman"/>
          <w:sz w:val="6"/>
          <w:szCs w:val="6"/>
        </w:rPr>
      </w:pPr>
    </w:p>
    <w:p w14:paraId="72742770" w14:textId="77777777" w:rsidR="00D44841" w:rsidRPr="00F00CA5" w:rsidRDefault="00D44841" w:rsidP="00D44841">
      <w:pPr>
        <w:pStyle w:val="Akapitzlist"/>
        <w:numPr>
          <w:ilvl w:val="0"/>
          <w:numId w:val="21"/>
        </w:numPr>
        <w:ind w:left="567" w:hanging="425"/>
        <w:contextualSpacing/>
        <w:jc w:val="both"/>
        <w:rPr>
          <w:rFonts w:ascii="Times New Roman" w:hAnsi="Times New Roman"/>
          <w:b/>
          <w:bCs/>
          <w:i/>
          <w:iCs/>
          <w:sz w:val="24"/>
          <w:szCs w:val="24"/>
          <w:u w:val="single"/>
        </w:rPr>
      </w:pPr>
      <w:r w:rsidRPr="00F00CA5">
        <w:rPr>
          <w:rFonts w:ascii="Times New Roman" w:hAnsi="Times New Roman"/>
          <w:sz w:val="24"/>
          <w:szCs w:val="24"/>
        </w:rPr>
        <w:t xml:space="preserve">zastosowanie w tym przypadku ma reguła ogólna wynikająca z art. 28 k.p.a.: </w:t>
      </w:r>
      <w:r w:rsidRPr="00F00CA5">
        <w:rPr>
          <w:rFonts w:ascii="Times New Roman" w:hAnsi="Times New Roman"/>
          <w:b/>
          <w:bCs/>
          <w:i/>
          <w:iCs/>
          <w:sz w:val="24"/>
          <w:szCs w:val="24"/>
        </w:rPr>
        <w:t>„</w:t>
      </w:r>
      <w:r w:rsidRPr="00F00CA5">
        <w:rPr>
          <w:rFonts w:ascii="Times New Roman" w:hAnsi="Times New Roman"/>
          <w:b/>
          <w:bCs/>
          <w:i/>
          <w:iCs/>
          <w:sz w:val="24"/>
          <w:szCs w:val="24"/>
          <w:u w:val="single"/>
        </w:rPr>
        <w:t xml:space="preserve">Stroną jest każdy, czyjego interesu prawnego </w:t>
      </w:r>
      <w:r w:rsidRPr="00F00CA5">
        <w:rPr>
          <w:rFonts w:ascii="Times New Roman" w:hAnsi="Times New Roman"/>
          <w:b/>
          <w:bCs/>
          <w:i/>
          <w:iCs/>
          <w:sz w:val="24"/>
          <w:szCs w:val="24"/>
        </w:rPr>
        <w:t xml:space="preserve">lub obowiązku </w:t>
      </w:r>
      <w:r w:rsidRPr="00F00CA5">
        <w:rPr>
          <w:rFonts w:ascii="Times New Roman" w:hAnsi="Times New Roman"/>
          <w:b/>
          <w:bCs/>
          <w:i/>
          <w:iCs/>
          <w:sz w:val="24"/>
          <w:szCs w:val="24"/>
          <w:u w:val="single"/>
        </w:rPr>
        <w:t>dotyczy postępowanie</w:t>
      </w:r>
      <w:r w:rsidRPr="00F00CA5">
        <w:rPr>
          <w:rFonts w:ascii="Times New Roman" w:hAnsi="Times New Roman"/>
          <w:b/>
          <w:bCs/>
          <w:i/>
          <w:iCs/>
          <w:sz w:val="24"/>
          <w:szCs w:val="24"/>
        </w:rPr>
        <w:t xml:space="preserve"> albo kto żąda czynności organu ze względu na swój interes prawny lub obowiązek.”</w:t>
      </w:r>
      <w:r w:rsidRPr="00F00CA5">
        <w:rPr>
          <w:rFonts w:ascii="Times New Roman" w:hAnsi="Times New Roman"/>
          <w:sz w:val="24"/>
          <w:szCs w:val="24"/>
        </w:rPr>
        <w:t xml:space="preserve"> mająca zastosowanie w przypadku postępowań spornych rozpoznawanych przez Departament Prawny i Orzecznictwa zgodnie z art. 256 ust. 1 p.w.p.: </w:t>
      </w:r>
      <w:r w:rsidRPr="00F00CA5">
        <w:rPr>
          <w:rFonts w:ascii="Times New Roman" w:hAnsi="Times New Roman"/>
          <w:b/>
          <w:bCs/>
          <w:i/>
          <w:iCs/>
          <w:sz w:val="24"/>
          <w:szCs w:val="24"/>
        </w:rPr>
        <w:t xml:space="preserve">„1. Do postępowania spornego przed Urzędem Patentowym w sprawach nieuregulowanych w ustawie </w:t>
      </w:r>
      <w:r w:rsidRPr="00F00CA5">
        <w:rPr>
          <w:rFonts w:ascii="Times New Roman" w:hAnsi="Times New Roman"/>
          <w:b/>
          <w:bCs/>
          <w:i/>
          <w:iCs/>
          <w:sz w:val="24"/>
          <w:szCs w:val="24"/>
          <w:u w:val="single"/>
        </w:rPr>
        <w:t>stosuje się odpowiednio przepisy Kodeksu postępowania administracyjnego.”</w:t>
      </w:r>
    </w:p>
    <w:p w14:paraId="6D19E367" w14:textId="77777777" w:rsidR="00D44841" w:rsidRPr="00F00CA5" w:rsidRDefault="00D44841" w:rsidP="00D44841">
      <w:pPr>
        <w:pStyle w:val="Akapitzlist"/>
        <w:rPr>
          <w:rFonts w:ascii="Times New Roman" w:hAnsi="Times New Roman"/>
          <w:b/>
          <w:bCs/>
          <w:i/>
          <w:iCs/>
          <w:sz w:val="24"/>
          <w:szCs w:val="24"/>
          <w:u w:val="single"/>
        </w:rPr>
      </w:pPr>
    </w:p>
    <w:p w14:paraId="1535E008" w14:textId="77777777" w:rsidR="00D44841" w:rsidRPr="00F00CA5" w:rsidRDefault="00D44841" w:rsidP="00D44841">
      <w:pPr>
        <w:spacing w:after="0" w:line="240" w:lineRule="auto"/>
        <w:jc w:val="center"/>
        <w:rPr>
          <w:rFonts w:ascii="Times New Roman" w:hAnsi="Times New Roman" w:cs="Times New Roman"/>
        </w:rPr>
      </w:pPr>
      <w:r w:rsidRPr="00F00CA5">
        <w:rPr>
          <w:rFonts w:ascii="Times New Roman" w:hAnsi="Times New Roman" w:cs="Times New Roman"/>
        </w:rPr>
        <w:t>* * *</w:t>
      </w:r>
    </w:p>
    <w:p w14:paraId="4EE03EE3"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0BD97C36"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317ECCC1"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6881D73C"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582B11CE"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0756F317"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2DB8785F" w14:textId="77777777" w:rsidR="00D44841" w:rsidRPr="00F00CA5" w:rsidRDefault="00D44841" w:rsidP="00D44841">
      <w:pPr>
        <w:spacing w:after="0" w:line="240" w:lineRule="auto"/>
        <w:ind w:firstLine="708"/>
        <w:jc w:val="center"/>
        <w:rPr>
          <w:rFonts w:ascii="Times New Roman" w:hAnsi="Times New Roman" w:cs="Times New Roman"/>
          <w:sz w:val="2"/>
          <w:szCs w:val="2"/>
        </w:rPr>
      </w:pPr>
    </w:p>
    <w:p w14:paraId="18EEA523" w14:textId="77777777" w:rsidR="00D44841" w:rsidRPr="00F00CA5" w:rsidRDefault="00D44841" w:rsidP="00D44841">
      <w:pPr>
        <w:spacing w:after="0" w:line="240" w:lineRule="auto"/>
        <w:ind w:firstLine="567"/>
        <w:jc w:val="both"/>
        <w:rPr>
          <w:rFonts w:ascii="Times New Roman" w:hAnsi="Times New Roman" w:cs="Times New Roman"/>
          <w:sz w:val="24"/>
          <w:szCs w:val="24"/>
        </w:rPr>
      </w:pPr>
      <w:r w:rsidRPr="00F00CA5">
        <w:rPr>
          <w:rFonts w:ascii="Times New Roman" w:hAnsi="Times New Roman" w:cs="Times New Roman"/>
          <w:sz w:val="24"/>
          <w:szCs w:val="24"/>
        </w:rPr>
        <w:t>Zwracamy się z apelem, aby podjęte zostały opisane wyżej, pilnie potrzebne działania.</w:t>
      </w:r>
    </w:p>
    <w:p w14:paraId="1641F447" w14:textId="77777777" w:rsidR="00D44841" w:rsidRPr="00F00CA5" w:rsidRDefault="00D44841" w:rsidP="00D44841">
      <w:pPr>
        <w:spacing w:after="0" w:line="240" w:lineRule="auto"/>
        <w:ind w:firstLine="708"/>
        <w:jc w:val="both"/>
        <w:rPr>
          <w:rFonts w:ascii="Times New Roman" w:hAnsi="Times New Roman" w:cs="Times New Roman"/>
          <w:sz w:val="10"/>
          <w:szCs w:val="10"/>
        </w:rPr>
      </w:pPr>
    </w:p>
    <w:p w14:paraId="7B4502FC" w14:textId="77777777" w:rsidR="00D44841" w:rsidRPr="00F00CA5" w:rsidRDefault="00D44841" w:rsidP="00D44841">
      <w:pPr>
        <w:spacing w:after="0" w:line="240" w:lineRule="auto"/>
        <w:ind w:firstLine="567"/>
        <w:jc w:val="both"/>
        <w:rPr>
          <w:rFonts w:ascii="Times New Roman" w:hAnsi="Times New Roman" w:cs="Times New Roman"/>
          <w:sz w:val="24"/>
          <w:szCs w:val="24"/>
        </w:rPr>
      </w:pPr>
    </w:p>
    <w:p w14:paraId="21906A6B" w14:textId="77777777" w:rsidR="00D44841" w:rsidRPr="00F00CA5" w:rsidRDefault="00D44841" w:rsidP="00D44841">
      <w:pPr>
        <w:spacing w:after="0" w:line="240" w:lineRule="auto"/>
        <w:ind w:firstLine="567"/>
        <w:jc w:val="both"/>
        <w:rPr>
          <w:rFonts w:ascii="Times New Roman" w:hAnsi="Times New Roman" w:cs="Times New Roman"/>
        </w:rPr>
      </w:pPr>
      <w:r w:rsidRPr="00F00CA5">
        <w:rPr>
          <w:rFonts w:ascii="Times New Roman" w:hAnsi="Times New Roman" w:cs="Times New Roman"/>
          <w:sz w:val="24"/>
          <w:szCs w:val="24"/>
        </w:rPr>
        <w:t>Nadszedł czas, by proste i racjonalne działania wspierające polską gospodarkę zastąpiły frazesy, autokreację i puste deklaracje</w:t>
      </w:r>
      <w:r w:rsidRPr="00F00CA5">
        <w:rPr>
          <w:rFonts w:ascii="Times New Roman" w:hAnsi="Times New Roman" w:cs="Times New Roman"/>
        </w:rPr>
        <w:t>.</w:t>
      </w:r>
    </w:p>
    <w:p w14:paraId="3C4F61DD" w14:textId="77777777" w:rsidR="00D44841" w:rsidRPr="00F00CA5" w:rsidRDefault="00D44841" w:rsidP="00D44841">
      <w:pPr>
        <w:spacing w:after="0" w:line="240" w:lineRule="auto"/>
        <w:ind w:firstLine="708"/>
        <w:jc w:val="both"/>
        <w:rPr>
          <w:rFonts w:ascii="Times New Roman" w:hAnsi="Times New Roman" w:cs="Times New Roman"/>
          <w:sz w:val="10"/>
          <w:szCs w:val="10"/>
        </w:rPr>
      </w:pPr>
    </w:p>
    <w:p w14:paraId="4C6A30B4" w14:textId="7045F9BD" w:rsidR="00D44841" w:rsidRDefault="00D44841" w:rsidP="00D44841">
      <w:pPr>
        <w:spacing w:after="0" w:line="240" w:lineRule="auto"/>
        <w:ind w:firstLine="567"/>
        <w:jc w:val="both"/>
        <w:rPr>
          <w:rFonts w:ascii="Times New Roman" w:hAnsi="Times New Roman" w:cs="Times New Roman"/>
          <w:i/>
          <w:iCs/>
        </w:rPr>
      </w:pPr>
      <w:r w:rsidRPr="00F00CA5">
        <w:rPr>
          <w:rFonts w:ascii="Times New Roman" w:hAnsi="Times New Roman" w:cs="Times New Roman"/>
          <w:i/>
          <w:iCs/>
          <w:sz w:val="24"/>
          <w:szCs w:val="24"/>
        </w:rPr>
        <w:t>Pozostajemy z poważaniem i przekazujemy wyrazy szacunku wszystkim, którzy troszczą się o dobrą przyszłość polskiej gospodarki</w:t>
      </w:r>
      <w:r w:rsidRPr="00F00CA5">
        <w:rPr>
          <w:rFonts w:ascii="Times New Roman" w:hAnsi="Times New Roman" w:cs="Times New Roman"/>
          <w:i/>
          <w:iCs/>
        </w:rPr>
        <w:t xml:space="preserve"> </w:t>
      </w:r>
      <w:r w:rsidR="00695214">
        <w:rPr>
          <w:rFonts w:ascii="Times New Roman" w:hAnsi="Times New Roman" w:cs="Times New Roman"/>
          <w:i/>
          <w:iCs/>
        </w:rPr>
        <w:t>–</w:t>
      </w:r>
    </w:p>
    <w:p w14:paraId="383D649C" w14:textId="77777777" w:rsidR="00695214" w:rsidRDefault="00695214" w:rsidP="00D44841">
      <w:pPr>
        <w:spacing w:after="0" w:line="240" w:lineRule="auto"/>
        <w:ind w:firstLine="567"/>
        <w:jc w:val="both"/>
        <w:rPr>
          <w:rFonts w:ascii="Times New Roman" w:hAnsi="Times New Roman" w:cs="Times New Roman"/>
          <w:i/>
          <w:iCs/>
        </w:rPr>
      </w:pPr>
    </w:p>
    <w:p w14:paraId="32B1F491" w14:textId="77777777" w:rsidR="00695214" w:rsidRPr="00F00CA5" w:rsidRDefault="00695214" w:rsidP="00D44841">
      <w:pPr>
        <w:spacing w:after="0" w:line="240" w:lineRule="auto"/>
        <w:ind w:firstLine="567"/>
        <w:jc w:val="both"/>
        <w:rPr>
          <w:rFonts w:ascii="Times New Roman" w:hAnsi="Times New Roman" w:cs="Times New Roman"/>
          <w:i/>
          <w:iCs/>
        </w:rPr>
      </w:pPr>
    </w:p>
    <w:p w14:paraId="20DB45EE" w14:textId="77777777" w:rsidR="00D44841" w:rsidRDefault="00D44841" w:rsidP="00D44841">
      <w:pPr>
        <w:spacing w:after="0" w:line="240" w:lineRule="auto"/>
        <w:jc w:val="both"/>
        <w:rPr>
          <w:i/>
          <w:iCs/>
        </w:rPr>
      </w:pPr>
      <w:r>
        <w:rPr>
          <w:i/>
          <w:iCs/>
          <w:noProof/>
          <w:lang w:eastAsia="pl-PL"/>
        </w:rPr>
        <w:drawing>
          <wp:inline distT="0" distB="0" distL="0" distR="0" wp14:anchorId="6EB1D067" wp14:editId="4F80158E">
            <wp:extent cx="6186805" cy="4227830"/>
            <wp:effectExtent l="0" t="0" r="4445" b="1270"/>
            <wp:docPr id="878967059" name="Obraz 878967059" descr="Obraz zawierający tekst, Czcionka, zrzut ekranu, dokumen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67059" name="Obraz 878967059" descr="Obraz zawierający tekst, Czcionka, zrzut ekranu, dokument&#10;&#10;Opis wygenerowany automatyczni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86805" cy="4227830"/>
                    </a:xfrm>
                    <a:prstGeom prst="rect">
                      <a:avLst/>
                    </a:prstGeom>
                    <a:noFill/>
                    <a:ln>
                      <a:noFill/>
                    </a:ln>
                  </pic:spPr>
                </pic:pic>
              </a:graphicData>
            </a:graphic>
          </wp:inline>
        </w:drawing>
      </w:r>
    </w:p>
    <w:p w14:paraId="24045B69" w14:textId="77777777" w:rsidR="00104FED" w:rsidRDefault="00104FED" w:rsidP="00D44841">
      <w:pPr>
        <w:spacing w:after="0" w:line="240" w:lineRule="auto"/>
        <w:jc w:val="both"/>
        <w:rPr>
          <w:b/>
          <w:bCs/>
          <w:sz w:val="26"/>
          <w:szCs w:val="26"/>
          <w:lang w:val="en-GB"/>
        </w:rPr>
      </w:pPr>
    </w:p>
    <w:p w14:paraId="17167B74" w14:textId="3698EE8D" w:rsidR="00D44841" w:rsidRDefault="000420EF" w:rsidP="00D44841">
      <w:pPr>
        <w:spacing w:after="0" w:line="240" w:lineRule="auto"/>
        <w:jc w:val="both"/>
        <w:rPr>
          <w:b/>
          <w:bCs/>
          <w:sz w:val="26"/>
          <w:szCs w:val="26"/>
          <w:lang w:val="en-GB"/>
        </w:rPr>
      </w:pPr>
      <w:r w:rsidRPr="000420EF">
        <w:rPr>
          <w:b/>
          <w:bCs/>
          <w:noProof/>
          <w:sz w:val="26"/>
          <w:szCs w:val="26"/>
          <w:lang w:val="en-GB"/>
        </w:rPr>
        <w:drawing>
          <wp:anchor distT="0" distB="0" distL="114300" distR="114300" simplePos="0" relativeHeight="252316672" behindDoc="0" locked="0" layoutInCell="1" allowOverlap="1" wp14:anchorId="6A9F979A" wp14:editId="061E4D43">
            <wp:simplePos x="0" y="0"/>
            <wp:positionH relativeFrom="column">
              <wp:posOffset>3077155</wp:posOffset>
            </wp:positionH>
            <wp:positionV relativeFrom="paragraph">
              <wp:posOffset>40308</wp:posOffset>
            </wp:positionV>
            <wp:extent cx="409632" cy="152421"/>
            <wp:effectExtent l="0" t="0" r="9525" b="0"/>
            <wp:wrapNone/>
            <wp:docPr id="17400095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09523" name=""/>
                    <pic:cNvPicPr/>
                  </pic:nvPicPr>
                  <pic:blipFill>
                    <a:blip r:embed="rId74">
                      <a:extLst>
                        <a:ext uri="{28A0092B-C50C-407E-A947-70E740481C1C}">
                          <a14:useLocalDpi xmlns:a14="http://schemas.microsoft.com/office/drawing/2010/main" val="0"/>
                        </a:ext>
                      </a:extLst>
                    </a:blip>
                    <a:stretch>
                      <a:fillRect/>
                    </a:stretch>
                  </pic:blipFill>
                  <pic:spPr>
                    <a:xfrm>
                      <a:off x="0" y="0"/>
                      <a:ext cx="409632" cy="152421"/>
                    </a:xfrm>
                    <a:prstGeom prst="rect">
                      <a:avLst/>
                    </a:prstGeom>
                  </pic:spPr>
                </pic:pic>
              </a:graphicData>
            </a:graphic>
          </wp:anchor>
        </w:drawing>
      </w:r>
    </w:p>
    <w:p w14:paraId="525CDEF2" w14:textId="77777777" w:rsidR="00695214" w:rsidRDefault="00695214" w:rsidP="00D44841">
      <w:pPr>
        <w:spacing w:after="0" w:line="240" w:lineRule="auto"/>
        <w:jc w:val="both"/>
        <w:rPr>
          <w:b/>
          <w:bCs/>
          <w:sz w:val="24"/>
          <w:szCs w:val="24"/>
        </w:rPr>
      </w:pPr>
    </w:p>
    <w:p w14:paraId="6B57EB0D" w14:textId="47698826" w:rsidR="00D44841" w:rsidRDefault="00D44841" w:rsidP="00D44841">
      <w:pPr>
        <w:spacing w:after="0" w:line="240" w:lineRule="auto"/>
        <w:jc w:val="both"/>
        <w:rPr>
          <w:b/>
          <w:bCs/>
          <w:kern w:val="0"/>
          <w:sz w:val="24"/>
          <w:szCs w:val="24"/>
        </w:rPr>
      </w:pPr>
      <w:r w:rsidRPr="00D44841">
        <w:rPr>
          <w:b/>
          <w:bCs/>
          <w:sz w:val="24"/>
          <w:szCs w:val="24"/>
        </w:rPr>
        <w:t>Uwaga Redakcji:</w:t>
      </w:r>
    </w:p>
    <w:p w14:paraId="681A9BA7" w14:textId="2AC470A8" w:rsidR="00C93B48" w:rsidRPr="000420EF" w:rsidRDefault="00C93B48" w:rsidP="00D44841">
      <w:pPr>
        <w:spacing w:after="0" w:line="240" w:lineRule="auto"/>
        <w:jc w:val="both"/>
        <w:rPr>
          <w:b/>
          <w:bCs/>
          <w:sz w:val="10"/>
          <w:szCs w:val="10"/>
        </w:rPr>
      </w:pPr>
    </w:p>
    <w:p w14:paraId="100F2CC2" w14:textId="77777777" w:rsidR="00BC4CF1" w:rsidRDefault="00456D32" w:rsidP="00456D32">
      <w:pPr>
        <w:spacing w:after="0" w:line="240" w:lineRule="auto"/>
        <w:jc w:val="both"/>
        <w:rPr>
          <w:kern w:val="0"/>
          <w:sz w:val="24"/>
          <w:szCs w:val="24"/>
        </w:rPr>
      </w:pPr>
      <w:r w:rsidRPr="00F57A2D">
        <w:rPr>
          <w:kern w:val="0"/>
          <w:sz w:val="24"/>
          <w:szCs w:val="24"/>
        </w:rPr>
        <w:t>Czy uzasadni</w:t>
      </w:r>
      <w:r w:rsidR="00BC4CF1">
        <w:rPr>
          <w:kern w:val="0"/>
          <w:sz w:val="24"/>
          <w:szCs w:val="24"/>
        </w:rPr>
        <w:t>o</w:t>
      </w:r>
      <w:r w:rsidRPr="00F57A2D">
        <w:rPr>
          <w:kern w:val="0"/>
          <w:sz w:val="24"/>
          <w:szCs w:val="24"/>
        </w:rPr>
        <w:t xml:space="preserve">na jest </w:t>
      </w:r>
      <w:r w:rsidR="00BC4CF1" w:rsidRPr="00F57A2D">
        <w:rPr>
          <w:kern w:val="0"/>
          <w:sz w:val="24"/>
          <w:szCs w:val="24"/>
        </w:rPr>
        <w:t>różnica</w:t>
      </w:r>
      <w:r w:rsidRPr="00F57A2D">
        <w:rPr>
          <w:kern w:val="0"/>
          <w:sz w:val="24"/>
          <w:szCs w:val="24"/>
        </w:rPr>
        <w:t xml:space="preserve"> mi</w:t>
      </w:r>
      <w:r w:rsidR="00BC4CF1">
        <w:rPr>
          <w:kern w:val="0"/>
          <w:sz w:val="24"/>
          <w:szCs w:val="24"/>
        </w:rPr>
        <w:t>ę</w:t>
      </w:r>
      <w:r w:rsidRPr="00F57A2D">
        <w:rPr>
          <w:kern w:val="0"/>
          <w:sz w:val="24"/>
          <w:szCs w:val="24"/>
        </w:rPr>
        <w:t>dzy</w:t>
      </w:r>
      <w:r w:rsidR="00BC4CF1">
        <w:rPr>
          <w:kern w:val="0"/>
          <w:sz w:val="24"/>
          <w:szCs w:val="24"/>
        </w:rPr>
        <w:t>:</w:t>
      </w:r>
    </w:p>
    <w:p w14:paraId="00276676" w14:textId="77777777" w:rsidR="00970C39" w:rsidRPr="00970C39" w:rsidRDefault="00970C39" w:rsidP="00456D32">
      <w:pPr>
        <w:spacing w:after="0" w:line="240" w:lineRule="auto"/>
        <w:jc w:val="both"/>
        <w:rPr>
          <w:kern w:val="0"/>
          <w:sz w:val="10"/>
          <w:szCs w:val="10"/>
        </w:rPr>
      </w:pPr>
    </w:p>
    <w:p w14:paraId="65FD056E" w14:textId="75A118A3" w:rsidR="00BC4CF1" w:rsidRDefault="00BC4CF1" w:rsidP="00456D32">
      <w:pPr>
        <w:spacing w:after="0" w:line="240" w:lineRule="auto"/>
        <w:jc w:val="both"/>
        <w:rPr>
          <w:kern w:val="0"/>
          <w:sz w:val="24"/>
          <w:szCs w:val="24"/>
        </w:rPr>
      </w:pPr>
      <w:r w:rsidRPr="00BC4CF1">
        <w:rPr>
          <w:b/>
          <w:bCs/>
          <w:kern w:val="0"/>
          <w:sz w:val="24"/>
          <w:szCs w:val="24"/>
        </w:rPr>
        <w:t>art.</w:t>
      </w:r>
      <w:r w:rsidR="00456D32" w:rsidRPr="00BC4CF1">
        <w:rPr>
          <w:b/>
          <w:bCs/>
          <w:kern w:val="0"/>
          <w:sz w:val="24"/>
          <w:szCs w:val="24"/>
        </w:rPr>
        <w:t xml:space="preserve"> 61 </w:t>
      </w:r>
      <w:r w:rsidR="00970C39" w:rsidRPr="00970C39">
        <w:rPr>
          <w:kern w:val="0"/>
          <w:sz w:val="24"/>
          <w:szCs w:val="24"/>
        </w:rPr>
        <w:t>ustawy</w:t>
      </w:r>
      <w:r w:rsidR="00970C39">
        <w:rPr>
          <w:b/>
          <w:bCs/>
          <w:kern w:val="0"/>
          <w:sz w:val="24"/>
          <w:szCs w:val="24"/>
        </w:rPr>
        <w:t xml:space="preserve"> </w:t>
      </w:r>
      <w:r w:rsidRPr="00BC4CF1">
        <w:rPr>
          <w:b/>
          <w:bCs/>
          <w:kern w:val="0"/>
          <w:sz w:val="24"/>
          <w:szCs w:val="24"/>
        </w:rPr>
        <w:t>Kodeks postępowania cywilnego</w:t>
      </w:r>
      <w:r w:rsidR="00970C39">
        <w:rPr>
          <w:kern w:val="0"/>
          <w:sz w:val="24"/>
          <w:szCs w:val="24"/>
        </w:rPr>
        <w:t>:</w:t>
      </w:r>
      <w:r>
        <w:rPr>
          <w:kern w:val="0"/>
          <w:sz w:val="24"/>
          <w:szCs w:val="24"/>
        </w:rPr>
        <w:t xml:space="preserve"> </w:t>
      </w:r>
    </w:p>
    <w:p w14:paraId="4ECEDE08" w14:textId="77777777" w:rsidR="003A75DE" w:rsidRPr="00970C39" w:rsidRDefault="003A75DE" w:rsidP="003A75DE">
      <w:pPr>
        <w:spacing w:after="0" w:line="240" w:lineRule="auto"/>
        <w:jc w:val="both"/>
        <w:rPr>
          <w:kern w:val="0"/>
          <w:sz w:val="10"/>
          <w:szCs w:val="10"/>
        </w:rPr>
      </w:pPr>
    </w:p>
    <w:p w14:paraId="7128B6DD" w14:textId="77777777" w:rsidR="003A75DE" w:rsidRPr="00970C39" w:rsidRDefault="003A75DE" w:rsidP="003A75DE">
      <w:pPr>
        <w:tabs>
          <w:tab w:val="left" w:pos="567"/>
        </w:tabs>
        <w:spacing w:after="0" w:line="240" w:lineRule="auto"/>
        <w:ind w:left="567"/>
        <w:jc w:val="both"/>
        <w:rPr>
          <w:rFonts w:ascii="Noto Serif" w:hAnsi="Noto Serif" w:cs="Noto Serif"/>
          <w:b/>
          <w:bCs/>
          <w:kern w:val="0"/>
          <w:sz w:val="18"/>
          <w:szCs w:val="18"/>
        </w:rPr>
      </w:pPr>
      <w:r w:rsidRPr="00970C39">
        <w:rPr>
          <w:rFonts w:ascii="Noto Serif" w:hAnsi="Noto Serif" w:cs="Noto Serif"/>
          <w:b/>
          <w:bCs/>
          <w:kern w:val="0"/>
          <w:sz w:val="18"/>
          <w:szCs w:val="18"/>
        </w:rPr>
        <w:t>Art. 61 [Zakres działania]</w:t>
      </w:r>
    </w:p>
    <w:p w14:paraId="41FC33F2"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 1.Organizacje pozarządowe w zakresie swoich zadań statutowych mogą, za zgodą osoby fizycznej wyrażoną na piśmie, wytaczać powództwa na jej rzecz w sprawach o:</w:t>
      </w:r>
    </w:p>
    <w:p w14:paraId="0361A7E7"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1) alimenty;</w:t>
      </w:r>
    </w:p>
    <w:p w14:paraId="54730C5A"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2) ochronę środowiska;</w:t>
      </w:r>
    </w:p>
    <w:p w14:paraId="5CADC4D1"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3) ochronę konsumentów;</w:t>
      </w:r>
    </w:p>
    <w:p w14:paraId="116463E4"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4) ochronę praw własności przemysłowej;</w:t>
      </w:r>
    </w:p>
    <w:p w14:paraId="5358CCC3"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5) ochronę równości oraz niedyskryminacji przez bezpodstawne bezpośrednie lub pośrednie zróżnicowanie praw i obowiązków obywateli.</w:t>
      </w:r>
    </w:p>
    <w:p w14:paraId="10B431C1"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 2. W sprawach wymienionych w § 1 organizacje pozarządowe w zakresie swoich zadań statutowych mogą, za zgodą osoby fizycznej wyrażoną na piśmie, przystąpić do niej w toczącym się postępowaniu.</w:t>
      </w:r>
    </w:p>
    <w:p w14:paraId="6BE57594" w14:textId="77777777" w:rsidR="003A75DE" w:rsidRPr="003A75DE"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lastRenderedPageBreak/>
        <w:t>§ 3. Za zgodą przedsiębiorcy, wyrażoną na piśmie, organizacja pozarządowa, której jest członkiem, może na jego rzecz wytoczyć powództwo lub przystąpić do niego w toczącym się postępowaniu związanym z prowadzoną przez niego działalnością gospodarczą.</w:t>
      </w:r>
    </w:p>
    <w:p w14:paraId="6DA8572A" w14:textId="5CDC9F02" w:rsidR="00BC4CF1" w:rsidRDefault="003A75DE" w:rsidP="003A75DE">
      <w:pPr>
        <w:tabs>
          <w:tab w:val="left" w:pos="567"/>
        </w:tabs>
        <w:spacing w:after="0" w:line="240" w:lineRule="auto"/>
        <w:ind w:left="567"/>
        <w:jc w:val="both"/>
        <w:rPr>
          <w:rFonts w:ascii="Noto Serif" w:hAnsi="Noto Serif" w:cs="Noto Serif"/>
          <w:kern w:val="0"/>
          <w:sz w:val="18"/>
          <w:szCs w:val="18"/>
        </w:rPr>
      </w:pPr>
      <w:r w:rsidRPr="003A75DE">
        <w:rPr>
          <w:rFonts w:ascii="Noto Serif" w:hAnsi="Noto Serif" w:cs="Noto Serif"/>
          <w:kern w:val="0"/>
          <w:sz w:val="18"/>
          <w:szCs w:val="18"/>
        </w:rPr>
        <w:t>§ 4. Do pozwu lub pisma obejmującego przystąpienie organizacja pozarządowa dołącza wyrażoną na piśmie zgodę osoby fizycznej.</w:t>
      </w:r>
    </w:p>
    <w:p w14:paraId="4DE25233" w14:textId="77777777" w:rsidR="00970C39" w:rsidRPr="00970C39" w:rsidRDefault="00970C39" w:rsidP="003A75DE">
      <w:pPr>
        <w:tabs>
          <w:tab w:val="left" w:pos="567"/>
        </w:tabs>
        <w:spacing w:after="0" w:line="240" w:lineRule="auto"/>
        <w:ind w:left="567"/>
        <w:jc w:val="both"/>
        <w:rPr>
          <w:rFonts w:ascii="Noto Serif" w:hAnsi="Noto Serif" w:cs="Noto Serif"/>
          <w:kern w:val="0"/>
          <w:sz w:val="10"/>
          <w:szCs w:val="10"/>
        </w:rPr>
      </w:pPr>
    </w:p>
    <w:p w14:paraId="246117D1" w14:textId="403B0D37" w:rsidR="00BC4CF1" w:rsidRPr="00970C39" w:rsidRDefault="00456D32" w:rsidP="00456D32">
      <w:pPr>
        <w:spacing w:after="0" w:line="240" w:lineRule="auto"/>
        <w:jc w:val="both"/>
        <w:rPr>
          <w:kern w:val="0"/>
          <w:sz w:val="24"/>
          <w:szCs w:val="24"/>
        </w:rPr>
      </w:pPr>
      <w:r w:rsidRPr="00BC4CF1">
        <w:rPr>
          <w:kern w:val="0"/>
          <w:sz w:val="24"/>
          <w:szCs w:val="24"/>
        </w:rPr>
        <w:t xml:space="preserve">a </w:t>
      </w:r>
      <w:r w:rsidRPr="00BC4CF1">
        <w:rPr>
          <w:b/>
          <w:bCs/>
          <w:kern w:val="0"/>
          <w:sz w:val="24"/>
          <w:szCs w:val="24"/>
        </w:rPr>
        <w:t xml:space="preserve">art. 9 </w:t>
      </w:r>
      <w:r w:rsidR="00970C39" w:rsidRPr="00970C39">
        <w:rPr>
          <w:kern w:val="0"/>
          <w:sz w:val="24"/>
          <w:szCs w:val="24"/>
        </w:rPr>
        <w:t>ustawy</w:t>
      </w:r>
      <w:r w:rsidR="00970C39">
        <w:rPr>
          <w:b/>
          <w:bCs/>
          <w:kern w:val="0"/>
          <w:sz w:val="24"/>
          <w:szCs w:val="24"/>
        </w:rPr>
        <w:t xml:space="preserve"> </w:t>
      </w:r>
      <w:r w:rsidRPr="00BC4CF1">
        <w:rPr>
          <w:b/>
          <w:bCs/>
          <w:kern w:val="0"/>
          <w:sz w:val="24"/>
          <w:szCs w:val="24"/>
        </w:rPr>
        <w:t>P</w:t>
      </w:r>
      <w:r w:rsidR="00BC4CF1" w:rsidRPr="00BC4CF1">
        <w:rPr>
          <w:b/>
          <w:bCs/>
          <w:kern w:val="0"/>
          <w:sz w:val="24"/>
          <w:szCs w:val="24"/>
        </w:rPr>
        <w:t>rawo własności przemysłowej</w:t>
      </w:r>
      <w:r w:rsidR="00970C39">
        <w:rPr>
          <w:kern w:val="0"/>
          <w:sz w:val="24"/>
          <w:szCs w:val="24"/>
        </w:rPr>
        <w:t>:</w:t>
      </w:r>
    </w:p>
    <w:p w14:paraId="6F102768" w14:textId="69BD245D" w:rsidR="00BC4CF1" w:rsidRPr="00970C39" w:rsidRDefault="00970C39" w:rsidP="00970C39">
      <w:pPr>
        <w:spacing w:after="0" w:line="240" w:lineRule="auto"/>
        <w:ind w:left="567"/>
        <w:jc w:val="both"/>
        <w:rPr>
          <w:rFonts w:ascii="Noto Serif" w:hAnsi="Noto Serif" w:cs="Noto Serif"/>
          <w:color w:val="333333"/>
          <w:sz w:val="18"/>
          <w:szCs w:val="18"/>
          <w:shd w:val="clear" w:color="auto" w:fill="FFFFFF"/>
        </w:rPr>
      </w:pPr>
      <w:r w:rsidRPr="00970C39">
        <w:rPr>
          <w:rFonts w:ascii="Noto Serif" w:hAnsi="Noto Serif" w:cs="Noto Serif"/>
          <w:b/>
          <w:bCs/>
          <w:color w:val="333333"/>
          <w:sz w:val="10"/>
          <w:szCs w:val="10"/>
          <w:shd w:val="clear" w:color="auto" w:fill="FFFFFF"/>
        </w:rPr>
        <w:br/>
      </w:r>
      <w:r w:rsidRPr="00970C39">
        <w:rPr>
          <w:rStyle w:val="articletitle"/>
          <w:rFonts w:ascii="Noto Serif" w:hAnsi="Noto Serif" w:cs="Noto Serif"/>
          <w:b/>
          <w:bCs/>
          <w:color w:val="333333"/>
          <w:sz w:val="18"/>
          <w:szCs w:val="18"/>
          <w:shd w:val="clear" w:color="auto" w:fill="FFFFFF"/>
        </w:rPr>
        <w:t>Art. 9 [Organizacje społeczne] </w:t>
      </w:r>
      <w:r w:rsidRPr="00970C39">
        <w:rPr>
          <w:rFonts w:ascii="Noto Serif" w:hAnsi="Noto Serif" w:cs="Noto Serif"/>
          <w:color w:val="333333"/>
          <w:sz w:val="18"/>
          <w:szCs w:val="18"/>
          <w:shd w:val="clear" w:color="auto" w:fill="FFFFFF"/>
        </w:rPr>
        <w:t>Przedstawiciele organizacji społecznych, do których zakresu działania należą sprawy popierania własności przemysłowej, mogą zgodnie ze swoimi statutami udzielać pomocy twórcom projektów wynalazczych i występować w ich interesie przed organami wymiaru sprawiedliwości oraz, z zastrzeżeniem </w:t>
      </w:r>
      <w:hyperlink r:id="rId82" w:history="1">
        <w:r w:rsidRPr="00970C39">
          <w:rPr>
            <w:rStyle w:val="Hipercze"/>
            <w:rFonts w:ascii="Noto Serif" w:hAnsi="Noto Serif" w:cs="Noto Serif"/>
            <w:color w:val="CC0000"/>
            <w:sz w:val="18"/>
            <w:szCs w:val="18"/>
            <w:shd w:val="clear" w:color="auto" w:fill="FFFFFF"/>
          </w:rPr>
          <w:t>art. 236</w:t>
        </w:r>
      </w:hyperlink>
      <w:r w:rsidRPr="00970C39">
        <w:rPr>
          <w:rFonts w:ascii="Noto Serif" w:hAnsi="Noto Serif" w:cs="Noto Serif"/>
          <w:color w:val="333333"/>
          <w:sz w:val="18"/>
          <w:szCs w:val="18"/>
          <w:shd w:val="clear" w:color="auto" w:fill="FFFFFF"/>
        </w:rPr>
        <w:t>, przed Urzędem Patentowym.</w:t>
      </w:r>
    </w:p>
    <w:p w14:paraId="2592171F" w14:textId="77777777" w:rsidR="00970C39" w:rsidRDefault="00970C39" w:rsidP="00456D32">
      <w:pPr>
        <w:spacing w:after="0" w:line="240" w:lineRule="auto"/>
        <w:jc w:val="both"/>
        <w:rPr>
          <w:kern w:val="0"/>
          <w:sz w:val="24"/>
          <w:szCs w:val="24"/>
        </w:rPr>
      </w:pPr>
    </w:p>
    <w:p w14:paraId="40FAC31B" w14:textId="77777777" w:rsidR="001B6816" w:rsidRDefault="001B6816" w:rsidP="001B6816">
      <w:pPr>
        <w:spacing w:after="0" w:line="240" w:lineRule="auto"/>
        <w:jc w:val="center"/>
        <w:rPr>
          <w:b/>
          <w:bCs/>
          <w:sz w:val="24"/>
          <w:szCs w:val="24"/>
        </w:rPr>
      </w:pPr>
      <w:r w:rsidRPr="000420EF">
        <w:rPr>
          <w:b/>
          <w:bCs/>
          <w:noProof/>
          <w:sz w:val="24"/>
          <w:szCs w:val="24"/>
        </w:rPr>
        <w:drawing>
          <wp:inline distT="0" distB="0" distL="0" distR="0" wp14:anchorId="180C87DD" wp14:editId="33C4F497">
            <wp:extent cx="409632" cy="152421"/>
            <wp:effectExtent l="0" t="0" r="9525" b="0"/>
            <wp:docPr id="34525177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153605" name=""/>
                    <pic:cNvPicPr/>
                  </pic:nvPicPr>
                  <pic:blipFill>
                    <a:blip r:embed="rId74"/>
                    <a:stretch>
                      <a:fillRect/>
                    </a:stretch>
                  </pic:blipFill>
                  <pic:spPr>
                    <a:xfrm>
                      <a:off x="0" y="0"/>
                      <a:ext cx="409632" cy="152421"/>
                    </a:xfrm>
                    <a:prstGeom prst="rect">
                      <a:avLst/>
                    </a:prstGeom>
                  </pic:spPr>
                </pic:pic>
              </a:graphicData>
            </a:graphic>
          </wp:inline>
        </w:drawing>
      </w:r>
    </w:p>
    <w:p w14:paraId="6F1BC975" w14:textId="77777777" w:rsidR="001B6816" w:rsidRPr="00BF4D1E" w:rsidRDefault="001B6816" w:rsidP="001B6816">
      <w:pPr>
        <w:spacing w:after="0" w:line="240" w:lineRule="auto"/>
        <w:rPr>
          <w:b/>
          <w:bCs/>
          <w:kern w:val="0"/>
          <w:sz w:val="24"/>
          <w:szCs w:val="24"/>
        </w:rPr>
      </w:pPr>
      <w:r>
        <w:rPr>
          <w:b/>
          <w:bCs/>
          <w:sz w:val="24"/>
          <w:szCs w:val="24"/>
        </w:rPr>
        <w:t>Podsumowanie u</w:t>
      </w:r>
      <w:r w:rsidRPr="00BF4D1E">
        <w:rPr>
          <w:b/>
          <w:bCs/>
          <w:sz w:val="24"/>
          <w:szCs w:val="24"/>
        </w:rPr>
        <w:t>wag Redakcji</w:t>
      </w:r>
      <w:r w:rsidRPr="003F02D6">
        <w:rPr>
          <w:sz w:val="24"/>
          <w:szCs w:val="24"/>
        </w:rPr>
        <w:t>:</w:t>
      </w:r>
    </w:p>
    <w:p w14:paraId="39B62014" w14:textId="77777777" w:rsidR="00AB2639" w:rsidRDefault="00456D32" w:rsidP="00456D32">
      <w:pPr>
        <w:spacing w:after="0" w:line="240" w:lineRule="auto"/>
        <w:jc w:val="both"/>
        <w:rPr>
          <w:kern w:val="0"/>
          <w:sz w:val="24"/>
          <w:szCs w:val="24"/>
        </w:rPr>
      </w:pPr>
      <w:r w:rsidRPr="00F57A2D">
        <w:rPr>
          <w:kern w:val="0"/>
          <w:sz w:val="24"/>
          <w:szCs w:val="24"/>
        </w:rPr>
        <w:t xml:space="preserve">Czy postępowanie o </w:t>
      </w:r>
      <w:r w:rsidR="00970C39">
        <w:rPr>
          <w:kern w:val="0"/>
          <w:sz w:val="24"/>
          <w:szCs w:val="24"/>
        </w:rPr>
        <w:t>u</w:t>
      </w:r>
      <w:r w:rsidRPr="00F57A2D">
        <w:rPr>
          <w:kern w:val="0"/>
          <w:sz w:val="24"/>
          <w:szCs w:val="24"/>
        </w:rPr>
        <w:t>nieważnienie jest postępowaniem „</w:t>
      </w:r>
      <w:r w:rsidRPr="00F57A2D">
        <w:rPr>
          <w:i/>
          <w:iCs/>
          <w:kern w:val="0"/>
          <w:sz w:val="24"/>
          <w:szCs w:val="24"/>
        </w:rPr>
        <w:t>o trzymanie ochrony</w:t>
      </w:r>
      <w:r w:rsidRPr="00F57A2D">
        <w:rPr>
          <w:kern w:val="0"/>
          <w:sz w:val="24"/>
          <w:szCs w:val="24"/>
        </w:rPr>
        <w:t xml:space="preserve">”? </w:t>
      </w:r>
    </w:p>
    <w:p w14:paraId="15EFAC99" w14:textId="05D439B2" w:rsidR="00456D32" w:rsidRPr="00F57A2D" w:rsidRDefault="00456D32" w:rsidP="00456D32">
      <w:pPr>
        <w:spacing w:after="0" w:line="240" w:lineRule="auto"/>
        <w:jc w:val="both"/>
        <w:rPr>
          <w:kern w:val="0"/>
          <w:sz w:val="24"/>
          <w:szCs w:val="24"/>
        </w:rPr>
      </w:pPr>
      <w:r w:rsidRPr="00AB2639">
        <w:rPr>
          <w:b/>
          <w:bCs/>
          <w:kern w:val="0"/>
          <w:sz w:val="24"/>
          <w:szCs w:val="24"/>
        </w:rPr>
        <w:t>Dlaczego Urząd Patentowy RP blokuje możliwość udziału specjalistów</w:t>
      </w:r>
      <w:r>
        <w:rPr>
          <w:kern w:val="0"/>
          <w:sz w:val="24"/>
          <w:szCs w:val="24"/>
        </w:rPr>
        <w:t>, przedstawic</w:t>
      </w:r>
      <w:r w:rsidR="00970C39">
        <w:rPr>
          <w:kern w:val="0"/>
          <w:sz w:val="24"/>
          <w:szCs w:val="24"/>
        </w:rPr>
        <w:t>i</w:t>
      </w:r>
      <w:r>
        <w:rPr>
          <w:kern w:val="0"/>
          <w:sz w:val="24"/>
          <w:szCs w:val="24"/>
        </w:rPr>
        <w:t>eli organizacji społecznych</w:t>
      </w:r>
      <w:r w:rsidR="00D666DC">
        <w:rPr>
          <w:kern w:val="0"/>
          <w:sz w:val="24"/>
          <w:szCs w:val="24"/>
        </w:rPr>
        <w:t>,</w:t>
      </w:r>
      <w:r>
        <w:rPr>
          <w:kern w:val="0"/>
          <w:sz w:val="24"/>
          <w:szCs w:val="24"/>
        </w:rPr>
        <w:t xml:space="preserve"> w szczególności technicznych, które w zakresie swego działania mają popieranie własności przemysłowej w postępowaniach spornych, gdy sądy powszechne w szerszym zakresie dopuszczają ich do udziału w procesach cywilnych</w:t>
      </w:r>
      <w:r w:rsidR="00D666DC">
        <w:rPr>
          <w:kern w:val="0"/>
          <w:sz w:val="24"/>
          <w:szCs w:val="24"/>
        </w:rPr>
        <w:t>?</w:t>
      </w:r>
    </w:p>
    <w:p w14:paraId="29406A54" w14:textId="4763BF97" w:rsidR="001B6816" w:rsidRPr="00017FFD" w:rsidRDefault="001B6816" w:rsidP="001B6816">
      <w:pPr>
        <w:spacing w:after="0" w:line="240" w:lineRule="auto"/>
        <w:rPr>
          <w:b/>
          <w:bCs/>
          <w:color w:val="2E74B5" w:themeColor="accent5" w:themeShade="BF"/>
          <w:kern w:val="0"/>
          <w:sz w:val="24"/>
          <w:szCs w:val="24"/>
          <w:lang w:val="en-US"/>
        </w:rPr>
      </w:pPr>
      <w:r w:rsidRPr="00017FFD">
        <w:rPr>
          <w:b/>
          <w:bCs/>
          <w:color w:val="2E74B5" w:themeColor="accent5" w:themeShade="BF"/>
          <w:kern w:val="0"/>
          <w:sz w:val="24"/>
          <w:szCs w:val="24"/>
          <w:lang w:val="en-US"/>
        </w:rPr>
        <w:t>Conclusion</w:t>
      </w:r>
      <w:r w:rsidR="00EE07D6">
        <w:rPr>
          <w:b/>
          <w:bCs/>
          <w:color w:val="2E74B5" w:themeColor="accent5" w:themeShade="BF"/>
          <w:kern w:val="0"/>
          <w:sz w:val="24"/>
          <w:szCs w:val="24"/>
          <w:lang w:val="en-US"/>
        </w:rPr>
        <w:t xml:space="preserve"> of</w:t>
      </w:r>
      <w:r w:rsidRPr="00017FFD">
        <w:rPr>
          <w:b/>
          <w:bCs/>
          <w:color w:val="2E74B5" w:themeColor="accent5" w:themeShade="BF"/>
          <w:kern w:val="0"/>
          <w:sz w:val="24"/>
          <w:szCs w:val="24"/>
          <w:lang w:val="en-US"/>
        </w:rPr>
        <w:t xml:space="preserve"> Editor's Note:</w:t>
      </w:r>
    </w:p>
    <w:p w14:paraId="1382ACC3" w14:textId="3DDDECDA" w:rsidR="00AB2639" w:rsidRPr="00017FFD" w:rsidRDefault="00E02295" w:rsidP="00AB2639">
      <w:pPr>
        <w:spacing w:after="0" w:line="240" w:lineRule="auto"/>
        <w:jc w:val="both"/>
        <w:rPr>
          <w:color w:val="2E74B5" w:themeColor="accent5" w:themeShade="BF"/>
          <w:sz w:val="24"/>
          <w:szCs w:val="24"/>
          <w:lang w:val="en-US"/>
        </w:rPr>
      </w:pPr>
      <w:r w:rsidRPr="00017FFD">
        <w:rPr>
          <w:color w:val="2E74B5" w:themeColor="accent5" w:themeShade="BF"/>
          <w:sz w:val="24"/>
          <w:szCs w:val="24"/>
          <w:lang w:val="en-US"/>
        </w:rPr>
        <w:t>Is the difference between the following articles justified?</w:t>
      </w:r>
    </w:p>
    <w:p w14:paraId="03252D4A" w14:textId="77777777" w:rsidR="00AB2639" w:rsidRPr="00017FFD" w:rsidRDefault="00AB2639" w:rsidP="00AB2639">
      <w:pPr>
        <w:spacing w:after="0" w:line="240" w:lineRule="auto"/>
        <w:jc w:val="both"/>
        <w:rPr>
          <w:color w:val="2E74B5" w:themeColor="accent5" w:themeShade="BF"/>
          <w:sz w:val="24"/>
          <w:szCs w:val="24"/>
          <w:lang w:val="en-US"/>
        </w:rPr>
      </w:pPr>
      <w:r w:rsidRPr="00017FFD">
        <w:rPr>
          <w:color w:val="2E74B5" w:themeColor="accent5" w:themeShade="BF"/>
          <w:sz w:val="24"/>
          <w:szCs w:val="24"/>
          <w:lang w:val="en-US"/>
        </w:rPr>
        <w:t xml:space="preserve">Are invalidation proceedings the proceedings "for holding protection"? </w:t>
      </w:r>
    </w:p>
    <w:p w14:paraId="34B8F75F" w14:textId="793845AD" w:rsidR="00AB2639" w:rsidRPr="00017FFD" w:rsidRDefault="00AB2639" w:rsidP="00AB2639">
      <w:pPr>
        <w:spacing w:after="0" w:line="240" w:lineRule="auto"/>
        <w:jc w:val="both"/>
        <w:rPr>
          <w:color w:val="2E74B5" w:themeColor="accent5" w:themeShade="BF"/>
          <w:sz w:val="24"/>
          <w:szCs w:val="24"/>
          <w:lang w:val="en-US"/>
        </w:rPr>
      </w:pPr>
      <w:r w:rsidRPr="00017FFD">
        <w:rPr>
          <w:b/>
          <w:bCs/>
          <w:color w:val="2E74B5" w:themeColor="accent5" w:themeShade="BF"/>
          <w:sz w:val="24"/>
          <w:szCs w:val="24"/>
          <w:lang w:val="en-US"/>
        </w:rPr>
        <w:t>Why does the Patent Office of the Republic of Poland block the possibility for specialists</w:t>
      </w:r>
      <w:r w:rsidRPr="00017FFD">
        <w:rPr>
          <w:color w:val="2E74B5" w:themeColor="accent5" w:themeShade="BF"/>
          <w:sz w:val="24"/>
          <w:szCs w:val="24"/>
          <w:lang w:val="en-US"/>
        </w:rPr>
        <w:t>, representatives of social organizations, in particular technical ones, which have the promotion of industrial property in their scope of activity to participate in litigation, when common courts more broadly allow them to participate in civil litigation?</w:t>
      </w:r>
    </w:p>
    <w:p w14:paraId="2933EF56" w14:textId="77777777" w:rsidR="00D44841" w:rsidRPr="001B6816" w:rsidRDefault="00D44841" w:rsidP="00D44841">
      <w:pPr>
        <w:spacing w:after="0" w:line="240" w:lineRule="auto"/>
        <w:rPr>
          <w:b/>
          <w:bCs/>
          <w:color w:val="2E74B5" w:themeColor="accent5" w:themeShade="BF"/>
          <w:kern w:val="0"/>
          <w:sz w:val="10"/>
          <w:szCs w:val="10"/>
          <w:lang w:val="en-US"/>
        </w:rPr>
      </w:pPr>
    </w:p>
    <w:p w14:paraId="48716E70" w14:textId="45FF9F42" w:rsidR="00D44841" w:rsidRPr="004C137A" w:rsidRDefault="00D44841" w:rsidP="00D44841">
      <w:pPr>
        <w:spacing w:after="0" w:line="240" w:lineRule="auto"/>
        <w:rPr>
          <w:sz w:val="24"/>
          <w:szCs w:val="24"/>
        </w:rPr>
      </w:pPr>
      <w:r>
        <w:rPr>
          <w:b/>
          <w:bCs/>
          <w:kern w:val="0"/>
          <w:sz w:val="24"/>
          <w:szCs w:val="24"/>
        </w:rPr>
        <w:t>P</w:t>
      </w:r>
      <w:r w:rsidRPr="00BB6DF4">
        <w:rPr>
          <w:b/>
          <w:bCs/>
          <w:kern w:val="0"/>
          <w:sz w:val="24"/>
          <w:szCs w:val="24"/>
        </w:rPr>
        <w:t>ojęcia kluczowe</w:t>
      </w:r>
      <w:r w:rsidRPr="00BB6DF4">
        <w:rPr>
          <w:kern w:val="0"/>
          <w:sz w:val="24"/>
          <w:szCs w:val="24"/>
        </w:rPr>
        <w:t xml:space="preserve">: </w:t>
      </w:r>
      <w:r w:rsidRPr="004C137A">
        <w:rPr>
          <w:sz w:val="24"/>
          <w:szCs w:val="24"/>
        </w:rPr>
        <w:t>LIST OTWARTY, URZĄD PATENTOWY RP, DYREKTYWY INTERP</w:t>
      </w:r>
      <w:r w:rsidR="00D666DC">
        <w:rPr>
          <w:sz w:val="24"/>
          <w:szCs w:val="24"/>
        </w:rPr>
        <w:t>R</w:t>
      </w:r>
      <w:r w:rsidRPr="004C137A">
        <w:rPr>
          <w:sz w:val="24"/>
          <w:szCs w:val="24"/>
        </w:rPr>
        <w:t>ETACYJNE</w:t>
      </w:r>
    </w:p>
    <w:p w14:paraId="0AB59AA7" w14:textId="77777777" w:rsidR="00D666DC" w:rsidRDefault="00D666DC" w:rsidP="00D44841">
      <w:pPr>
        <w:spacing w:after="0" w:line="240" w:lineRule="auto"/>
        <w:rPr>
          <w:b/>
          <w:bCs/>
          <w:sz w:val="10"/>
          <w:szCs w:val="10"/>
        </w:rPr>
      </w:pPr>
    </w:p>
    <w:p w14:paraId="43F474DF" w14:textId="77777777" w:rsidR="001B6816" w:rsidRDefault="00D44841" w:rsidP="00D44841">
      <w:pPr>
        <w:spacing w:after="0" w:line="240" w:lineRule="auto"/>
        <w:rPr>
          <w:sz w:val="24"/>
          <w:szCs w:val="24"/>
        </w:rPr>
      </w:pPr>
      <w:r w:rsidRPr="00D15CE8">
        <w:rPr>
          <w:b/>
          <w:bCs/>
          <w:sz w:val="24"/>
          <w:szCs w:val="24"/>
        </w:rPr>
        <w:t>Miejsce publikacji:</w:t>
      </w:r>
      <w:r w:rsidRPr="00D15CE8">
        <w:rPr>
          <w:sz w:val="24"/>
          <w:szCs w:val="24"/>
        </w:rPr>
        <w:t xml:space="preserve"> </w:t>
      </w:r>
    </w:p>
    <w:p w14:paraId="42A6A15E" w14:textId="2A1534B8" w:rsidR="00D44841" w:rsidRPr="0017071E" w:rsidRDefault="00B82931" w:rsidP="00D44841">
      <w:pPr>
        <w:spacing w:after="0" w:line="240" w:lineRule="auto"/>
        <w:rPr>
          <w:color w:val="2E74B5" w:themeColor="accent5" w:themeShade="BF"/>
          <w:sz w:val="24"/>
          <w:szCs w:val="24"/>
        </w:rPr>
      </w:pPr>
      <w:hyperlink r:id="rId83" w:history="1">
        <w:r w:rsidR="001B6816" w:rsidRPr="0017071E">
          <w:rPr>
            <w:rStyle w:val="Hipercze"/>
            <w:color w:val="2E74B5" w:themeColor="accent5" w:themeShade="BF"/>
            <w:sz w:val="24"/>
            <w:szCs w:val="24"/>
          </w:rPr>
          <w:t>https://stowi.pl/list-otwarty-w-sprawie-podjecia-przez-urzad-patentowy-rp-dzialan-zyczliwych-dla-przedsiebiorcow/</w:t>
        </w:r>
      </w:hyperlink>
      <w:r w:rsidR="00D44841" w:rsidRPr="0017071E">
        <w:rPr>
          <w:color w:val="2E74B5" w:themeColor="accent5" w:themeShade="BF"/>
          <w:sz w:val="24"/>
          <w:szCs w:val="24"/>
        </w:rPr>
        <w:t xml:space="preserve"> </w:t>
      </w:r>
    </w:p>
    <w:p w14:paraId="4D1DFC15" w14:textId="77777777" w:rsidR="00D666DC" w:rsidRDefault="00D666DC" w:rsidP="00D44841">
      <w:pPr>
        <w:spacing w:after="0" w:line="240" w:lineRule="auto"/>
        <w:rPr>
          <w:sz w:val="24"/>
          <w:szCs w:val="24"/>
        </w:rPr>
      </w:pPr>
    </w:p>
    <w:p w14:paraId="05E0666F" w14:textId="77777777" w:rsidR="00D666DC" w:rsidRDefault="00D666DC" w:rsidP="00D44841">
      <w:pPr>
        <w:spacing w:after="0" w:line="240" w:lineRule="auto"/>
        <w:rPr>
          <w:sz w:val="24"/>
          <w:szCs w:val="24"/>
        </w:rPr>
      </w:pPr>
    </w:p>
    <w:p w14:paraId="30C48E98" w14:textId="77777777" w:rsidR="00D666DC" w:rsidRDefault="00D666DC" w:rsidP="00D44841">
      <w:pPr>
        <w:spacing w:after="0" w:line="240" w:lineRule="auto"/>
        <w:rPr>
          <w:sz w:val="24"/>
          <w:szCs w:val="24"/>
        </w:rPr>
      </w:pPr>
    </w:p>
    <w:p w14:paraId="1AFBC185" w14:textId="77777777" w:rsidR="00D666DC" w:rsidRDefault="00D666DC" w:rsidP="00D44841">
      <w:pPr>
        <w:spacing w:after="0" w:line="240" w:lineRule="auto"/>
        <w:rPr>
          <w:sz w:val="24"/>
          <w:szCs w:val="24"/>
        </w:rPr>
      </w:pPr>
    </w:p>
    <w:p w14:paraId="5B1BB785" w14:textId="77777777" w:rsidR="00D666DC" w:rsidRDefault="00D666DC" w:rsidP="00D44841">
      <w:pPr>
        <w:spacing w:after="0" w:line="240" w:lineRule="auto"/>
        <w:rPr>
          <w:sz w:val="24"/>
          <w:szCs w:val="24"/>
        </w:rPr>
      </w:pPr>
    </w:p>
    <w:p w14:paraId="5C246038" w14:textId="77777777" w:rsidR="00D666DC" w:rsidRDefault="00D666DC" w:rsidP="00D44841">
      <w:pPr>
        <w:spacing w:after="0" w:line="240" w:lineRule="auto"/>
        <w:rPr>
          <w:sz w:val="24"/>
          <w:szCs w:val="24"/>
        </w:rPr>
      </w:pPr>
    </w:p>
    <w:p w14:paraId="6D82B654" w14:textId="77777777" w:rsidR="00D666DC" w:rsidRDefault="00D666DC" w:rsidP="00D44841">
      <w:pPr>
        <w:spacing w:after="0" w:line="240" w:lineRule="auto"/>
        <w:rPr>
          <w:sz w:val="24"/>
          <w:szCs w:val="24"/>
        </w:rPr>
      </w:pPr>
    </w:p>
    <w:p w14:paraId="03DF5DCE" w14:textId="77777777" w:rsidR="00D666DC" w:rsidRDefault="00D666DC" w:rsidP="00D44841">
      <w:pPr>
        <w:spacing w:after="0" w:line="240" w:lineRule="auto"/>
        <w:rPr>
          <w:sz w:val="24"/>
          <w:szCs w:val="24"/>
        </w:rPr>
      </w:pPr>
    </w:p>
    <w:p w14:paraId="45688BD5" w14:textId="27711EB1" w:rsidR="002169D5" w:rsidRDefault="002169D5">
      <w:pPr>
        <w:rPr>
          <w:sz w:val="24"/>
          <w:szCs w:val="24"/>
        </w:rPr>
      </w:pPr>
      <w:r>
        <w:rPr>
          <w:sz w:val="24"/>
          <w:szCs w:val="24"/>
        </w:rPr>
        <w:br w:type="page"/>
      </w:r>
    </w:p>
    <w:p w14:paraId="72715BB2" w14:textId="77777777" w:rsidR="00D666DC" w:rsidRDefault="00D666DC" w:rsidP="00D44841">
      <w:pPr>
        <w:spacing w:after="0" w:line="240" w:lineRule="auto"/>
        <w:rPr>
          <w:sz w:val="24"/>
          <w:szCs w:val="24"/>
        </w:rPr>
      </w:pPr>
    </w:p>
    <w:bookmarkStart w:id="61" w:name="_Hlk156467145"/>
    <w:p w14:paraId="32606C2D" w14:textId="33ED295C" w:rsidR="00A95BF0" w:rsidRPr="00E6705E" w:rsidRDefault="00312AD3" w:rsidP="00A95BF0">
      <w:pPr>
        <w:spacing w:after="0"/>
        <w:rPr>
          <w:rFonts w:cstheme="minorHAnsi"/>
          <w:b/>
          <w:bCs/>
          <w:noProof/>
          <w:sz w:val="24"/>
          <w:szCs w:val="24"/>
          <w:lang w:eastAsia="pl-PL"/>
        </w:rPr>
      </w:pPr>
      <w:r w:rsidRPr="00E6705E">
        <w:rPr>
          <w:rStyle w:val="Nagwek2Znak"/>
          <w:noProof/>
          <w:sz w:val="28"/>
          <w:szCs w:val="28"/>
          <w:lang w:eastAsia="pl-PL"/>
        </w:rPr>
        <mc:AlternateContent>
          <mc:Choice Requires="wps">
            <w:drawing>
              <wp:anchor distT="0" distB="0" distL="114300" distR="114300" simplePos="0" relativeHeight="251834368" behindDoc="0" locked="0" layoutInCell="1" allowOverlap="1" wp14:anchorId="59EFEA5E" wp14:editId="564CAF38">
                <wp:simplePos x="0" y="0"/>
                <wp:positionH relativeFrom="margin">
                  <wp:posOffset>-99104</wp:posOffset>
                </wp:positionH>
                <wp:positionV relativeFrom="paragraph">
                  <wp:posOffset>-380483</wp:posOffset>
                </wp:positionV>
                <wp:extent cx="648586" cy="372745"/>
                <wp:effectExtent l="0" t="0" r="0" b="8255"/>
                <wp:wrapNone/>
                <wp:docPr id="1249170713" name="Pole tekstowe 1"/>
                <wp:cNvGraphicFramePr/>
                <a:graphic xmlns:a="http://schemas.openxmlformats.org/drawingml/2006/main">
                  <a:graphicData uri="http://schemas.microsoft.com/office/word/2010/wordprocessingShape">
                    <wps:wsp>
                      <wps:cNvSpPr txBox="1"/>
                      <wps:spPr>
                        <a:xfrm>
                          <a:off x="0" y="0"/>
                          <a:ext cx="648586" cy="372745"/>
                        </a:xfrm>
                        <a:prstGeom prst="rect">
                          <a:avLst/>
                        </a:prstGeom>
                        <a:solidFill>
                          <a:schemeClr val="lt1"/>
                        </a:solidFill>
                        <a:ln w="6350">
                          <a:noFill/>
                        </a:ln>
                      </wps:spPr>
                      <wps:txbx>
                        <w:txbxContent>
                          <w:p w14:paraId="09EBB878" w14:textId="11A29432" w:rsidR="00541DD6" w:rsidRPr="00FA4053" w:rsidRDefault="009C564A" w:rsidP="00312AD3">
                            <w:pPr>
                              <w:pStyle w:val="NumeracjaRozdzial"/>
                            </w:pPr>
                            <w:r>
                              <w:t>7</w:t>
                            </w:r>
                            <w:r w:rsidR="00541DD6" w:rsidRPr="00FA4053">
                              <w:t>.</w:t>
                            </w:r>
                          </w:p>
                          <w:p w14:paraId="3310801A" w14:textId="77777777" w:rsidR="00541DD6" w:rsidRDefault="00541DD6" w:rsidP="00312AD3">
                            <w:pPr>
                              <w:pStyle w:val="NumeracjaRozdzial"/>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FEA5E" id="_x0000_s1035" type="#_x0000_t202" style="position:absolute;margin-left:-7.8pt;margin-top:-29.95pt;width:51.05pt;height:29.3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" fillcolor="white [3201]" stroked="f" strokeweight=".5pt">
                <v:textbox>
                  <w:txbxContent>
                    <w:p w14:paraId="09EBB878" w14:textId="11A29432" w:rsidR="00541DD6" w:rsidRPr="00FA4053" w:rsidRDefault="009C564A" w:rsidP="00312AD3">
                      <w:pPr>
                        <w:pStyle w:val="NumeracjaRozdzial"/>
                      </w:pPr>
                      <w:r>
                        <w:t>7</w:t>
                      </w:r>
                      <w:r w:rsidR="00541DD6" w:rsidRPr="00FA4053">
                        <w:t>.</w:t>
                      </w:r>
                    </w:p>
                    <w:p w14:paraId="3310801A" w14:textId="77777777" w:rsidR="00541DD6" w:rsidRDefault="00541DD6" w:rsidP="00312AD3">
                      <w:pPr>
                        <w:pStyle w:val="NumeracjaRozdzial"/>
                      </w:pPr>
                    </w:p>
                  </w:txbxContent>
                </v:textbox>
                <w10:wrap anchorx="margin"/>
              </v:shape>
            </w:pict>
          </mc:Fallback>
        </mc:AlternateContent>
      </w:r>
      <w:r w:rsidR="00A95BF0" w:rsidRPr="00E6705E">
        <w:rPr>
          <w:rStyle w:val="Nagwek2Znak"/>
          <w:noProof/>
          <w:sz w:val="28"/>
          <w:szCs w:val="28"/>
          <w:lang w:eastAsia="pl-PL"/>
        </w:rPr>
        <w:drawing>
          <wp:anchor distT="0" distB="0" distL="114300" distR="114300" simplePos="0" relativeHeight="251835392" behindDoc="0" locked="0" layoutInCell="1" allowOverlap="1" wp14:anchorId="3822CC18" wp14:editId="21163860">
            <wp:simplePos x="0" y="0"/>
            <wp:positionH relativeFrom="margin">
              <wp:align>left</wp:align>
            </wp:positionH>
            <wp:positionV relativeFrom="paragraph">
              <wp:posOffset>10897</wp:posOffset>
            </wp:positionV>
            <wp:extent cx="1980000" cy="1080000"/>
            <wp:effectExtent l="0" t="0" r="1270" b="6350"/>
            <wp:wrapThrough wrapText="bothSides">
              <wp:wrapPolygon edited="0">
                <wp:start x="0" y="0"/>
                <wp:lineTo x="0" y="21346"/>
                <wp:lineTo x="21406" y="21346"/>
                <wp:lineTo x="21406" y="0"/>
                <wp:lineTo x="0" y="0"/>
              </wp:wrapPolygon>
            </wp:wrapThrough>
            <wp:docPr id="1249170714" name="Obraz 12" descr="Obraz zawierający tekst, papier, Produkty papierowe, lis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45161" name="Obraz 12" descr="Obraz zawierający tekst, papier, Produkty papierowe, list&#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705E" w:rsidRPr="009331F8">
        <w:rPr>
          <w:rStyle w:val="Nagwek2Znak"/>
          <w:sz w:val="28"/>
          <w:szCs w:val="28"/>
        </w:rPr>
        <w:t xml:space="preserve">                                                                                                                 </w:t>
      </w:r>
      <w:bookmarkStart w:id="62" w:name="_Toc170117977"/>
      <w:r w:rsidR="00A95BF0" w:rsidRPr="00E6705E">
        <w:rPr>
          <w:rStyle w:val="Nagwek2Znak"/>
        </w:rPr>
        <w:t xml:space="preserve">LIST OTWARTY </w:t>
      </w:r>
      <w:r w:rsidR="00E6705E">
        <w:rPr>
          <w:rStyle w:val="Nagwek2Znak"/>
        </w:rPr>
        <w:t>-</w:t>
      </w:r>
      <w:r w:rsidR="00A95BF0" w:rsidRPr="00E6705E">
        <w:rPr>
          <w:rStyle w:val="Nagwek2Znak"/>
        </w:rPr>
        <w:t xml:space="preserve"> apel o racjonalny tryb znoszenia </w:t>
      </w:r>
      <w:r w:rsidR="00E6705E" w:rsidRPr="00E6705E">
        <w:rPr>
          <w:rStyle w:val="Nagwek2Znak"/>
        </w:rPr>
        <w:t xml:space="preserve">przez Urząd Patentowy RP </w:t>
      </w:r>
      <w:r w:rsidR="00A95BF0" w:rsidRPr="00E6705E">
        <w:rPr>
          <w:rStyle w:val="Nagwek2Znak"/>
        </w:rPr>
        <w:t>terminów rozpraw</w:t>
      </w:r>
      <w:r w:rsidR="00E6705E" w:rsidRPr="00E6705E">
        <w:rPr>
          <w:rStyle w:val="Nagwek2Znak"/>
        </w:rPr>
        <w:t xml:space="preserve"> </w:t>
      </w:r>
      <w:r w:rsidR="00E6705E">
        <w:rPr>
          <w:rStyle w:val="Nagwek2Znak"/>
        </w:rPr>
        <w:t>w sprawach toczących się przed tym Urzędem</w:t>
      </w:r>
      <w:bookmarkEnd w:id="62"/>
      <w:r w:rsidR="00E6705E">
        <w:rPr>
          <w:rStyle w:val="Nagwek2Znak"/>
        </w:rPr>
        <w:t xml:space="preserve"> </w:t>
      </w:r>
    </w:p>
    <w:p w14:paraId="3EBA3E10" w14:textId="77777777" w:rsidR="00A95BF0" w:rsidRPr="00EC4F25" w:rsidRDefault="00A95BF0" w:rsidP="006256D0">
      <w:pPr>
        <w:spacing w:after="0" w:line="240" w:lineRule="auto"/>
        <w:ind w:left="284" w:hanging="284"/>
        <w:jc w:val="center"/>
        <w:rPr>
          <w:b/>
          <w:bCs/>
          <w:sz w:val="26"/>
          <w:szCs w:val="26"/>
        </w:rPr>
      </w:pPr>
    </w:p>
    <w:p w14:paraId="4399A358" w14:textId="783A7257" w:rsidR="006256D0" w:rsidRPr="00EC4F25" w:rsidRDefault="000420EF" w:rsidP="006256D0">
      <w:pPr>
        <w:spacing w:after="0" w:line="240" w:lineRule="auto"/>
        <w:rPr>
          <w:b/>
          <w:bCs/>
          <w:sz w:val="26"/>
          <w:szCs w:val="26"/>
        </w:rPr>
      </w:pPr>
      <w:r w:rsidRPr="000420EF">
        <w:rPr>
          <w:rFonts w:eastAsia="Times New Roman" w:cstheme="minorHAnsi"/>
          <w:bCs/>
          <w:noProof/>
          <w:color w:val="000000"/>
        </w:rPr>
        <w:drawing>
          <wp:anchor distT="0" distB="0" distL="114300" distR="114300" simplePos="0" relativeHeight="252317696" behindDoc="0" locked="0" layoutInCell="1" allowOverlap="1" wp14:anchorId="78F29BB8" wp14:editId="0D2F70DB">
            <wp:simplePos x="0" y="0"/>
            <wp:positionH relativeFrom="margin">
              <wp:posOffset>2870200</wp:posOffset>
            </wp:positionH>
            <wp:positionV relativeFrom="paragraph">
              <wp:posOffset>7749485</wp:posOffset>
            </wp:positionV>
            <wp:extent cx="409632" cy="152421"/>
            <wp:effectExtent l="0" t="0" r="9525" b="0"/>
            <wp:wrapNone/>
            <wp:docPr id="5130568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56882" name=""/>
                    <pic:cNvPicPr/>
                  </pic:nvPicPr>
                  <pic:blipFill>
                    <a:blip r:embed="rId74">
                      <a:extLst>
                        <a:ext uri="{28A0092B-C50C-407E-A947-70E740481C1C}">
                          <a14:useLocalDpi xmlns:a14="http://schemas.microsoft.com/office/drawing/2010/main" val="0"/>
                        </a:ext>
                      </a:extLst>
                    </a:blip>
                    <a:stretch>
                      <a:fillRect/>
                    </a:stretch>
                  </pic:blipFill>
                  <pic:spPr>
                    <a:xfrm>
                      <a:off x="0" y="0"/>
                      <a:ext cx="409632" cy="152421"/>
                    </a:xfrm>
                    <a:prstGeom prst="rect">
                      <a:avLst/>
                    </a:prstGeom>
                  </pic:spPr>
                </pic:pic>
              </a:graphicData>
            </a:graphic>
          </wp:anchor>
        </w:drawing>
      </w:r>
    </w:p>
    <w:tbl>
      <w:tblPr>
        <w:tblStyle w:val="Tabela-Siatka"/>
        <w:tblW w:w="0" w:type="auto"/>
        <w:tblInd w:w="-5" w:type="dxa"/>
        <w:tblLayout w:type="fixed"/>
        <w:tblLook w:val="04A0" w:firstRow="1" w:lastRow="0" w:firstColumn="1" w:lastColumn="0" w:noHBand="0" w:noVBand="1"/>
      </w:tblPr>
      <w:tblGrid>
        <w:gridCol w:w="1281"/>
        <w:gridCol w:w="8476"/>
      </w:tblGrid>
      <w:tr w:rsidR="00177F51" w:rsidRPr="006A1234" w14:paraId="49477E19" w14:textId="77777777" w:rsidTr="00177F51">
        <w:tc>
          <w:tcPr>
            <w:tcW w:w="1281" w:type="dxa"/>
            <w:tcBorders>
              <w:top w:val="nil"/>
              <w:left w:val="nil"/>
              <w:bottom w:val="nil"/>
              <w:right w:val="nil"/>
            </w:tcBorders>
          </w:tcPr>
          <w:p w14:paraId="62A3ED4B" w14:textId="77777777" w:rsidR="00177F51" w:rsidRDefault="00177F51" w:rsidP="00177F51">
            <w:pPr>
              <w:rPr>
                <w:rFonts w:cstheme="minorHAnsi"/>
                <w:b/>
                <w:bCs/>
                <w:noProof/>
                <w:sz w:val="18"/>
                <w:szCs w:val="18"/>
              </w:rPr>
            </w:pPr>
          </w:p>
          <w:p w14:paraId="45D34A29" w14:textId="77777777" w:rsidR="00177F51" w:rsidRPr="00EC4F25" w:rsidRDefault="00177F51" w:rsidP="00177F51">
            <w:pPr>
              <w:rPr>
                <w:rFonts w:cstheme="minorHAnsi"/>
                <w:b/>
                <w:bCs/>
                <w:noProof/>
                <w:sz w:val="18"/>
                <w:szCs w:val="18"/>
              </w:rPr>
            </w:pPr>
          </w:p>
        </w:tc>
        <w:tc>
          <w:tcPr>
            <w:tcW w:w="8476" w:type="dxa"/>
            <w:tcBorders>
              <w:top w:val="nil"/>
              <w:left w:val="nil"/>
              <w:bottom w:val="nil"/>
              <w:right w:val="nil"/>
            </w:tcBorders>
          </w:tcPr>
          <w:p w14:paraId="55D0E0A8" w14:textId="77777777" w:rsidR="00177F51" w:rsidRPr="006A1234" w:rsidRDefault="00177F51" w:rsidP="00177F51">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177F51" w:rsidRPr="00062821" w14:paraId="30A3B0D4" w14:textId="77777777" w:rsidTr="00177F51">
        <w:tc>
          <w:tcPr>
            <w:tcW w:w="1281" w:type="dxa"/>
            <w:tcBorders>
              <w:top w:val="nil"/>
              <w:left w:val="nil"/>
              <w:bottom w:val="nil"/>
              <w:right w:val="nil"/>
            </w:tcBorders>
          </w:tcPr>
          <w:p w14:paraId="56BD6297" w14:textId="77777777" w:rsidR="00177F51" w:rsidRPr="00062821" w:rsidRDefault="00177F51" w:rsidP="00177F51">
            <w:pPr>
              <w:rPr>
                <w:noProof/>
                <w:sz w:val="6"/>
                <w:szCs w:val="6"/>
              </w:rPr>
            </w:pPr>
          </w:p>
          <w:p w14:paraId="3A7C2F12" w14:textId="77777777" w:rsidR="00177F51" w:rsidRDefault="00177F51" w:rsidP="00177F51">
            <w:pPr>
              <w:rPr>
                <w:rFonts w:cstheme="minorHAnsi"/>
                <w:b/>
                <w:bCs/>
                <w:color w:val="000000"/>
                <w:sz w:val="26"/>
                <w:szCs w:val="26"/>
              </w:rPr>
            </w:pPr>
            <w:r>
              <w:rPr>
                <w:noProof/>
              </w:rPr>
              <w:drawing>
                <wp:inline distT="0" distB="0" distL="0" distR="0" wp14:anchorId="33570FC4" wp14:editId="2E04A79F">
                  <wp:extent cx="662400" cy="900000"/>
                  <wp:effectExtent l="0" t="0" r="4445" b="0"/>
                  <wp:docPr id="690256433"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4120"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tcBorders>
              <w:top w:val="nil"/>
              <w:left w:val="nil"/>
              <w:bottom w:val="nil"/>
              <w:right w:val="nil"/>
            </w:tcBorders>
          </w:tcPr>
          <w:p w14:paraId="492694D0" w14:textId="77777777" w:rsidR="00177F51" w:rsidRPr="001D7639" w:rsidRDefault="00177F51" w:rsidP="00177F51">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Marek BESLER</w:t>
            </w:r>
          </w:p>
          <w:p w14:paraId="0ECA6396" w14:textId="77777777" w:rsidR="00123357" w:rsidRDefault="00123357" w:rsidP="001F6BE3">
            <w:pPr>
              <w:pStyle w:val="Akapitzlist"/>
              <w:numPr>
                <w:ilvl w:val="0"/>
                <w:numId w:val="47"/>
              </w:numPr>
              <w:ind w:left="297" w:hanging="283"/>
              <w:rPr>
                <w:rFonts w:eastAsia="Times New Roman" w:cstheme="minorHAnsi"/>
                <w:bCs/>
                <w:color w:val="000000"/>
              </w:rPr>
            </w:pPr>
            <w:r>
              <w:rPr>
                <w:rFonts w:eastAsia="Times New Roman" w:cstheme="minorHAnsi"/>
                <w:bCs/>
                <w:color w:val="000000"/>
              </w:rPr>
              <w:t>współorzekający w Komisji Odwoławczej przy Urzędzie Patentowym w sprawach własności przemysłowej, składom której przewodniczyli sędziowie Sądu Najwyższego, w latach 1979 -2001</w:t>
            </w:r>
          </w:p>
          <w:p w14:paraId="6827D025" w14:textId="27840541" w:rsidR="00177F51" w:rsidRPr="007A6BB7" w:rsidRDefault="00177F51" w:rsidP="001F6BE3">
            <w:pPr>
              <w:pStyle w:val="Akapitzlist"/>
              <w:numPr>
                <w:ilvl w:val="0"/>
                <w:numId w:val="47"/>
              </w:numPr>
              <w:ind w:left="297" w:hanging="283"/>
              <w:rPr>
                <w:rFonts w:eastAsia="Times New Roman" w:cstheme="minorHAnsi"/>
                <w:bCs/>
                <w:color w:val="000000"/>
              </w:rPr>
            </w:pPr>
            <w:r w:rsidRPr="009265CF">
              <w:rPr>
                <w:rFonts w:eastAsia="Times New Roman" w:cstheme="minorHAnsi"/>
                <w:bCs/>
                <w:color w:val="000000"/>
              </w:rPr>
              <w:t>rzecznik patentowy nr 1571</w:t>
            </w:r>
          </w:p>
          <w:p w14:paraId="5A68FA73" w14:textId="77777777" w:rsidR="00177F51" w:rsidRPr="007A6BB7" w:rsidRDefault="00177F51" w:rsidP="001F6BE3">
            <w:pPr>
              <w:pStyle w:val="Akapitzlist"/>
              <w:numPr>
                <w:ilvl w:val="0"/>
                <w:numId w:val="47"/>
              </w:numPr>
              <w:ind w:left="297" w:hanging="283"/>
              <w:rPr>
                <w:rFonts w:eastAsia="Times New Roman" w:cstheme="minorHAnsi"/>
                <w:bCs/>
                <w:color w:val="000000"/>
              </w:rPr>
            </w:pPr>
            <w:r w:rsidRPr="009265CF">
              <w:rPr>
                <w:rFonts w:eastAsia="Times New Roman" w:cstheme="minorHAnsi"/>
                <w:bCs/>
                <w:color w:val="000000"/>
              </w:rPr>
              <w:t>profesjonalny pełnomocnik przed EUIPO (</w:t>
            </w:r>
            <w:r w:rsidRPr="00D25F02">
              <w:rPr>
                <w:rFonts w:eastAsia="Times New Roman" w:cstheme="minorHAnsi"/>
                <w:bCs/>
                <w:i/>
                <w:color w:val="000000"/>
              </w:rPr>
              <w:t>European Union Intellectual Property Office</w:t>
            </w:r>
            <w:r w:rsidRPr="009265CF">
              <w:rPr>
                <w:rFonts w:eastAsia="Times New Roman" w:cstheme="minorHAnsi"/>
                <w:bCs/>
                <w:color w:val="000000"/>
              </w:rPr>
              <w:t xml:space="preserve"> – Urząd Unii Europejskiej ds. Własności Intelektualnej), nr 27177</w:t>
            </w:r>
          </w:p>
          <w:p w14:paraId="085CF3E9" w14:textId="77777777" w:rsidR="00177F51" w:rsidRPr="009265CF" w:rsidRDefault="00177F51" w:rsidP="001F6BE3">
            <w:pPr>
              <w:pStyle w:val="Akapitzlist"/>
              <w:numPr>
                <w:ilvl w:val="0"/>
                <w:numId w:val="47"/>
              </w:numPr>
              <w:ind w:left="297" w:hanging="283"/>
              <w:rPr>
                <w:rFonts w:eastAsia="Times New Roman" w:cstheme="minorHAnsi"/>
                <w:bCs/>
                <w:color w:val="000000"/>
              </w:rPr>
            </w:pPr>
            <w:r w:rsidRPr="009265CF">
              <w:rPr>
                <w:rFonts w:eastAsia="Times New Roman" w:cstheme="minorHAnsi"/>
                <w:bCs/>
                <w:color w:val="000000"/>
              </w:rPr>
              <w:t>Europejski Rzecznik Patentowy nr 138820</w:t>
            </w:r>
          </w:p>
          <w:p w14:paraId="7105D4DC" w14:textId="77777777" w:rsidR="00177F51" w:rsidRDefault="00177F51" w:rsidP="001F6BE3">
            <w:pPr>
              <w:pStyle w:val="Akapitzlist"/>
              <w:numPr>
                <w:ilvl w:val="0"/>
                <w:numId w:val="47"/>
              </w:numPr>
              <w:ind w:left="297" w:hanging="283"/>
              <w:rPr>
                <w:rFonts w:eastAsia="Times New Roman" w:cstheme="minorHAnsi"/>
                <w:bCs/>
                <w:color w:val="000000"/>
              </w:rPr>
            </w:pPr>
            <w:r w:rsidRPr="009265CF">
              <w:rPr>
                <w:rFonts w:eastAsia="Times New Roman" w:cstheme="minorHAnsi"/>
                <w:bCs/>
                <w:color w:val="000000"/>
              </w:rPr>
              <w:t>Prezes Polskiej Izby Rzeczników Patentowych w latach 2002-2005</w:t>
            </w:r>
          </w:p>
          <w:p w14:paraId="07C3E400" w14:textId="77777777" w:rsidR="00177F51" w:rsidRDefault="00177F51" w:rsidP="001F6BE3">
            <w:pPr>
              <w:pStyle w:val="Akapitzlist"/>
              <w:numPr>
                <w:ilvl w:val="0"/>
                <w:numId w:val="47"/>
              </w:numPr>
              <w:ind w:left="297" w:hanging="283"/>
              <w:rPr>
                <w:rFonts w:eastAsia="Times New Roman" w:cstheme="minorHAnsi"/>
                <w:bCs/>
                <w:color w:val="000000"/>
              </w:rPr>
            </w:pPr>
            <w:r>
              <w:rPr>
                <w:rFonts w:eastAsia="Times New Roman" w:cstheme="minorHAnsi"/>
                <w:bCs/>
                <w:color w:val="000000"/>
              </w:rPr>
              <w:t>Wiceprezes Zarządu StoWI od 2023 r.</w:t>
            </w:r>
          </w:p>
          <w:p w14:paraId="010E9305" w14:textId="7CEA29BB" w:rsidR="00177F51" w:rsidRDefault="00177F51" w:rsidP="001F6BE3">
            <w:pPr>
              <w:pStyle w:val="Akapitzlist"/>
              <w:numPr>
                <w:ilvl w:val="0"/>
                <w:numId w:val="47"/>
              </w:numPr>
              <w:ind w:left="297" w:hanging="283"/>
              <w:rPr>
                <w:rFonts w:eastAsia="Times New Roman" w:cstheme="minorHAnsi"/>
                <w:bCs/>
                <w:color w:val="000000"/>
              </w:rPr>
            </w:pPr>
            <w:r>
              <w:rPr>
                <w:rFonts w:eastAsia="Times New Roman" w:cstheme="minorHAnsi"/>
                <w:bCs/>
                <w:color w:val="000000"/>
              </w:rPr>
              <w:t>Redaktor naczelny Kwartalnika „THINK-TANK WSZY</w:t>
            </w:r>
            <w:r w:rsidR="00670256">
              <w:rPr>
                <w:rFonts w:eastAsia="Times New Roman" w:cstheme="minorHAnsi"/>
                <w:bCs/>
                <w:color w:val="000000"/>
              </w:rPr>
              <w:t>S</w:t>
            </w:r>
            <w:r>
              <w:rPr>
                <w:rFonts w:eastAsia="Times New Roman" w:cstheme="minorHAnsi"/>
                <w:bCs/>
                <w:color w:val="000000"/>
              </w:rPr>
              <w:t>TKO o IP w PL” od listopada 2023 r.</w:t>
            </w:r>
          </w:p>
          <w:p w14:paraId="272AD114" w14:textId="77777777" w:rsidR="00177F51" w:rsidRPr="00233C06" w:rsidRDefault="00177F51" w:rsidP="00177F51">
            <w:pPr>
              <w:rPr>
                <w:rFonts w:cstheme="minorHAnsi"/>
                <w:bCs/>
                <w:color w:val="000000"/>
                <w:sz w:val="6"/>
                <w:szCs w:val="6"/>
              </w:rPr>
            </w:pPr>
          </w:p>
        </w:tc>
      </w:tr>
      <w:tr w:rsidR="00177F51" w:rsidRPr="003362C7" w14:paraId="2D325811" w14:textId="77777777" w:rsidTr="00177F51">
        <w:tc>
          <w:tcPr>
            <w:tcW w:w="1281" w:type="dxa"/>
            <w:tcBorders>
              <w:top w:val="nil"/>
              <w:left w:val="nil"/>
              <w:bottom w:val="nil"/>
              <w:right w:val="nil"/>
            </w:tcBorders>
          </w:tcPr>
          <w:p w14:paraId="4375B551" w14:textId="77777777" w:rsidR="00177F51" w:rsidRPr="00177F51" w:rsidRDefault="00177F51" w:rsidP="00177F51">
            <w:pPr>
              <w:rPr>
                <w:rFonts w:cstheme="minorHAnsi"/>
                <w:b/>
                <w:bCs/>
                <w:noProof/>
                <w:sz w:val="6"/>
                <w:szCs w:val="6"/>
              </w:rPr>
            </w:pPr>
          </w:p>
          <w:p w14:paraId="15B9C5FC" w14:textId="77777777" w:rsidR="00177F51" w:rsidRPr="00EC4F25" w:rsidRDefault="00177F51" w:rsidP="00177F51">
            <w:pPr>
              <w:rPr>
                <w:rFonts w:cstheme="minorHAnsi"/>
                <w:b/>
                <w:bCs/>
                <w:noProof/>
                <w:sz w:val="18"/>
                <w:szCs w:val="18"/>
              </w:rPr>
            </w:pPr>
            <w:r>
              <w:rPr>
                <w:rFonts w:cstheme="minorHAnsi"/>
                <w:b/>
                <w:bCs/>
                <w:noProof/>
                <w:sz w:val="18"/>
                <w:szCs w:val="18"/>
              </w:rPr>
              <w:drawing>
                <wp:inline distT="0" distB="0" distL="0" distR="0" wp14:anchorId="7127B3D9" wp14:editId="1B2B8DE9">
                  <wp:extent cx="666000" cy="900000"/>
                  <wp:effectExtent l="0" t="0" r="1270" b="0"/>
                  <wp:docPr id="295353516" name="Obraz 1" descr="Obraz zawierający osoba, Ludzka twarz, ubrania,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85372" name="Obraz 1" descr="Obraz zawierający osoba, Ludzka twarz, ubrania, uśmiech&#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66000" cy="900000"/>
                          </a:xfrm>
                          <a:prstGeom prst="rect">
                            <a:avLst/>
                          </a:prstGeom>
                          <a:noFill/>
                          <a:ln>
                            <a:noFill/>
                          </a:ln>
                        </pic:spPr>
                      </pic:pic>
                    </a:graphicData>
                  </a:graphic>
                </wp:inline>
              </w:drawing>
            </w:r>
          </w:p>
        </w:tc>
        <w:tc>
          <w:tcPr>
            <w:tcW w:w="8476" w:type="dxa"/>
            <w:tcBorders>
              <w:top w:val="nil"/>
              <w:left w:val="nil"/>
              <w:bottom w:val="nil"/>
              <w:right w:val="nil"/>
            </w:tcBorders>
          </w:tcPr>
          <w:p w14:paraId="12ED1B0F" w14:textId="77777777" w:rsidR="00177F51" w:rsidRPr="003362C7" w:rsidRDefault="00177F51" w:rsidP="00177F51">
            <w:pPr>
              <w:rPr>
                <w:rFonts w:asciiTheme="minorHAnsi" w:hAnsiTheme="minorHAnsi" w:cstheme="minorHAnsi"/>
                <w:bCs/>
                <w:color w:val="000000"/>
                <w:sz w:val="22"/>
                <w:szCs w:val="22"/>
              </w:rPr>
            </w:pPr>
            <w:r w:rsidRPr="003362C7">
              <w:rPr>
                <w:rFonts w:asciiTheme="minorHAnsi" w:hAnsiTheme="minorHAnsi" w:cstheme="minorHAnsi"/>
                <w:bCs/>
                <w:color w:val="000000"/>
                <w:sz w:val="22"/>
                <w:szCs w:val="22"/>
              </w:rPr>
              <w:t xml:space="preserve">Krystyna KOZŁOWSKA </w:t>
            </w:r>
          </w:p>
          <w:p w14:paraId="2D33BF01" w14:textId="77777777" w:rsidR="00177F51" w:rsidRPr="003362C7" w:rsidRDefault="00177F51" w:rsidP="001F6BE3">
            <w:pPr>
              <w:pStyle w:val="Akapitzlist"/>
              <w:numPr>
                <w:ilvl w:val="0"/>
                <w:numId w:val="50"/>
              </w:numPr>
              <w:ind w:left="297" w:hanging="283"/>
              <w:rPr>
                <w:rFonts w:eastAsia="Times New Roman" w:cstheme="minorHAnsi"/>
                <w:bCs/>
                <w:color w:val="000000"/>
              </w:rPr>
            </w:pPr>
            <w:r w:rsidRPr="003362C7">
              <w:rPr>
                <w:rFonts w:eastAsia="Times New Roman" w:cstheme="minorHAnsi"/>
                <w:bCs/>
                <w:color w:val="000000"/>
              </w:rPr>
              <w:t>rzecznik patentowy</w:t>
            </w:r>
          </w:p>
          <w:p w14:paraId="353357D0" w14:textId="77777777" w:rsidR="00177F51" w:rsidRPr="003362C7" w:rsidRDefault="00177F51" w:rsidP="001F6BE3">
            <w:pPr>
              <w:pStyle w:val="Akapitzlist"/>
              <w:numPr>
                <w:ilvl w:val="0"/>
                <w:numId w:val="50"/>
              </w:numPr>
              <w:ind w:left="297" w:hanging="283"/>
              <w:rPr>
                <w:rFonts w:eastAsia="Times New Roman" w:cstheme="minorHAnsi"/>
                <w:bCs/>
                <w:color w:val="000000"/>
              </w:rPr>
            </w:pPr>
            <w:r w:rsidRPr="003362C7">
              <w:rPr>
                <w:rFonts w:eastAsia="Times New Roman" w:cstheme="minorHAnsi"/>
                <w:bCs/>
                <w:color w:val="000000"/>
              </w:rPr>
              <w:t>współzałożyciel Polskiej Izby Rzeczników Prezes Polskiej Izby Rzeczników Patentowych</w:t>
            </w:r>
          </w:p>
          <w:p w14:paraId="0DBCA739" w14:textId="77777777" w:rsidR="00177F51" w:rsidRPr="003362C7" w:rsidRDefault="00177F51" w:rsidP="001F6BE3">
            <w:pPr>
              <w:pStyle w:val="Akapitzlist"/>
              <w:numPr>
                <w:ilvl w:val="0"/>
                <w:numId w:val="50"/>
              </w:numPr>
              <w:ind w:left="297" w:hanging="283"/>
              <w:rPr>
                <w:rFonts w:eastAsia="Times New Roman" w:cstheme="minorHAnsi"/>
                <w:bCs/>
                <w:color w:val="000000"/>
              </w:rPr>
            </w:pPr>
            <w:r w:rsidRPr="003362C7">
              <w:rPr>
                <w:rFonts w:eastAsia="Times New Roman" w:cstheme="minorHAnsi"/>
                <w:bCs/>
                <w:color w:val="000000"/>
              </w:rPr>
              <w:t>uczestnik I Krajowego Zjazdu w dniu 28.08.1993 r.</w:t>
            </w:r>
          </w:p>
          <w:p w14:paraId="1967F553" w14:textId="77777777" w:rsidR="00177F51" w:rsidRPr="00177F51" w:rsidRDefault="00177F51" w:rsidP="001F6BE3">
            <w:pPr>
              <w:pStyle w:val="Akapitzlist"/>
              <w:numPr>
                <w:ilvl w:val="0"/>
                <w:numId w:val="50"/>
              </w:numPr>
              <w:ind w:left="297" w:hanging="283"/>
              <w:rPr>
                <w:rFonts w:ascii="Times New Roman" w:eastAsia="Times New Roman" w:hAnsi="Times New Roman" w:cstheme="minorHAnsi"/>
                <w:bCs/>
                <w:color w:val="000000"/>
              </w:rPr>
            </w:pPr>
            <w:r w:rsidRPr="003362C7">
              <w:rPr>
                <w:rFonts w:eastAsia="Times New Roman" w:cstheme="minorHAnsi"/>
                <w:bCs/>
                <w:color w:val="000000"/>
              </w:rPr>
              <w:t>Dziekan Okręgu Dolnośląskiego 1997 – 5.10.2021</w:t>
            </w:r>
          </w:p>
          <w:p w14:paraId="443B2CCC" w14:textId="77777777" w:rsidR="00177F51" w:rsidRPr="003362C7" w:rsidRDefault="00177F51" w:rsidP="00177F51">
            <w:pPr>
              <w:pStyle w:val="Akapitzlist"/>
              <w:ind w:left="297"/>
              <w:rPr>
                <w:rFonts w:ascii="Times New Roman" w:eastAsia="Times New Roman" w:hAnsi="Times New Roman" w:cstheme="minorHAnsi"/>
                <w:bCs/>
                <w:color w:val="000000"/>
              </w:rPr>
            </w:pPr>
          </w:p>
        </w:tc>
      </w:tr>
      <w:tr w:rsidR="00177F51" w:rsidRPr="001D7639" w14:paraId="467C9376" w14:textId="77777777" w:rsidTr="00177F51">
        <w:tc>
          <w:tcPr>
            <w:tcW w:w="1281" w:type="dxa"/>
            <w:tcBorders>
              <w:top w:val="nil"/>
              <w:left w:val="nil"/>
              <w:bottom w:val="nil"/>
              <w:right w:val="nil"/>
            </w:tcBorders>
          </w:tcPr>
          <w:p w14:paraId="7F69425D" w14:textId="77777777" w:rsidR="00177F51" w:rsidRPr="00177F51" w:rsidRDefault="00177F51" w:rsidP="00177F51">
            <w:pPr>
              <w:rPr>
                <w:noProof/>
                <w:sz w:val="6"/>
                <w:szCs w:val="6"/>
              </w:rPr>
            </w:pPr>
          </w:p>
          <w:p w14:paraId="0423E0DA" w14:textId="77777777" w:rsidR="00177F51" w:rsidRPr="00EC4F25" w:rsidRDefault="00177F51" w:rsidP="00177F51">
            <w:pPr>
              <w:rPr>
                <w:rFonts w:cstheme="minorHAnsi"/>
                <w:b/>
                <w:bCs/>
                <w:noProof/>
                <w:sz w:val="18"/>
                <w:szCs w:val="18"/>
              </w:rPr>
            </w:pPr>
            <w:r>
              <w:rPr>
                <w:noProof/>
              </w:rPr>
              <w:drawing>
                <wp:inline distT="0" distB="0" distL="0" distR="0" wp14:anchorId="70EFE3B5" wp14:editId="3DFF7C35">
                  <wp:extent cx="662400" cy="900000"/>
                  <wp:effectExtent l="0" t="0" r="4445" b="0"/>
                  <wp:docPr id="1163332361"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93689"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tcBorders>
              <w:top w:val="nil"/>
              <w:left w:val="nil"/>
              <w:bottom w:val="nil"/>
              <w:right w:val="nil"/>
            </w:tcBorders>
          </w:tcPr>
          <w:p w14:paraId="6F75B06F" w14:textId="77777777" w:rsidR="00177F51" w:rsidRDefault="00177F51" w:rsidP="00177F51">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 xml:space="preserve">Ryszard MATUSIAK </w:t>
            </w:r>
          </w:p>
          <w:p w14:paraId="2785C443"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rzecznik patentowy w latach 1978-97</w:t>
            </w:r>
          </w:p>
          <w:p w14:paraId="51C7061F"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 xml:space="preserve">współzałożyciel Polskiej Izby Rzeczników Patentowych </w:t>
            </w:r>
          </w:p>
          <w:p w14:paraId="5B42AD8D"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uczestnik I Krajowego Zjazdu w dniu 28.08.1993 r.</w:t>
            </w:r>
          </w:p>
          <w:p w14:paraId="2808CF58"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Przewodniczący Głównej Komisji Rewizyjnej SIMP 28.06.2002-26.11.2022</w:t>
            </w:r>
          </w:p>
          <w:p w14:paraId="750723A1"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 xml:space="preserve">Ekspert Urzędu Marszałkowskiego Województwa Wielkopolskiego </w:t>
            </w:r>
          </w:p>
          <w:p w14:paraId="2DEECE53"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 xml:space="preserve">Wpisany przez Urząd Marszałkowski Województwa Wielkopolskiego na Listę Krajową Ekspertów </w:t>
            </w:r>
          </w:p>
          <w:p w14:paraId="3D6E234A" w14:textId="77777777" w:rsidR="00AB5E62" w:rsidRPr="00AB5E62" w:rsidRDefault="00AB5E62" w:rsidP="00355D81">
            <w:pPr>
              <w:pStyle w:val="Akapitzlist"/>
              <w:numPr>
                <w:ilvl w:val="0"/>
                <w:numId w:val="58"/>
              </w:numPr>
              <w:ind w:left="317" w:hanging="283"/>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 xml:space="preserve">Przewodniczący </w:t>
            </w:r>
            <w:proofErr w:type="spellStart"/>
            <w:r w:rsidRPr="00AB5E62">
              <w:rPr>
                <w:rFonts w:asciiTheme="majorHAnsi" w:eastAsia="Times New Roman" w:hAnsiTheme="majorHAnsi" w:cstheme="majorHAnsi"/>
                <w:bCs/>
                <w:color w:val="000000"/>
              </w:rPr>
              <w:t>WKTiR</w:t>
            </w:r>
            <w:proofErr w:type="spellEnd"/>
            <w:r w:rsidRPr="00AB5E62">
              <w:rPr>
                <w:rFonts w:asciiTheme="majorHAnsi" w:eastAsia="Times New Roman" w:hAnsiTheme="majorHAnsi" w:cstheme="majorHAnsi"/>
                <w:bCs/>
                <w:color w:val="000000"/>
              </w:rPr>
              <w:t xml:space="preserve"> w Poznaniu (1981-1985) </w:t>
            </w:r>
          </w:p>
          <w:p w14:paraId="69CA147B" w14:textId="77777777" w:rsidR="00177F51" w:rsidRDefault="00AB5E62" w:rsidP="00AB5E62">
            <w:pPr>
              <w:pStyle w:val="Akapitzlist"/>
              <w:ind w:left="297"/>
              <w:rPr>
                <w:rFonts w:asciiTheme="majorHAnsi" w:eastAsia="Times New Roman" w:hAnsiTheme="majorHAnsi" w:cstheme="majorHAnsi"/>
                <w:bCs/>
                <w:color w:val="000000"/>
              </w:rPr>
            </w:pPr>
            <w:r w:rsidRPr="00AB5E62">
              <w:rPr>
                <w:rFonts w:asciiTheme="majorHAnsi" w:eastAsia="Times New Roman" w:hAnsiTheme="majorHAnsi" w:cstheme="majorHAnsi"/>
                <w:bCs/>
                <w:color w:val="000000"/>
              </w:rPr>
              <w:t>Rzeczoznawca SIMP</w:t>
            </w:r>
          </w:p>
          <w:p w14:paraId="651A8C13" w14:textId="454C9F41" w:rsidR="00AB5E62" w:rsidRPr="00233C06" w:rsidRDefault="00AB5E62" w:rsidP="00AB5E62">
            <w:pPr>
              <w:pStyle w:val="Akapitzlist"/>
              <w:ind w:left="297"/>
              <w:rPr>
                <w:rFonts w:cstheme="minorHAnsi"/>
                <w:bCs/>
                <w:color w:val="000000"/>
                <w:sz w:val="6"/>
                <w:szCs w:val="6"/>
              </w:rPr>
            </w:pPr>
          </w:p>
        </w:tc>
      </w:tr>
      <w:tr w:rsidR="00177F51" w:rsidRPr="006A1234" w14:paraId="58196D65" w14:textId="77777777" w:rsidTr="00177F51">
        <w:tc>
          <w:tcPr>
            <w:tcW w:w="1281" w:type="dxa"/>
            <w:tcBorders>
              <w:top w:val="nil"/>
              <w:left w:val="nil"/>
              <w:bottom w:val="nil"/>
              <w:right w:val="nil"/>
            </w:tcBorders>
          </w:tcPr>
          <w:p w14:paraId="3431F88C" w14:textId="77777777" w:rsidR="00177F51" w:rsidRPr="00177F51" w:rsidRDefault="00177F51" w:rsidP="00177F51">
            <w:pPr>
              <w:tabs>
                <w:tab w:val="left" w:pos="2261"/>
              </w:tabs>
              <w:rPr>
                <w:noProof/>
                <w:sz w:val="6"/>
                <w:szCs w:val="6"/>
              </w:rPr>
            </w:pPr>
          </w:p>
          <w:p w14:paraId="7C18F529" w14:textId="77777777" w:rsidR="00177F51" w:rsidRDefault="00177F51" w:rsidP="00177F51">
            <w:pPr>
              <w:tabs>
                <w:tab w:val="left" w:pos="2261"/>
              </w:tabs>
              <w:rPr>
                <w:rFonts w:cstheme="minorHAnsi"/>
                <w:b/>
                <w:bCs/>
                <w:color w:val="000000"/>
                <w:sz w:val="26"/>
                <w:szCs w:val="26"/>
              </w:rPr>
            </w:pPr>
            <w:r>
              <w:rPr>
                <w:noProof/>
              </w:rPr>
              <w:drawing>
                <wp:inline distT="0" distB="0" distL="0" distR="0" wp14:anchorId="0D4CD500" wp14:editId="57940903">
                  <wp:extent cx="658800" cy="900000"/>
                  <wp:effectExtent l="0" t="0" r="8255" b="0"/>
                  <wp:docPr id="1481812007"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00081"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476" w:type="dxa"/>
            <w:tcBorders>
              <w:top w:val="nil"/>
              <w:left w:val="nil"/>
              <w:bottom w:val="nil"/>
              <w:right w:val="nil"/>
            </w:tcBorders>
          </w:tcPr>
          <w:p w14:paraId="64823215" w14:textId="77777777" w:rsidR="00177F51" w:rsidRDefault="00177F51" w:rsidP="00177F51">
            <w:pPr>
              <w:rPr>
                <w:rFonts w:asciiTheme="minorHAnsi" w:hAnsiTheme="minorHAnsi" w:cstheme="minorHAnsi"/>
                <w:bCs/>
                <w:color w:val="000000"/>
                <w:sz w:val="22"/>
                <w:szCs w:val="22"/>
              </w:rPr>
            </w:pPr>
            <w:r w:rsidRPr="00882209">
              <w:rPr>
                <w:rFonts w:asciiTheme="minorHAnsi" w:hAnsiTheme="minorHAnsi" w:cstheme="minorHAnsi"/>
                <w:bCs/>
                <w:color w:val="000000"/>
                <w:sz w:val="22"/>
                <w:szCs w:val="22"/>
              </w:rPr>
              <w:t>Anna KORBELA</w:t>
            </w:r>
          </w:p>
          <w:p w14:paraId="45AF80B4" w14:textId="59E7FC10" w:rsidR="00755F82" w:rsidRDefault="00E86418" w:rsidP="001F6BE3">
            <w:pPr>
              <w:pStyle w:val="Akapitzlist"/>
              <w:numPr>
                <w:ilvl w:val="0"/>
                <w:numId w:val="45"/>
              </w:numPr>
              <w:ind w:left="297" w:hanging="283"/>
              <w:rPr>
                <w:rFonts w:eastAsia="Times New Roman" w:cstheme="minorHAnsi"/>
                <w:bCs/>
                <w:color w:val="000000"/>
              </w:rPr>
            </w:pPr>
            <w:r w:rsidRPr="00F95E5D">
              <w:rPr>
                <w:rFonts w:eastAsia="Times New Roman" w:cstheme="minorHAnsi"/>
                <w:bCs/>
                <w:color w:val="000000"/>
              </w:rPr>
              <w:t>w 1994 r.</w:t>
            </w:r>
            <w:r>
              <w:rPr>
                <w:rFonts w:eastAsia="Times New Roman" w:cstheme="minorHAnsi"/>
                <w:bCs/>
                <w:color w:val="000000"/>
              </w:rPr>
              <w:t xml:space="preserve"> </w:t>
            </w:r>
            <w:r w:rsidR="00FE4722">
              <w:rPr>
                <w:rFonts w:cstheme="minorHAnsi"/>
                <w:bCs/>
                <w:color w:val="000000"/>
              </w:rPr>
              <w:t xml:space="preserve">zdała </w:t>
            </w:r>
            <w:r w:rsidR="00755F82" w:rsidRPr="00F95E5D">
              <w:rPr>
                <w:rFonts w:eastAsia="Times New Roman" w:cstheme="minorHAnsi"/>
                <w:bCs/>
                <w:color w:val="000000"/>
              </w:rPr>
              <w:t xml:space="preserve">egzamin sędziowski </w:t>
            </w:r>
            <w:r w:rsidR="00755F82">
              <w:rPr>
                <w:rFonts w:eastAsia="Times New Roman" w:cstheme="minorHAnsi"/>
                <w:bCs/>
                <w:color w:val="000000"/>
              </w:rPr>
              <w:t xml:space="preserve">poprzedzony etatową aplikacją sędziowską (złożony z </w:t>
            </w:r>
            <w:r w:rsidR="00123357">
              <w:rPr>
                <w:rFonts w:eastAsia="Times New Roman" w:cstheme="minorHAnsi"/>
                <w:bCs/>
                <w:color w:val="000000"/>
              </w:rPr>
              <w:t xml:space="preserve">dobrym </w:t>
            </w:r>
            <w:r w:rsidR="00755F82">
              <w:rPr>
                <w:rFonts w:eastAsia="Times New Roman" w:cstheme="minorHAnsi"/>
                <w:bCs/>
                <w:color w:val="000000"/>
              </w:rPr>
              <w:t>wynikiem, umożliwiającym podjęcie kariery sędziowskiej</w:t>
            </w:r>
            <w:r w:rsidR="00D76DA8">
              <w:rPr>
                <w:rFonts w:eastAsia="Times New Roman" w:cstheme="minorHAnsi"/>
                <w:bCs/>
                <w:color w:val="000000"/>
              </w:rPr>
              <w:t>)</w:t>
            </w:r>
          </w:p>
          <w:p w14:paraId="71C84A22" w14:textId="639AD378" w:rsidR="00177F51" w:rsidRPr="009265CF" w:rsidRDefault="00177F51" w:rsidP="001F6BE3">
            <w:pPr>
              <w:pStyle w:val="Akapitzlist"/>
              <w:numPr>
                <w:ilvl w:val="0"/>
                <w:numId w:val="45"/>
              </w:numPr>
              <w:ind w:left="297" w:hanging="283"/>
              <w:rPr>
                <w:rFonts w:eastAsia="Times New Roman" w:cstheme="minorHAnsi"/>
                <w:bCs/>
                <w:color w:val="000000"/>
              </w:rPr>
            </w:pPr>
            <w:r w:rsidRPr="009265CF">
              <w:rPr>
                <w:rFonts w:eastAsia="Times New Roman" w:cstheme="minorHAnsi"/>
                <w:bCs/>
                <w:color w:val="000000"/>
              </w:rPr>
              <w:t>rzecznik patentowy nr 3040</w:t>
            </w:r>
          </w:p>
          <w:p w14:paraId="2BD0F9E2" w14:textId="77777777" w:rsidR="00177F51" w:rsidRPr="009265CF" w:rsidRDefault="00177F51" w:rsidP="001F6BE3">
            <w:pPr>
              <w:pStyle w:val="Akapitzlist"/>
              <w:numPr>
                <w:ilvl w:val="0"/>
                <w:numId w:val="45"/>
              </w:numPr>
              <w:ind w:left="297" w:hanging="283"/>
              <w:rPr>
                <w:rFonts w:eastAsia="Times New Roman" w:cstheme="minorHAnsi"/>
                <w:bCs/>
                <w:color w:val="000000"/>
              </w:rPr>
            </w:pPr>
            <w:r w:rsidRPr="009265CF">
              <w:rPr>
                <w:rFonts w:eastAsia="Times New Roman" w:cstheme="minorHAnsi"/>
                <w:bCs/>
                <w:color w:val="000000"/>
              </w:rPr>
              <w:t>radca prawny nr 364/96</w:t>
            </w:r>
          </w:p>
          <w:p w14:paraId="0B0F0C93" w14:textId="513747A6" w:rsidR="00177F51" w:rsidRPr="009265CF" w:rsidRDefault="00177F51" w:rsidP="001F6BE3">
            <w:pPr>
              <w:pStyle w:val="Akapitzlist"/>
              <w:numPr>
                <w:ilvl w:val="0"/>
                <w:numId w:val="45"/>
              </w:numPr>
              <w:ind w:left="297" w:hanging="283"/>
              <w:rPr>
                <w:rFonts w:eastAsia="Times New Roman" w:cstheme="minorHAnsi"/>
                <w:bCs/>
                <w:color w:val="000000"/>
              </w:rPr>
            </w:pPr>
            <w:r w:rsidRPr="009265CF">
              <w:rPr>
                <w:rFonts w:eastAsia="Times New Roman" w:cstheme="minorHAnsi"/>
                <w:bCs/>
                <w:color w:val="000000"/>
              </w:rPr>
              <w:t>profesjonalny pełnomocnik przed EUIPO (</w:t>
            </w:r>
            <w:r w:rsidRPr="00D25F02">
              <w:rPr>
                <w:rFonts w:eastAsia="Times New Roman" w:cstheme="minorHAnsi"/>
                <w:bCs/>
                <w:i/>
                <w:color w:val="000000"/>
              </w:rPr>
              <w:t>European Union Intellectual Property Office</w:t>
            </w:r>
            <w:r w:rsidRPr="009265CF">
              <w:rPr>
                <w:rFonts w:eastAsia="Times New Roman" w:cstheme="minorHAnsi"/>
                <w:bCs/>
                <w:color w:val="000000"/>
              </w:rPr>
              <w:t xml:space="preserve"> </w:t>
            </w:r>
            <w:r w:rsidR="00636601">
              <w:rPr>
                <w:rFonts w:eastAsia="Times New Roman" w:cstheme="minorHAnsi"/>
                <w:bCs/>
                <w:color w:val="000000"/>
              </w:rPr>
              <w:t>-</w:t>
            </w:r>
            <w:r w:rsidRPr="009265CF">
              <w:rPr>
                <w:rFonts w:eastAsia="Times New Roman" w:cstheme="minorHAnsi"/>
                <w:bCs/>
                <w:color w:val="000000"/>
              </w:rPr>
              <w:t xml:space="preserve"> </w:t>
            </w:r>
            <w:r w:rsidR="00F745E5" w:rsidRPr="009265CF">
              <w:rPr>
                <w:rFonts w:eastAsia="Times New Roman" w:cstheme="minorHAnsi"/>
                <w:bCs/>
                <w:color w:val="000000"/>
              </w:rPr>
              <w:t>Urz</w:t>
            </w:r>
            <w:r w:rsidR="00F745E5">
              <w:rPr>
                <w:rFonts w:eastAsia="Times New Roman" w:cstheme="minorHAnsi"/>
                <w:bCs/>
                <w:color w:val="000000"/>
              </w:rPr>
              <w:t>ę</w:t>
            </w:r>
            <w:r w:rsidR="00F745E5" w:rsidRPr="009265CF">
              <w:rPr>
                <w:rFonts w:eastAsia="Times New Roman" w:cstheme="minorHAnsi"/>
                <w:bCs/>
                <w:color w:val="000000"/>
              </w:rPr>
              <w:t>d</w:t>
            </w:r>
            <w:r w:rsidR="00F745E5">
              <w:rPr>
                <w:rFonts w:eastAsia="Times New Roman" w:cstheme="minorHAnsi"/>
                <w:bCs/>
                <w:color w:val="000000"/>
              </w:rPr>
              <w:t>em</w:t>
            </w:r>
            <w:r w:rsidR="00F745E5" w:rsidRPr="009265CF">
              <w:rPr>
                <w:rFonts w:eastAsia="Times New Roman" w:cstheme="minorHAnsi"/>
                <w:bCs/>
                <w:color w:val="000000"/>
              </w:rPr>
              <w:t xml:space="preserve"> </w:t>
            </w:r>
            <w:r w:rsidRPr="009265CF">
              <w:rPr>
                <w:rFonts w:eastAsia="Times New Roman" w:cstheme="minorHAnsi"/>
                <w:bCs/>
                <w:color w:val="000000"/>
              </w:rPr>
              <w:t>Unii Europejskiej ds. Własności Intelektualnej), nr 27595</w:t>
            </w:r>
          </w:p>
          <w:p w14:paraId="5B622317" w14:textId="77777777" w:rsidR="00177F51" w:rsidRPr="009265CF" w:rsidRDefault="00177F51" w:rsidP="001F6BE3">
            <w:pPr>
              <w:pStyle w:val="Akapitzlist"/>
              <w:numPr>
                <w:ilvl w:val="0"/>
                <w:numId w:val="45"/>
              </w:numPr>
              <w:ind w:left="297" w:hanging="283"/>
              <w:rPr>
                <w:rFonts w:eastAsia="Times New Roman" w:cstheme="minorHAnsi"/>
                <w:bCs/>
                <w:color w:val="000000"/>
              </w:rPr>
            </w:pPr>
            <w:r w:rsidRPr="009265CF">
              <w:rPr>
                <w:rFonts w:eastAsia="Times New Roman" w:cstheme="minorHAnsi"/>
                <w:bCs/>
                <w:color w:val="000000"/>
              </w:rPr>
              <w:t>Europejski Rzecznik Patentowy nr 137760</w:t>
            </w:r>
          </w:p>
          <w:p w14:paraId="5EE91254" w14:textId="62933F14" w:rsidR="00177F51" w:rsidRPr="009265CF" w:rsidRDefault="00177F51" w:rsidP="001F6BE3">
            <w:pPr>
              <w:pStyle w:val="Akapitzlist"/>
              <w:numPr>
                <w:ilvl w:val="0"/>
                <w:numId w:val="45"/>
              </w:numPr>
              <w:ind w:left="297" w:hanging="283"/>
              <w:rPr>
                <w:rFonts w:eastAsia="Times New Roman" w:cstheme="minorHAnsi"/>
                <w:bCs/>
                <w:color w:val="000000"/>
              </w:rPr>
            </w:pPr>
            <w:r w:rsidRPr="009265CF">
              <w:rPr>
                <w:rFonts w:eastAsia="Times New Roman" w:cstheme="minorHAnsi"/>
                <w:bCs/>
                <w:color w:val="000000"/>
              </w:rPr>
              <w:t>pełnomocnik uprawniony do działania przed DPMA (</w:t>
            </w:r>
            <w:proofErr w:type="spellStart"/>
            <w:r w:rsidRPr="00D25F02">
              <w:rPr>
                <w:rFonts w:eastAsia="Times New Roman" w:cstheme="minorHAnsi"/>
                <w:bCs/>
                <w:i/>
                <w:color w:val="000000"/>
              </w:rPr>
              <w:t>Deutsches</w:t>
            </w:r>
            <w:proofErr w:type="spellEnd"/>
            <w:r w:rsidRPr="00D25F02">
              <w:rPr>
                <w:rFonts w:eastAsia="Times New Roman" w:cstheme="minorHAnsi"/>
                <w:bCs/>
                <w:i/>
                <w:color w:val="000000"/>
              </w:rPr>
              <w:t xml:space="preserve"> Patent- </w:t>
            </w:r>
            <w:proofErr w:type="spellStart"/>
            <w:r w:rsidRPr="00D25F02">
              <w:rPr>
                <w:rFonts w:eastAsia="Times New Roman" w:cstheme="minorHAnsi"/>
                <w:bCs/>
                <w:i/>
                <w:color w:val="000000"/>
              </w:rPr>
              <w:t>und</w:t>
            </w:r>
            <w:proofErr w:type="spellEnd"/>
            <w:r w:rsidRPr="00D25F02">
              <w:rPr>
                <w:rFonts w:eastAsia="Times New Roman" w:cstheme="minorHAnsi"/>
                <w:bCs/>
                <w:i/>
                <w:color w:val="000000"/>
              </w:rPr>
              <w:t xml:space="preserve"> </w:t>
            </w:r>
            <w:proofErr w:type="spellStart"/>
            <w:r w:rsidRPr="00D25F02">
              <w:rPr>
                <w:rFonts w:eastAsia="Times New Roman" w:cstheme="minorHAnsi"/>
                <w:bCs/>
                <w:i/>
                <w:color w:val="000000"/>
              </w:rPr>
              <w:t>Markenamt</w:t>
            </w:r>
            <w:proofErr w:type="spellEnd"/>
            <w:r w:rsidRPr="009265CF">
              <w:rPr>
                <w:rFonts w:eastAsia="Times New Roman" w:cstheme="minorHAnsi"/>
                <w:bCs/>
                <w:color w:val="000000"/>
              </w:rPr>
              <w:t xml:space="preserve"> </w:t>
            </w:r>
            <w:r w:rsidR="00636601">
              <w:rPr>
                <w:rFonts w:eastAsia="Times New Roman" w:cstheme="minorHAnsi"/>
                <w:bCs/>
                <w:color w:val="000000"/>
              </w:rPr>
              <w:t>-</w:t>
            </w:r>
            <w:r w:rsidRPr="009265CF">
              <w:rPr>
                <w:rFonts w:eastAsia="Times New Roman" w:cstheme="minorHAnsi"/>
                <w:bCs/>
                <w:color w:val="000000"/>
              </w:rPr>
              <w:t xml:space="preserve"> </w:t>
            </w:r>
            <w:r w:rsidR="00636601" w:rsidRPr="009265CF">
              <w:rPr>
                <w:rFonts w:eastAsia="Times New Roman" w:cstheme="minorHAnsi"/>
                <w:bCs/>
                <w:color w:val="000000"/>
              </w:rPr>
              <w:t>Niemiecki</w:t>
            </w:r>
            <w:r w:rsidR="00636601">
              <w:rPr>
                <w:rFonts w:eastAsia="Times New Roman" w:cstheme="minorHAnsi"/>
                <w:bCs/>
                <w:color w:val="000000"/>
              </w:rPr>
              <w:t>m</w:t>
            </w:r>
            <w:r w:rsidR="00636601" w:rsidRPr="009265CF">
              <w:rPr>
                <w:rFonts w:eastAsia="Times New Roman" w:cstheme="minorHAnsi"/>
                <w:bCs/>
                <w:color w:val="000000"/>
              </w:rPr>
              <w:t xml:space="preserve"> Urz</w:t>
            </w:r>
            <w:r w:rsidR="00636601">
              <w:rPr>
                <w:rFonts w:eastAsia="Times New Roman" w:cstheme="minorHAnsi"/>
                <w:bCs/>
                <w:color w:val="000000"/>
              </w:rPr>
              <w:t>ę</w:t>
            </w:r>
            <w:r w:rsidR="00636601" w:rsidRPr="009265CF">
              <w:rPr>
                <w:rFonts w:eastAsia="Times New Roman" w:cstheme="minorHAnsi"/>
                <w:bCs/>
                <w:color w:val="000000"/>
              </w:rPr>
              <w:t>d</w:t>
            </w:r>
            <w:r w:rsidR="00636601">
              <w:rPr>
                <w:rFonts w:eastAsia="Times New Roman" w:cstheme="minorHAnsi"/>
                <w:bCs/>
                <w:color w:val="000000"/>
              </w:rPr>
              <w:t>em</w:t>
            </w:r>
            <w:r w:rsidR="00636601" w:rsidRPr="009265CF">
              <w:rPr>
                <w:rFonts w:eastAsia="Times New Roman" w:cstheme="minorHAnsi"/>
                <w:bCs/>
                <w:color w:val="000000"/>
              </w:rPr>
              <w:t xml:space="preserve"> ds. Patentów</w:t>
            </w:r>
            <w:r w:rsidR="006E2F4F">
              <w:rPr>
                <w:rFonts w:eastAsia="Times New Roman" w:cstheme="minorHAnsi"/>
                <w:bCs/>
                <w:color w:val="000000"/>
              </w:rPr>
              <w:t xml:space="preserve"> </w:t>
            </w:r>
            <w:r w:rsidRPr="009265CF">
              <w:rPr>
                <w:rFonts w:eastAsia="Times New Roman" w:cstheme="minorHAnsi"/>
                <w:bCs/>
                <w:color w:val="000000"/>
              </w:rPr>
              <w:t>i Znaków Towarowych) nr 38701324</w:t>
            </w:r>
          </w:p>
          <w:p w14:paraId="39981AD0" w14:textId="77777777" w:rsidR="006E2F4F" w:rsidRDefault="00177F51" w:rsidP="006E2F4F">
            <w:pPr>
              <w:pStyle w:val="Akapitzlist"/>
              <w:numPr>
                <w:ilvl w:val="0"/>
                <w:numId w:val="45"/>
              </w:numPr>
              <w:ind w:left="297" w:hanging="283"/>
              <w:rPr>
                <w:rFonts w:eastAsia="Times New Roman" w:cstheme="minorHAnsi"/>
                <w:bCs/>
                <w:color w:val="000000"/>
              </w:rPr>
            </w:pPr>
            <w:r w:rsidRPr="009265CF">
              <w:rPr>
                <w:rFonts w:eastAsia="Times New Roman" w:cstheme="minorHAnsi"/>
                <w:bCs/>
                <w:color w:val="000000"/>
              </w:rPr>
              <w:t>pełnomocnik przed UPC (</w:t>
            </w:r>
            <w:proofErr w:type="spellStart"/>
            <w:r w:rsidRPr="00D25F02">
              <w:rPr>
                <w:rFonts w:eastAsia="Times New Roman" w:cstheme="minorHAnsi"/>
                <w:bCs/>
                <w:i/>
                <w:color w:val="000000"/>
              </w:rPr>
              <w:t>Unitary</w:t>
            </w:r>
            <w:proofErr w:type="spellEnd"/>
            <w:r w:rsidRPr="00D25F02">
              <w:rPr>
                <w:rFonts w:eastAsia="Times New Roman" w:cstheme="minorHAnsi"/>
                <w:bCs/>
                <w:i/>
                <w:color w:val="000000"/>
              </w:rPr>
              <w:t xml:space="preserve"> Patent Court</w:t>
            </w:r>
            <w:r w:rsidRPr="009265CF">
              <w:rPr>
                <w:rFonts w:eastAsia="Times New Roman" w:cstheme="minorHAnsi"/>
                <w:bCs/>
                <w:color w:val="000000"/>
              </w:rPr>
              <w:t xml:space="preserve"> </w:t>
            </w:r>
            <w:r w:rsidR="00636601">
              <w:rPr>
                <w:rFonts w:eastAsia="Times New Roman" w:cstheme="minorHAnsi"/>
                <w:bCs/>
                <w:color w:val="000000"/>
              </w:rPr>
              <w:t>-</w:t>
            </w:r>
            <w:r w:rsidRPr="009265CF">
              <w:rPr>
                <w:rFonts w:eastAsia="Times New Roman" w:cstheme="minorHAnsi"/>
                <w:bCs/>
                <w:color w:val="000000"/>
              </w:rPr>
              <w:t xml:space="preserve"> Jednolitym Sądem Patentowym) AUTH_525119/2023</w:t>
            </w:r>
          </w:p>
          <w:p w14:paraId="6CEF471C" w14:textId="77777777" w:rsidR="006E2F4F" w:rsidRDefault="00177F51" w:rsidP="006E2F4F">
            <w:pPr>
              <w:pStyle w:val="Akapitzlist"/>
              <w:numPr>
                <w:ilvl w:val="0"/>
                <w:numId w:val="45"/>
              </w:numPr>
              <w:ind w:left="297" w:hanging="283"/>
              <w:rPr>
                <w:rFonts w:eastAsia="Times New Roman" w:cstheme="minorHAnsi"/>
                <w:bCs/>
                <w:color w:val="000000"/>
              </w:rPr>
            </w:pPr>
            <w:r w:rsidRPr="006E2F4F">
              <w:rPr>
                <w:rFonts w:eastAsia="Times New Roman" w:cstheme="minorHAnsi"/>
                <w:bCs/>
                <w:color w:val="000000"/>
              </w:rPr>
              <w:t>Prezes Polskiej Izby Rzeczników Patentowych w latach 2009-2013 i 2013-2017</w:t>
            </w:r>
          </w:p>
          <w:p w14:paraId="4FA6A489" w14:textId="35CF4DFA" w:rsidR="00177F51" w:rsidRPr="006E2F4F" w:rsidRDefault="00177F51" w:rsidP="006E2F4F">
            <w:pPr>
              <w:pStyle w:val="Akapitzlist"/>
              <w:numPr>
                <w:ilvl w:val="0"/>
                <w:numId w:val="45"/>
              </w:numPr>
              <w:ind w:left="297" w:hanging="283"/>
              <w:rPr>
                <w:rFonts w:eastAsia="Times New Roman" w:cstheme="minorHAnsi"/>
                <w:bCs/>
                <w:color w:val="000000"/>
              </w:rPr>
            </w:pPr>
            <w:r w:rsidRPr="006E2F4F">
              <w:rPr>
                <w:rFonts w:eastAsia="Times New Roman" w:cstheme="minorHAnsi"/>
                <w:bCs/>
                <w:color w:val="000000"/>
              </w:rPr>
              <w:t>Prezes StoWI od 2023 r.</w:t>
            </w:r>
          </w:p>
          <w:p w14:paraId="4702F90E" w14:textId="77777777" w:rsidR="004B308F" w:rsidRPr="00233C06" w:rsidRDefault="004B308F" w:rsidP="00177F51">
            <w:pPr>
              <w:pStyle w:val="Akapitzlist"/>
              <w:ind w:left="669"/>
              <w:rPr>
                <w:rFonts w:ascii="Times New Roman" w:eastAsia="Times New Roman" w:hAnsi="Times New Roman" w:cstheme="minorHAnsi"/>
                <w:b/>
                <w:bCs/>
                <w:color w:val="000000"/>
                <w:sz w:val="6"/>
                <w:szCs w:val="6"/>
              </w:rPr>
            </w:pPr>
          </w:p>
        </w:tc>
      </w:tr>
      <w:tr w:rsidR="00177F51" w:rsidRPr="00312AD3" w14:paraId="6A11437D" w14:textId="77777777" w:rsidTr="00177F51">
        <w:tc>
          <w:tcPr>
            <w:tcW w:w="1281" w:type="dxa"/>
            <w:tcBorders>
              <w:top w:val="nil"/>
              <w:left w:val="nil"/>
              <w:bottom w:val="nil"/>
              <w:right w:val="nil"/>
            </w:tcBorders>
          </w:tcPr>
          <w:p w14:paraId="62869754" w14:textId="77777777" w:rsidR="00177F51" w:rsidRPr="00177F51" w:rsidRDefault="00177F51" w:rsidP="00177F51">
            <w:pPr>
              <w:tabs>
                <w:tab w:val="left" w:pos="2261"/>
              </w:tabs>
              <w:rPr>
                <w:noProof/>
                <w:sz w:val="6"/>
                <w:szCs w:val="6"/>
              </w:rPr>
            </w:pPr>
          </w:p>
          <w:p w14:paraId="606850F9" w14:textId="77777777" w:rsidR="00177F51" w:rsidRPr="00EC4F25" w:rsidRDefault="00177F51" w:rsidP="00177F51">
            <w:pPr>
              <w:tabs>
                <w:tab w:val="left" w:pos="2261"/>
              </w:tabs>
              <w:rPr>
                <w:b/>
                <w:bCs/>
                <w:noProof/>
                <w:sz w:val="18"/>
                <w:szCs w:val="18"/>
              </w:rPr>
            </w:pPr>
            <w:r>
              <w:rPr>
                <w:noProof/>
              </w:rPr>
              <w:drawing>
                <wp:anchor distT="0" distB="0" distL="114300" distR="114300" simplePos="0" relativeHeight="252322816" behindDoc="0" locked="0" layoutInCell="1" allowOverlap="1" wp14:anchorId="652A91C7" wp14:editId="5E7A91AD">
                  <wp:simplePos x="0" y="0"/>
                  <wp:positionH relativeFrom="column">
                    <wp:posOffset>1198</wp:posOffset>
                  </wp:positionH>
                  <wp:positionV relativeFrom="paragraph">
                    <wp:posOffset>-43815</wp:posOffset>
                  </wp:positionV>
                  <wp:extent cx="676800" cy="900000"/>
                  <wp:effectExtent l="0" t="0" r="9525" b="0"/>
                  <wp:wrapNone/>
                  <wp:docPr id="499574381" name="Obraz 17" descr="Obraz zawierający osoba, ubrania, człowiek,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79556" name="Obraz 17" descr="Obraz zawierający osoba, ubrania, człowiek, okno&#10;&#10;Opis wygenerowany automatyczni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76800" cy="900000"/>
                          </a:xfrm>
                          <a:prstGeom prst="rect">
                            <a:avLst/>
                          </a:prstGeom>
                          <a:noFill/>
                          <a:ln>
                            <a:noFill/>
                          </a:ln>
                        </pic:spPr>
                      </pic:pic>
                    </a:graphicData>
                  </a:graphic>
                </wp:anchor>
              </w:drawing>
            </w:r>
          </w:p>
        </w:tc>
        <w:tc>
          <w:tcPr>
            <w:tcW w:w="8476" w:type="dxa"/>
            <w:tcBorders>
              <w:top w:val="nil"/>
              <w:left w:val="nil"/>
              <w:bottom w:val="nil"/>
              <w:right w:val="nil"/>
            </w:tcBorders>
          </w:tcPr>
          <w:p w14:paraId="1CF74A09" w14:textId="77777777" w:rsidR="00177F51" w:rsidRDefault="00177F51" w:rsidP="00177F51">
            <w:pPr>
              <w:rPr>
                <w:rFonts w:asciiTheme="minorHAnsi" w:hAnsiTheme="minorHAnsi" w:cstheme="minorHAnsi"/>
                <w:bCs/>
                <w:color w:val="000000"/>
              </w:rPr>
            </w:pPr>
            <w:r w:rsidRPr="00627AAE">
              <w:rPr>
                <w:rFonts w:asciiTheme="minorHAnsi" w:hAnsiTheme="minorHAnsi" w:cstheme="minorHAnsi"/>
                <w:bCs/>
                <w:color w:val="000000"/>
              </w:rPr>
              <w:t>Tadeusz REJMAN</w:t>
            </w:r>
          </w:p>
          <w:p w14:paraId="55DFEC1F" w14:textId="77777777" w:rsidR="00177F51" w:rsidRPr="00627AAE" w:rsidRDefault="00177F51" w:rsidP="001F6BE3">
            <w:pPr>
              <w:pStyle w:val="Akapitzlist"/>
              <w:numPr>
                <w:ilvl w:val="0"/>
                <w:numId w:val="49"/>
              </w:numPr>
              <w:ind w:left="297" w:hanging="297"/>
              <w:rPr>
                <w:rFonts w:eastAsia="Times New Roman" w:cstheme="minorHAnsi"/>
                <w:bCs/>
                <w:color w:val="000000"/>
              </w:rPr>
            </w:pPr>
            <w:r w:rsidRPr="00627AAE">
              <w:rPr>
                <w:rFonts w:eastAsia="Times New Roman" w:cstheme="minorHAnsi"/>
                <w:bCs/>
                <w:color w:val="000000"/>
              </w:rPr>
              <w:t>rzecznik patentowy</w:t>
            </w:r>
          </w:p>
          <w:p w14:paraId="0A724B97" w14:textId="77777777" w:rsidR="00177F51" w:rsidRPr="00627AAE" w:rsidRDefault="00177F51" w:rsidP="001F6BE3">
            <w:pPr>
              <w:pStyle w:val="Akapitzlist"/>
              <w:numPr>
                <w:ilvl w:val="0"/>
                <w:numId w:val="49"/>
              </w:numPr>
              <w:ind w:left="297" w:hanging="297"/>
              <w:rPr>
                <w:rFonts w:eastAsia="Times New Roman" w:cstheme="minorHAnsi"/>
                <w:bCs/>
                <w:color w:val="000000"/>
              </w:rPr>
            </w:pPr>
            <w:r w:rsidRPr="00627AAE">
              <w:rPr>
                <w:rFonts w:eastAsia="Times New Roman" w:cstheme="minorHAnsi"/>
                <w:bCs/>
                <w:color w:val="000000"/>
              </w:rPr>
              <w:t>współzałożyciel Polskiej Izby Rzeczników Patentowych</w:t>
            </w:r>
          </w:p>
          <w:p w14:paraId="5DCA89AA" w14:textId="2EE6EF21" w:rsidR="00177F51" w:rsidRPr="00312AD3" w:rsidRDefault="00177F51" w:rsidP="001F6BE3">
            <w:pPr>
              <w:pStyle w:val="Akapitzlist"/>
              <w:numPr>
                <w:ilvl w:val="0"/>
                <w:numId w:val="49"/>
              </w:numPr>
              <w:ind w:left="297" w:hanging="297"/>
              <w:rPr>
                <w:rFonts w:ascii="Times New Roman" w:eastAsia="Times New Roman" w:hAnsi="Times New Roman" w:cstheme="minorHAnsi"/>
                <w:bCs/>
                <w:color w:val="000000"/>
              </w:rPr>
            </w:pPr>
            <w:r w:rsidRPr="00627AAE">
              <w:rPr>
                <w:rFonts w:eastAsia="Times New Roman" w:cstheme="minorHAnsi"/>
                <w:bCs/>
                <w:color w:val="000000"/>
              </w:rPr>
              <w:t>uczestnik I Krajowego Zjazdu w dniu 28.08.1993 r.</w:t>
            </w:r>
            <w:r w:rsidR="000420EF">
              <w:rPr>
                <w:rFonts w:eastAsia="Times New Roman" w:cstheme="minorHAnsi"/>
                <w:bCs/>
                <w:color w:val="000000"/>
              </w:rPr>
              <w:t xml:space="preserve"> </w:t>
            </w:r>
          </w:p>
          <w:p w14:paraId="3E10263C" w14:textId="77777777" w:rsidR="00177F51" w:rsidRDefault="00177F51" w:rsidP="00177F51">
            <w:pPr>
              <w:rPr>
                <w:rFonts w:cstheme="minorHAnsi"/>
                <w:bCs/>
                <w:color w:val="000000"/>
              </w:rPr>
            </w:pPr>
          </w:p>
          <w:p w14:paraId="2FD71A1B" w14:textId="5BA230E4" w:rsidR="00CD1E7A" w:rsidRPr="00312AD3" w:rsidRDefault="00CD1E7A" w:rsidP="00177F51">
            <w:pPr>
              <w:rPr>
                <w:rFonts w:cstheme="minorHAnsi"/>
                <w:bCs/>
                <w:color w:val="000000"/>
              </w:rPr>
            </w:pPr>
          </w:p>
        </w:tc>
      </w:tr>
    </w:tbl>
    <w:p w14:paraId="1E0049F7" w14:textId="544CF292" w:rsidR="002B6DA8" w:rsidRPr="00EC4F25" w:rsidRDefault="00D857A7" w:rsidP="00D857A7">
      <w:pPr>
        <w:spacing w:after="0" w:line="240" w:lineRule="auto"/>
        <w:jc w:val="center"/>
        <w:rPr>
          <w:b/>
          <w:bCs/>
        </w:rPr>
      </w:pPr>
      <w:bookmarkStart w:id="63" w:name="_Hlk159522602"/>
      <w:r>
        <w:rPr>
          <w:b/>
          <w:bCs/>
          <w:noProof/>
          <w:lang w:eastAsia="pl-PL"/>
        </w:rPr>
        <w:lastRenderedPageBreak/>
        <w:drawing>
          <wp:inline distT="0" distB="0" distL="0" distR="0" wp14:anchorId="625173C9" wp14:editId="047506AE">
            <wp:extent cx="6372208" cy="2923511"/>
            <wp:effectExtent l="0" t="0" r="0" b="0"/>
            <wp:docPr id="1848271547" name="Obraz 184827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78905" cy="2926584"/>
                    </a:xfrm>
                    <a:prstGeom prst="rect">
                      <a:avLst/>
                    </a:prstGeom>
                    <a:noFill/>
                    <a:ln>
                      <a:noFill/>
                    </a:ln>
                  </pic:spPr>
                </pic:pic>
              </a:graphicData>
            </a:graphic>
          </wp:inline>
        </w:drawing>
      </w:r>
    </w:p>
    <w:p w14:paraId="29ADBFEE" w14:textId="77777777" w:rsidR="00E6705E" w:rsidRPr="00E6705E" w:rsidRDefault="00E6705E" w:rsidP="00A65523">
      <w:pPr>
        <w:spacing w:after="0" w:line="240" w:lineRule="auto"/>
        <w:ind w:firstLine="567"/>
        <w:jc w:val="both"/>
        <w:rPr>
          <w:sz w:val="10"/>
          <w:szCs w:val="10"/>
        </w:rPr>
      </w:pPr>
    </w:p>
    <w:p w14:paraId="203CAE0A" w14:textId="77777777" w:rsidR="00E6705E" w:rsidRDefault="00E6705E" w:rsidP="00A65523">
      <w:pPr>
        <w:spacing w:after="0" w:line="240" w:lineRule="auto"/>
        <w:ind w:firstLine="567"/>
        <w:jc w:val="both"/>
        <w:rPr>
          <w:rFonts w:ascii="Times New Roman" w:hAnsi="Times New Roman" w:cs="Times New Roman"/>
          <w:sz w:val="24"/>
          <w:szCs w:val="24"/>
        </w:rPr>
      </w:pPr>
    </w:p>
    <w:p w14:paraId="06EDA668" w14:textId="2D974B9E"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Ośmielamy się prosić Pana Ministra o życzliwe zainicjowanie, względnie poparcie - w ramach władczych kompetencji określonych w art. 260 ustawy z 30 czerwca 2000 r. Prawo własności przemysłowej (Dz. U. 2021 </w:t>
      </w:r>
      <w:r w:rsidR="002277C1" w:rsidRPr="00E6705E">
        <w:rPr>
          <w:rFonts w:ascii="Times New Roman" w:hAnsi="Times New Roman" w:cs="Times New Roman"/>
          <w:sz w:val="24"/>
          <w:szCs w:val="24"/>
        </w:rPr>
        <w:t xml:space="preserve">r., poz. 324), dalej nazywanej </w:t>
      </w:r>
      <w:r w:rsidR="002277C1" w:rsidRPr="00E6705E">
        <w:rPr>
          <w:rFonts w:ascii="Times New Roman" w:hAnsi="Times New Roman" w:cs="Times New Roman"/>
          <w:i/>
          <w:sz w:val="24"/>
          <w:szCs w:val="24"/>
        </w:rPr>
        <w:t>„p.w.p.”</w:t>
      </w:r>
      <w:r w:rsidRPr="00E6705E">
        <w:rPr>
          <w:rFonts w:ascii="Times New Roman" w:hAnsi="Times New Roman" w:cs="Times New Roman"/>
          <w:sz w:val="24"/>
          <w:szCs w:val="24"/>
        </w:rPr>
        <w:t xml:space="preserve"> - działań Urzędu Patentowego RP, które mogą zostać zrealizowane przez Panią Prezes kierującą pracami Panią Dyrektor, a które wynikają z konieczności prowadzenia przez Departament Prawny i Orzecznictwa Urzędu Patentowego RP postępowań spornych w warunkach, które zapewnią i ułatwią realizowanie cenionych przez nas zasad ogólnych, mających bezpośredni wpływ na treść rozstrzygnięcia każdej sprawy, tj. zasad:</w:t>
      </w:r>
    </w:p>
    <w:p w14:paraId="66158EB7" w14:textId="77777777" w:rsidR="006256D0" w:rsidRPr="00E6705E" w:rsidRDefault="006256D0" w:rsidP="006256D0">
      <w:pPr>
        <w:spacing w:after="0" w:line="240" w:lineRule="auto"/>
        <w:ind w:firstLine="708"/>
        <w:jc w:val="both"/>
        <w:rPr>
          <w:rFonts w:ascii="Times New Roman" w:hAnsi="Times New Roman" w:cs="Times New Roman"/>
          <w:sz w:val="8"/>
          <w:szCs w:val="8"/>
        </w:rPr>
      </w:pPr>
    </w:p>
    <w:p w14:paraId="6410DF64" w14:textId="155B0FBD"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praworządności, </w:t>
      </w:r>
    </w:p>
    <w:p w14:paraId="7656E228" w14:textId="61777A09"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wyważania wymagań interesu społecznego i jednostkowego, </w:t>
      </w:r>
    </w:p>
    <w:p w14:paraId="7E2F08C5" w14:textId="3F9183D6"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budowy zaufania do organów publicznych, </w:t>
      </w:r>
    </w:p>
    <w:p w14:paraId="6D7071AA" w14:textId="4C7B770B"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bezstronności, </w:t>
      </w:r>
    </w:p>
    <w:p w14:paraId="0DC56997" w14:textId="3792B3B8"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równego traktowania i </w:t>
      </w:r>
    </w:p>
    <w:p w14:paraId="69708FCF" w14:textId="120561B4"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proporcjonalności, a także </w:t>
      </w:r>
    </w:p>
    <w:p w14:paraId="1E49DCC1" w14:textId="7381F148"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pewności prawa, </w:t>
      </w:r>
    </w:p>
    <w:p w14:paraId="12A6A8D0" w14:textId="5B124E84"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 xml:space="preserve">przekonywania, ponieważ motywy wydawanego orzeczenia powinny być tak przedstawione przez Urząd Patentowy, aby strona zainteresowana mogła zrozumieć zasadność przesłanek faktycznych i prawnych, którymi kierował się organ przy podejmowaniu decyzji, </w:t>
      </w:r>
    </w:p>
    <w:p w14:paraId="1EA6FF18" w14:textId="685B056D" w:rsidR="006256D0" w:rsidRPr="00E6705E" w:rsidRDefault="006256D0" w:rsidP="00355D81">
      <w:pPr>
        <w:pStyle w:val="Akapitzlist"/>
        <w:numPr>
          <w:ilvl w:val="0"/>
          <w:numId w:val="55"/>
        </w:numPr>
        <w:ind w:left="567" w:hanging="425"/>
        <w:jc w:val="both"/>
        <w:rPr>
          <w:rFonts w:ascii="Times New Roman" w:hAnsi="Times New Roman"/>
        </w:rPr>
      </w:pPr>
      <w:r w:rsidRPr="00E6705E">
        <w:rPr>
          <w:rFonts w:ascii="Times New Roman" w:hAnsi="Times New Roman"/>
          <w:sz w:val="24"/>
          <w:szCs w:val="24"/>
        </w:rPr>
        <w:t>czynnego udziału strony w postępowaniu oraz</w:t>
      </w:r>
      <w:r w:rsidRPr="00E6705E">
        <w:rPr>
          <w:rFonts w:ascii="Times New Roman" w:hAnsi="Times New Roman"/>
        </w:rPr>
        <w:t xml:space="preserve"> </w:t>
      </w:r>
    </w:p>
    <w:p w14:paraId="0794F2CB" w14:textId="06EC20E2" w:rsidR="006256D0" w:rsidRPr="00E6705E" w:rsidRDefault="006256D0" w:rsidP="00355D81">
      <w:pPr>
        <w:pStyle w:val="Akapitzlist"/>
        <w:numPr>
          <w:ilvl w:val="0"/>
          <w:numId w:val="55"/>
        </w:numPr>
        <w:ind w:left="567" w:hanging="425"/>
        <w:jc w:val="both"/>
        <w:rPr>
          <w:rFonts w:ascii="Times New Roman" w:hAnsi="Times New Roman"/>
          <w:sz w:val="24"/>
          <w:szCs w:val="24"/>
        </w:rPr>
      </w:pPr>
      <w:r w:rsidRPr="00E6705E">
        <w:rPr>
          <w:rFonts w:ascii="Times New Roman" w:hAnsi="Times New Roman"/>
          <w:sz w:val="24"/>
          <w:szCs w:val="24"/>
        </w:rPr>
        <w:t>udzielania stronom informacji faktycznej i prawnej w trakcie jego trwania.</w:t>
      </w:r>
      <w:bookmarkEnd w:id="61"/>
    </w:p>
    <w:p w14:paraId="78331CA0" w14:textId="77777777" w:rsidR="006256D0" w:rsidRDefault="006256D0" w:rsidP="006256D0">
      <w:pPr>
        <w:spacing w:after="0" w:line="240" w:lineRule="auto"/>
        <w:jc w:val="both"/>
        <w:rPr>
          <w:rFonts w:ascii="Times New Roman" w:hAnsi="Times New Roman" w:cs="Times New Roman"/>
          <w:sz w:val="20"/>
          <w:szCs w:val="20"/>
        </w:rPr>
      </w:pPr>
    </w:p>
    <w:p w14:paraId="5BDE1FE2" w14:textId="77777777" w:rsidR="006256D0" w:rsidRPr="00E6705E" w:rsidRDefault="006256D0" w:rsidP="006256D0">
      <w:pPr>
        <w:spacing w:after="0" w:line="240" w:lineRule="auto"/>
        <w:jc w:val="center"/>
        <w:rPr>
          <w:rFonts w:ascii="Times New Roman" w:hAnsi="Times New Roman" w:cs="Times New Roman"/>
          <w:sz w:val="24"/>
          <w:szCs w:val="24"/>
        </w:rPr>
      </w:pPr>
      <w:r w:rsidRPr="00E6705E">
        <w:rPr>
          <w:rFonts w:ascii="Times New Roman" w:hAnsi="Times New Roman" w:cs="Times New Roman"/>
          <w:sz w:val="24"/>
          <w:szCs w:val="24"/>
        </w:rPr>
        <w:t>PODSTAWY PRAWNE WARUNKUJĄCE NINIEJSZE WYSTĄPIENIE</w:t>
      </w:r>
    </w:p>
    <w:p w14:paraId="737A0162" w14:textId="77777777" w:rsidR="006256D0" w:rsidRPr="00E6705E" w:rsidRDefault="006256D0" w:rsidP="006256D0">
      <w:pPr>
        <w:spacing w:after="0" w:line="240" w:lineRule="auto"/>
        <w:jc w:val="both"/>
        <w:rPr>
          <w:rFonts w:ascii="Times New Roman" w:hAnsi="Times New Roman" w:cs="Times New Roman"/>
          <w:sz w:val="24"/>
          <w:szCs w:val="24"/>
        </w:rPr>
      </w:pPr>
    </w:p>
    <w:p w14:paraId="2A93F61A"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Aby zagwarantować realizację tych zasad korzystamy z możliwości, jakie stwarza </w:t>
      </w:r>
      <w:r w:rsidRPr="00E6705E">
        <w:rPr>
          <w:rFonts w:ascii="Times New Roman" w:hAnsi="Times New Roman" w:cs="Times New Roman"/>
          <w:b/>
          <w:bCs/>
          <w:sz w:val="24"/>
          <w:szCs w:val="24"/>
        </w:rPr>
        <w:t>art. 63 Konstytucji Rzeczypospolitej Polskie</w:t>
      </w:r>
      <w:r w:rsidRPr="00E6705E">
        <w:rPr>
          <w:rFonts w:ascii="Times New Roman" w:hAnsi="Times New Roman" w:cs="Times New Roman"/>
          <w:sz w:val="24"/>
          <w:szCs w:val="24"/>
        </w:rPr>
        <w:t xml:space="preserve">j dotyczący prawa petycji (w każdej sytuacji, która wymaga usprawnienia). Realizujemy także </w:t>
      </w:r>
      <w:r w:rsidRPr="00E6705E">
        <w:rPr>
          <w:rFonts w:ascii="Times New Roman" w:hAnsi="Times New Roman" w:cs="Times New Roman"/>
          <w:b/>
          <w:bCs/>
          <w:sz w:val="24"/>
          <w:szCs w:val="24"/>
        </w:rPr>
        <w:t>art. 221</w:t>
      </w:r>
      <w:r w:rsidRPr="00E6705E">
        <w:rPr>
          <w:rFonts w:ascii="Times New Roman" w:hAnsi="Times New Roman" w:cs="Times New Roman"/>
          <w:sz w:val="24"/>
          <w:szCs w:val="24"/>
        </w:rPr>
        <w:t xml:space="preserve"> ustawy z dnia 14 czerwca 1960 r. </w:t>
      </w:r>
      <w:r w:rsidRPr="00E6705E">
        <w:rPr>
          <w:rFonts w:ascii="Times New Roman" w:hAnsi="Times New Roman" w:cs="Times New Roman"/>
          <w:b/>
          <w:bCs/>
          <w:sz w:val="24"/>
          <w:szCs w:val="24"/>
        </w:rPr>
        <w:t>Kodeks postępowania administracyjnego</w:t>
      </w:r>
      <w:r w:rsidRPr="00E6705E">
        <w:rPr>
          <w:rFonts w:ascii="Times New Roman" w:hAnsi="Times New Roman" w:cs="Times New Roman"/>
          <w:sz w:val="24"/>
          <w:szCs w:val="24"/>
        </w:rPr>
        <w:t xml:space="preserve"> (Dz. U. 2021 r. poz. 735 z późn. zm.), nazywanej dalej: „</w:t>
      </w:r>
      <w:r w:rsidRPr="00E6705E">
        <w:rPr>
          <w:rFonts w:ascii="Times New Roman" w:hAnsi="Times New Roman" w:cs="Times New Roman"/>
          <w:i/>
          <w:iCs/>
          <w:sz w:val="24"/>
          <w:szCs w:val="24"/>
        </w:rPr>
        <w:t>k.p.a.”</w:t>
      </w:r>
      <w:r w:rsidRPr="00E6705E">
        <w:rPr>
          <w:rFonts w:ascii="Times New Roman" w:hAnsi="Times New Roman" w:cs="Times New Roman"/>
          <w:sz w:val="24"/>
          <w:szCs w:val="24"/>
        </w:rPr>
        <w:t xml:space="preserve"> zgodnie z którym: </w:t>
      </w:r>
      <w:r w:rsidRPr="00E6705E">
        <w:rPr>
          <w:rFonts w:ascii="Times New Roman" w:hAnsi="Times New Roman" w:cs="Times New Roman"/>
          <w:i/>
          <w:iCs/>
          <w:sz w:val="24"/>
          <w:szCs w:val="24"/>
        </w:rPr>
        <w:t>„</w:t>
      </w:r>
      <w:r w:rsidRPr="00E6705E">
        <w:rPr>
          <w:rFonts w:ascii="Times New Roman" w:hAnsi="Times New Roman" w:cs="Times New Roman"/>
          <w:i/>
          <w:iCs/>
          <w:sz w:val="24"/>
          <w:szCs w:val="24"/>
          <w:u w:val="single"/>
        </w:rPr>
        <w:t>Zagwarantowane każdemu w Konstytucji Rzeczypospolitej Polskiej prawo składania</w:t>
      </w:r>
      <w:r w:rsidRPr="00E6705E">
        <w:rPr>
          <w:rFonts w:ascii="Times New Roman" w:hAnsi="Times New Roman" w:cs="Times New Roman"/>
          <w:i/>
          <w:iCs/>
          <w:sz w:val="24"/>
          <w:szCs w:val="24"/>
        </w:rPr>
        <w:t xml:space="preserve"> skarg </w:t>
      </w:r>
      <w:r w:rsidRPr="00E6705E">
        <w:rPr>
          <w:rFonts w:ascii="Times New Roman" w:hAnsi="Times New Roman" w:cs="Times New Roman"/>
          <w:i/>
          <w:iCs/>
          <w:sz w:val="24"/>
          <w:szCs w:val="24"/>
          <w:u w:val="single"/>
        </w:rPr>
        <w:t>i wniosków do organów państwowych</w:t>
      </w:r>
      <w:r w:rsidRPr="00E6705E">
        <w:rPr>
          <w:rFonts w:ascii="Times New Roman" w:hAnsi="Times New Roman" w:cs="Times New Roman"/>
          <w:i/>
          <w:iCs/>
          <w:sz w:val="24"/>
          <w:szCs w:val="24"/>
        </w:rPr>
        <w:t xml:space="preserve"> </w:t>
      </w:r>
      <w:proofErr w:type="gramStart"/>
      <w:r w:rsidRPr="00E6705E">
        <w:rPr>
          <w:rFonts w:ascii="Times New Roman" w:hAnsi="Times New Roman" w:cs="Times New Roman"/>
          <w:i/>
          <w:iCs/>
          <w:sz w:val="24"/>
          <w:szCs w:val="24"/>
        </w:rPr>
        <w:t>(...) ”</w:t>
      </w:r>
      <w:proofErr w:type="gramEnd"/>
      <w:r w:rsidRPr="00E6705E">
        <w:rPr>
          <w:rFonts w:ascii="Times New Roman" w:hAnsi="Times New Roman" w:cs="Times New Roman"/>
          <w:sz w:val="24"/>
          <w:szCs w:val="24"/>
        </w:rPr>
        <w:t xml:space="preserve"> urzeczywistniane jest na zasadzie </w:t>
      </w:r>
      <w:r w:rsidRPr="00E6705E">
        <w:rPr>
          <w:rFonts w:ascii="Times New Roman" w:hAnsi="Times New Roman" w:cs="Times New Roman"/>
          <w:sz w:val="24"/>
          <w:szCs w:val="24"/>
        </w:rPr>
        <w:lastRenderedPageBreak/>
        <w:t xml:space="preserve">określonej w </w:t>
      </w:r>
      <w:r w:rsidRPr="00E6705E">
        <w:rPr>
          <w:rFonts w:ascii="Times New Roman" w:hAnsi="Times New Roman" w:cs="Times New Roman"/>
          <w:b/>
          <w:bCs/>
          <w:sz w:val="24"/>
          <w:szCs w:val="24"/>
        </w:rPr>
        <w:t>art. 241 k.p.a</w:t>
      </w:r>
      <w:r w:rsidRPr="00E6705E">
        <w:rPr>
          <w:rFonts w:ascii="Times New Roman" w:hAnsi="Times New Roman" w:cs="Times New Roman"/>
          <w:sz w:val="24"/>
          <w:szCs w:val="24"/>
        </w:rPr>
        <w:t>., w myśl którego wnioski do organów państwowych może składać każdy „</w:t>
      </w:r>
      <w:r w:rsidRPr="00E6705E">
        <w:rPr>
          <w:rFonts w:ascii="Times New Roman" w:hAnsi="Times New Roman" w:cs="Times New Roman"/>
          <w:i/>
          <w:iCs/>
          <w:sz w:val="24"/>
          <w:szCs w:val="24"/>
        </w:rPr>
        <w:t>w interesie publicznym</w:t>
      </w:r>
      <w:r w:rsidRPr="00E6705E">
        <w:rPr>
          <w:rFonts w:ascii="Times New Roman" w:hAnsi="Times New Roman" w:cs="Times New Roman"/>
          <w:sz w:val="24"/>
          <w:szCs w:val="24"/>
        </w:rPr>
        <w:t>”, jak i „</w:t>
      </w:r>
      <w:r w:rsidRPr="00E6705E">
        <w:rPr>
          <w:rFonts w:ascii="Times New Roman" w:hAnsi="Times New Roman" w:cs="Times New Roman"/>
          <w:i/>
          <w:iCs/>
          <w:sz w:val="24"/>
          <w:szCs w:val="24"/>
        </w:rPr>
        <w:t>własnym</w:t>
      </w:r>
      <w:r w:rsidRPr="00E6705E">
        <w:rPr>
          <w:rFonts w:ascii="Times New Roman" w:hAnsi="Times New Roman" w:cs="Times New Roman"/>
          <w:sz w:val="24"/>
          <w:szCs w:val="24"/>
        </w:rPr>
        <w:t>”.</w:t>
      </w:r>
    </w:p>
    <w:p w14:paraId="095513B2" w14:textId="77777777" w:rsidR="006256D0" w:rsidRPr="00E6705E" w:rsidRDefault="006256D0" w:rsidP="006256D0">
      <w:pPr>
        <w:spacing w:after="0" w:line="240" w:lineRule="auto"/>
        <w:ind w:firstLine="708"/>
        <w:jc w:val="both"/>
        <w:rPr>
          <w:rFonts w:ascii="Times New Roman" w:hAnsi="Times New Roman" w:cs="Times New Roman"/>
          <w:sz w:val="24"/>
          <w:szCs w:val="24"/>
        </w:rPr>
      </w:pPr>
    </w:p>
    <w:p w14:paraId="1FE15BBF" w14:textId="77777777" w:rsidR="006256D0" w:rsidRPr="00E6705E" w:rsidRDefault="006256D0" w:rsidP="006256D0">
      <w:pPr>
        <w:spacing w:after="0" w:line="240" w:lineRule="auto"/>
        <w:ind w:left="709" w:hanging="142"/>
        <w:jc w:val="both"/>
        <w:rPr>
          <w:rFonts w:ascii="Times New Roman" w:hAnsi="Times New Roman" w:cs="Times New Roman"/>
          <w:sz w:val="24"/>
          <w:szCs w:val="24"/>
        </w:rPr>
      </w:pPr>
      <w:r w:rsidRPr="00E6705E">
        <w:rPr>
          <w:rFonts w:ascii="Times New Roman" w:hAnsi="Times New Roman" w:cs="Times New Roman"/>
          <w:sz w:val="24"/>
          <w:szCs w:val="24"/>
        </w:rPr>
        <w:t xml:space="preserve">Dlatego zwracamy się z prośbą o: </w:t>
      </w:r>
    </w:p>
    <w:p w14:paraId="23897E30" w14:textId="77777777" w:rsidR="006256D0" w:rsidRPr="00E6705E" w:rsidRDefault="006256D0" w:rsidP="001F6BE3">
      <w:pPr>
        <w:pStyle w:val="Akapitzlist"/>
        <w:numPr>
          <w:ilvl w:val="0"/>
          <w:numId w:val="17"/>
        </w:numPr>
        <w:ind w:left="567" w:hanging="567"/>
        <w:contextualSpacing/>
        <w:jc w:val="both"/>
        <w:rPr>
          <w:rFonts w:ascii="Times New Roman" w:hAnsi="Times New Roman"/>
          <w:sz w:val="24"/>
          <w:szCs w:val="24"/>
        </w:rPr>
      </w:pPr>
      <w:r w:rsidRPr="00E6705E">
        <w:rPr>
          <w:rFonts w:ascii="Times New Roman" w:hAnsi="Times New Roman"/>
          <w:sz w:val="24"/>
          <w:szCs w:val="24"/>
        </w:rPr>
        <w:t xml:space="preserve">nakazanie usprawnienia i </w:t>
      </w:r>
      <w:r w:rsidRPr="00E6705E">
        <w:rPr>
          <w:rFonts w:ascii="Times New Roman" w:hAnsi="Times New Roman"/>
          <w:sz w:val="24"/>
          <w:szCs w:val="24"/>
          <w:u w:val="single"/>
        </w:rPr>
        <w:t>ułatwienia pracy znakomitej kadry eksperckiej Urzędu</w:t>
      </w:r>
      <w:r w:rsidRPr="00E6705E">
        <w:rPr>
          <w:rFonts w:ascii="Times New Roman" w:hAnsi="Times New Roman"/>
          <w:sz w:val="24"/>
          <w:szCs w:val="24"/>
        </w:rPr>
        <w:t xml:space="preserve"> Patentowego RP, a równocześnie </w:t>
      </w:r>
    </w:p>
    <w:p w14:paraId="6CBABC12" w14:textId="77777777" w:rsidR="006256D0" w:rsidRPr="00E6705E" w:rsidRDefault="006256D0" w:rsidP="001F6BE3">
      <w:pPr>
        <w:pStyle w:val="Akapitzlist"/>
        <w:numPr>
          <w:ilvl w:val="0"/>
          <w:numId w:val="17"/>
        </w:numPr>
        <w:ind w:left="567" w:hanging="567"/>
        <w:contextualSpacing/>
        <w:jc w:val="both"/>
        <w:rPr>
          <w:rFonts w:ascii="Times New Roman" w:hAnsi="Times New Roman"/>
          <w:b/>
          <w:bCs/>
          <w:sz w:val="24"/>
          <w:szCs w:val="24"/>
        </w:rPr>
      </w:pPr>
      <w:r w:rsidRPr="00E6705E">
        <w:rPr>
          <w:rFonts w:ascii="Times New Roman" w:hAnsi="Times New Roman"/>
          <w:sz w:val="24"/>
          <w:szCs w:val="24"/>
        </w:rPr>
        <w:t xml:space="preserve">podkreślenie </w:t>
      </w:r>
      <w:r w:rsidRPr="00E6705E">
        <w:rPr>
          <w:rFonts w:ascii="Times New Roman" w:hAnsi="Times New Roman"/>
          <w:sz w:val="24"/>
          <w:szCs w:val="24"/>
          <w:u w:val="single"/>
        </w:rPr>
        <w:t>życzliwego podejścia</w:t>
      </w:r>
      <w:r w:rsidRPr="00E6705E">
        <w:rPr>
          <w:rFonts w:ascii="Times New Roman" w:hAnsi="Times New Roman"/>
          <w:sz w:val="24"/>
          <w:szCs w:val="24"/>
        </w:rPr>
        <w:t xml:space="preserve"> do podmiotów zwracających się do </w:t>
      </w:r>
      <w:r w:rsidRPr="00E6705E">
        <w:rPr>
          <w:rFonts w:ascii="Times New Roman" w:hAnsi="Times New Roman"/>
          <w:sz w:val="24"/>
          <w:szCs w:val="24"/>
          <w:u w:val="single"/>
        </w:rPr>
        <w:t>Urzędu Patentowego RP</w:t>
      </w:r>
      <w:r w:rsidRPr="00E6705E">
        <w:rPr>
          <w:rFonts w:ascii="Times New Roman" w:hAnsi="Times New Roman"/>
          <w:sz w:val="24"/>
          <w:szCs w:val="24"/>
        </w:rPr>
        <w:t xml:space="preserve">, którymi są zwykle </w:t>
      </w:r>
      <w:r w:rsidRPr="00E6705E">
        <w:rPr>
          <w:rFonts w:ascii="Times New Roman" w:hAnsi="Times New Roman"/>
          <w:sz w:val="24"/>
          <w:szCs w:val="24"/>
          <w:u w:val="single"/>
        </w:rPr>
        <w:t>polscy przedsiębiorcy</w:t>
      </w:r>
      <w:r w:rsidRPr="00E6705E">
        <w:rPr>
          <w:rFonts w:ascii="Times New Roman" w:hAnsi="Times New Roman"/>
          <w:sz w:val="24"/>
          <w:szCs w:val="24"/>
        </w:rPr>
        <w:t xml:space="preserve">, często </w:t>
      </w:r>
      <w:r w:rsidRPr="00E6705E">
        <w:rPr>
          <w:rFonts w:ascii="Times New Roman" w:hAnsi="Times New Roman"/>
          <w:sz w:val="24"/>
          <w:szCs w:val="24"/>
          <w:u w:val="single"/>
        </w:rPr>
        <w:t>twórcy nowatorskich rozwiązań</w:t>
      </w:r>
      <w:r w:rsidRPr="00E6705E">
        <w:rPr>
          <w:rFonts w:ascii="Times New Roman" w:hAnsi="Times New Roman"/>
          <w:sz w:val="24"/>
          <w:szCs w:val="24"/>
        </w:rPr>
        <w:t xml:space="preserve"> cennych dla kraju i jego gospodarki.</w:t>
      </w:r>
    </w:p>
    <w:p w14:paraId="52CDE710" w14:textId="77777777" w:rsidR="006256D0" w:rsidRPr="00E6705E" w:rsidRDefault="006256D0" w:rsidP="006256D0">
      <w:pPr>
        <w:spacing w:after="0" w:line="240" w:lineRule="auto"/>
        <w:ind w:left="709" w:hanging="142"/>
        <w:jc w:val="both"/>
        <w:rPr>
          <w:rFonts w:ascii="Times New Roman" w:hAnsi="Times New Roman" w:cs="Times New Roman"/>
          <w:b/>
          <w:bCs/>
          <w:sz w:val="24"/>
          <w:szCs w:val="24"/>
        </w:rPr>
      </w:pPr>
    </w:p>
    <w:p w14:paraId="402639A3" w14:textId="77777777" w:rsidR="006256D0" w:rsidRPr="00E6705E" w:rsidRDefault="006256D0" w:rsidP="006256D0">
      <w:pPr>
        <w:spacing w:after="0" w:line="240" w:lineRule="auto"/>
        <w:ind w:left="567"/>
        <w:jc w:val="both"/>
        <w:rPr>
          <w:rFonts w:ascii="Times New Roman" w:hAnsi="Times New Roman" w:cs="Times New Roman"/>
          <w:sz w:val="24"/>
          <w:szCs w:val="24"/>
        </w:rPr>
      </w:pPr>
      <w:r w:rsidRPr="00E6705E">
        <w:rPr>
          <w:rFonts w:ascii="Times New Roman" w:hAnsi="Times New Roman" w:cs="Times New Roman"/>
          <w:sz w:val="24"/>
          <w:szCs w:val="24"/>
        </w:rPr>
        <w:t>OBOWIĄZUJĄCE PRZEPISY PRAWNE, KTÓRYCH PRZESTRZEGANIE BYŁOBY WYSTARCZAJĄCE DLA POPRAWIENIA FUNKCJONOWANIA SYSTEMU I USUNIĘCIA ZAISTNIAŁYCH NIEPRAWIDŁOWOŚCI</w:t>
      </w:r>
    </w:p>
    <w:p w14:paraId="157E007A" w14:textId="77777777" w:rsidR="006256D0" w:rsidRPr="00E6705E" w:rsidRDefault="006256D0" w:rsidP="006256D0">
      <w:pPr>
        <w:spacing w:after="0" w:line="240" w:lineRule="auto"/>
        <w:jc w:val="both"/>
        <w:rPr>
          <w:rFonts w:ascii="Times New Roman" w:hAnsi="Times New Roman" w:cs="Times New Roman"/>
          <w:b/>
          <w:bCs/>
          <w:sz w:val="24"/>
          <w:szCs w:val="24"/>
        </w:rPr>
      </w:pPr>
    </w:p>
    <w:p w14:paraId="1DE50F21" w14:textId="77777777" w:rsidR="006256D0" w:rsidRPr="00E6705E" w:rsidRDefault="006256D0" w:rsidP="006256D0">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Wnosimy o </w:t>
      </w:r>
      <w:r w:rsidRPr="00E6705E">
        <w:rPr>
          <w:rFonts w:ascii="Times New Roman" w:hAnsi="Times New Roman" w:cs="Times New Roman"/>
          <w:b/>
          <w:bCs/>
          <w:sz w:val="24"/>
          <w:szCs w:val="24"/>
        </w:rPr>
        <w:t>spowodowanie wykorzystania mechanizmów prawnych</w:t>
      </w:r>
      <w:r w:rsidRPr="00E6705E">
        <w:rPr>
          <w:rFonts w:ascii="Times New Roman" w:hAnsi="Times New Roman" w:cs="Times New Roman"/>
          <w:sz w:val="24"/>
          <w:szCs w:val="24"/>
        </w:rPr>
        <w:t xml:space="preserve"> wynikających z </w:t>
      </w:r>
      <w:r w:rsidRPr="00E6705E">
        <w:rPr>
          <w:rFonts w:ascii="Times New Roman" w:hAnsi="Times New Roman" w:cs="Times New Roman"/>
          <w:sz w:val="24"/>
          <w:szCs w:val="24"/>
          <w:u w:val="single"/>
        </w:rPr>
        <w:t>wystarczających, obowiązujących obecnie aktów</w:t>
      </w:r>
      <w:r w:rsidRPr="00E6705E">
        <w:rPr>
          <w:rFonts w:ascii="Times New Roman" w:hAnsi="Times New Roman" w:cs="Times New Roman"/>
          <w:sz w:val="24"/>
          <w:szCs w:val="24"/>
        </w:rPr>
        <w:t xml:space="preserve"> prawnych oraz faktu, że </w:t>
      </w:r>
      <w:r w:rsidRPr="00E6705E">
        <w:rPr>
          <w:rFonts w:ascii="Times New Roman" w:hAnsi="Times New Roman" w:cs="Times New Roman"/>
          <w:b/>
          <w:bCs/>
          <w:sz w:val="24"/>
          <w:szCs w:val="24"/>
        </w:rPr>
        <w:t>zasady działania Urzędu Patentowego</w:t>
      </w:r>
      <w:r w:rsidRPr="00E6705E">
        <w:rPr>
          <w:rFonts w:ascii="Times New Roman" w:hAnsi="Times New Roman" w:cs="Times New Roman"/>
          <w:sz w:val="24"/>
          <w:szCs w:val="24"/>
        </w:rPr>
        <w:t xml:space="preserve"> RP określające organizację, strukturę i zasady kierowania Urzędem aktualnie </w:t>
      </w:r>
      <w:r w:rsidRPr="00E6705E">
        <w:rPr>
          <w:rFonts w:ascii="Times New Roman" w:hAnsi="Times New Roman" w:cs="Times New Roman"/>
          <w:sz w:val="24"/>
          <w:szCs w:val="24"/>
          <w:u w:val="single"/>
        </w:rPr>
        <w:t>sformułowane zostały</w:t>
      </w:r>
      <w:r w:rsidRPr="00E6705E">
        <w:rPr>
          <w:rFonts w:ascii="Times New Roman" w:hAnsi="Times New Roman" w:cs="Times New Roman"/>
          <w:sz w:val="24"/>
          <w:szCs w:val="24"/>
        </w:rPr>
        <w:t>:</w:t>
      </w:r>
    </w:p>
    <w:p w14:paraId="77823169" w14:textId="77777777" w:rsidR="006256D0" w:rsidRPr="00E6705E" w:rsidRDefault="006256D0" w:rsidP="006256D0">
      <w:pPr>
        <w:spacing w:after="0" w:line="240" w:lineRule="auto"/>
        <w:ind w:firstLine="567"/>
        <w:jc w:val="both"/>
        <w:rPr>
          <w:rFonts w:ascii="Times New Roman" w:hAnsi="Times New Roman" w:cs="Times New Roman"/>
          <w:sz w:val="24"/>
          <w:szCs w:val="24"/>
        </w:rPr>
      </w:pPr>
    </w:p>
    <w:p w14:paraId="58AE93D6" w14:textId="77777777" w:rsidR="006256D0" w:rsidRPr="00E6705E" w:rsidRDefault="006256D0" w:rsidP="001F6BE3">
      <w:pPr>
        <w:pStyle w:val="Akapitzlist"/>
        <w:numPr>
          <w:ilvl w:val="0"/>
          <w:numId w:val="18"/>
        </w:numPr>
        <w:ind w:left="567" w:hanging="567"/>
        <w:contextualSpacing/>
        <w:jc w:val="both"/>
        <w:rPr>
          <w:rFonts w:ascii="Times New Roman" w:hAnsi="Times New Roman"/>
          <w:sz w:val="24"/>
          <w:szCs w:val="24"/>
        </w:rPr>
      </w:pPr>
      <w:r w:rsidRPr="00E6705E">
        <w:rPr>
          <w:rFonts w:ascii="Times New Roman" w:hAnsi="Times New Roman"/>
          <w:sz w:val="24"/>
          <w:szCs w:val="24"/>
        </w:rPr>
        <w:t xml:space="preserve">na podstawie delegacji ustawowej zawartej w </w:t>
      </w:r>
      <w:r w:rsidRPr="00E6705E">
        <w:rPr>
          <w:rFonts w:ascii="Times New Roman" w:hAnsi="Times New Roman"/>
          <w:b/>
          <w:bCs/>
          <w:sz w:val="24"/>
          <w:szCs w:val="24"/>
        </w:rPr>
        <w:t>art. 260 ust. 2 p.w.p</w:t>
      </w:r>
      <w:r w:rsidRPr="00E6705E">
        <w:rPr>
          <w:rFonts w:ascii="Times New Roman" w:hAnsi="Times New Roman"/>
          <w:sz w:val="24"/>
          <w:szCs w:val="24"/>
        </w:rPr>
        <w:t xml:space="preserve">., zgodnie ze zobowiązaniem nałożonym przez ustawodawcę na Prezesa Rady Ministrów do określenia szczegółowo reguł funkcjonowania tego Urzędu, w wyniku czego zasady te określa </w:t>
      </w:r>
      <w:r w:rsidRPr="00E6705E">
        <w:rPr>
          <w:rFonts w:ascii="Times New Roman" w:hAnsi="Times New Roman"/>
          <w:b/>
          <w:bCs/>
          <w:sz w:val="24"/>
          <w:szCs w:val="24"/>
        </w:rPr>
        <w:t>statut</w:t>
      </w:r>
      <w:r w:rsidRPr="00E6705E">
        <w:rPr>
          <w:rFonts w:ascii="Times New Roman" w:hAnsi="Times New Roman"/>
          <w:sz w:val="24"/>
          <w:szCs w:val="24"/>
        </w:rPr>
        <w:t xml:space="preserve"> Urzędu Patentowego RP nadany przez Prezesa Rady Ministrów rozporządzeniem z dnia 7 czerwca 2004 r. w sprawie nadania statutu Urzędowi Patentowemu Rzeczypospolitej Polskiej (Dz.U. Nr 140, poz. 1484 z późn. zm.), </w:t>
      </w:r>
    </w:p>
    <w:p w14:paraId="3C6A5AF9" w14:textId="77777777" w:rsidR="006256D0" w:rsidRPr="00E6705E" w:rsidRDefault="006256D0" w:rsidP="001F6BE3">
      <w:pPr>
        <w:pStyle w:val="Akapitzlist"/>
        <w:numPr>
          <w:ilvl w:val="0"/>
          <w:numId w:val="18"/>
        </w:numPr>
        <w:ind w:left="567" w:hanging="567"/>
        <w:contextualSpacing/>
        <w:jc w:val="both"/>
        <w:rPr>
          <w:rFonts w:ascii="Times New Roman" w:hAnsi="Times New Roman"/>
          <w:sz w:val="24"/>
          <w:szCs w:val="24"/>
        </w:rPr>
      </w:pPr>
      <w:r w:rsidRPr="00E6705E">
        <w:rPr>
          <w:rFonts w:ascii="Times New Roman" w:hAnsi="Times New Roman"/>
          <w:b/>
          <w:bCs/>
          <w:sz w:val="24"/>
          <w:szCs w:val="24"/>
        </w:rPr>
        <w:t>w art. 260 p.w.p.,</w:t>
      </w:r>
      <w:r w:rsidRPr="00E6705E">
        <w:rPr>
          <w:rFonts w:ascii="Times New Roman" w:hAnsi="Times New Roman"/>
          <w:sz w:val="24"/>
          <w:szCs w:val="24"/>
        </w:rPr>
        <w:t xml:space="preserve"> określającym zadania </w:t>
      </w:r>
      <w:r w:rsidRPr="00E6705E">
        <w:rPr>
          <w:rFonts w:ascii="Times New Roman" w:hAnsi="Times New Roman"/>
          <w:b/>
          <w:bCs/>
          <w:sz w:val="24"/>
          <w:szCs w:val="24"/>
        </w:rPr>
        <w:t>Urzędu Patentowego Rzeczypospolitej Polskiej,</w:t>
      </w:r>
      <w:r w:rsidRPr="00E6705E">
        <w:rPr>
          <w:rFonts w:ascii="Times New Roman" w:hAnsi="Times New Roman"/>
          <w:sz w:val="24"/>
          <w:szCs w:val="24"/>
        </w:rPr>
        <w:t xml:space="preserve"> </w:t>
      </w:r>
    </w:p>
    <w:p w14:paraId="5730E151" w14:textId="77777777" w:rsidR="006256D0" w:rsidRPr="00E6705E" w:rsidRDefault="006256D0" w:rsidP="001F6BE3">
      <w:pPr>
        <w:pStyle w:val="Akapitzlist"/>
        <w:numPr>
          <w:ilvl w:val="0"/>
          <w:numId w:val="18"/>
        </w:numPr>
        <w:ind w:left="567" w:hanging="567"/>
        <w:contextualSpacing/>
        <w:jc w:val="both"/>
        <w:rPr>
          <w:rFonts w:ascii="Times New Roman" w:hAnsi="Times New Roman"/>
          <w:sz w:val="24"/>
          <w:szCs w:val="24"/>
        </w:rPr>
      </w:pPr>
      <w:r w:rsidRPr="00E6705E">
        <w:rPr>
          <w:rFonts w:ascii="Times New Roman" w:hAnsi="Times New Roman"/>
          <w:sz w:val="24"/>
          <w:szCs w:val="24"/>
        </w:rPr>
        <w:t xml:space="preserve">na podstawie delegacji ustawowej zawartej </w:t>
      </w:r>
      <w:r w:rsidRPr="00E6705E">
        <w:rPr>
          <w:rFonts w:ascii="Times New Roman" w:hAnsi="Times New Roman"/>
          <w:b/>
          <w:bCs/>
          <w:sz w:val="24"/>
          <w:szCs w:val="24"/>
        </w:rPr>
        <w:t>w art. 262 p.w.p</w:t>
      </w:r>
      <w:r w:rsidRPr="00E6705E">
        <w:rPr>
          <w:rFonts w:ascii="Times New Roman" w:hAnsi="Times New Roman"/>
          <w:sz w:val="24"/>
          <w:szCs w:val="24"/>
        </w:rPr>
        <w:t xml:space="preserve">. oraz wprowadzonego na tej podstawie </w:t>
      </w:r>
      <w:r w:rsidRPr="00E6705E">
        <w:rPr>
          <w:rFonts w:ascii="Times New Roman" w:hAnsi="Times New Roman"/>
          <w:b/>
          <w:bCs/>
          <w:sz w:val="24"/>
          <w:szCs w:val="24"/>
        </w:rPr>
        <w:t>rozporządzenia Rady Ministrów w sprawie szczegółowego zakresu działania Urzędu Patentowego Rzeczypospolitej Polskiej</w:t>
      </w:r>
      <w:r w:rsidRPr="00E6705E">
        <w:rPr>
          <w:rFonts w:ascii="Times New Roman" w:hAnsi="Times New Roman"/>
          <w:sz w:val="24"/>
          <w:szCs w:val="24"/>
        </w:rPr>
        <w:t xml:space="preserve"> z dnia 8 stycznia 2002 r. (Dz. U. Nr 8, poz. 59 z późn. zm.), </w:t>
      </w:r>
    </w:p>
    <w:p w14:paraId="0940B89F" w14:textId="77777777" w:rsidR="006256D0" w:rsidRPr="00E6705E" w:rsidRDefault="006256D0" w:rsidP="001F6BE3">
      <w:pPr>
        <w:pStyle w:val="Akapitzlist"/>
        <w:numPr>
          <w:ilvl w:val="0"/>
          <w:numId w:val="18"/>
        </w:numPr>
        <w:ind w:left="567" w:hanging="567"/>
        <w:contextualSpacing/>
        <w:jc w:val="both"/>
        <w:rPr>
          <w:rFonts w:ascii="Times New Roman" w:hAnsi="Times New Roman"/>
          <w:sz w:val="24"/>
          <w:szCs w:val="24"/>
        </w:rPr>
      </w:pPr>
      <w:r w:rsidRPr="00E6705E">
        <w:rPr>
          <w:rFonts w:ascii="Times New Roman" w:hAnsi="Times New Roman"/>
          <w:sz w:val="24"/>
          <w:szCs w:val="24"/>
        </w:rPr>
        <w:t xml:space="preserve">w opublikowanym w DZIENNIKU URZĘDOWYM URZĘDU PATENTOWEGO RZECZYPOSPOLITEJ POLSKIEJ z dnia 26 lutego 2021 r. Poz. 5 akcie prawnym, który stanowi </w:t>
      </w:r>
      <w:r w:rsidRPr="00E6705E">
        <w:rPr>
          <w:rFonts w:ascii="Times New Roman" w:hAnsi="Times New Roman"/>
          <w:b/>
          <w:bCs/>
          <w:sz w:val="24"/>
          <w:szCs w:val="24"/>
        </w:rPr>
        <w:t>ZARZĄDZENIE NR 4 PREZESA URZĘDU PATENTOWEGO RZECZYPOSPOLITEJ POLSKIEJ z dnia 25 lutego 2021 r. w sprawie ustalenia regulaminu organizacyjnego Urzędu Patentowego Rzeczypospolitej Polskiej</w:t>
      </w:r>
      <w:r w:rsidRPr="00E6705E">
        <w:rPr>
          <w:rFonts w:ascii="Times New Roman" w:hAnsi="Times New Roman"/>
          <w:sz w:val="24"/>
          <w:szCs w:val="24"/>
        </w:rPr>
        <w:t xml:space="preserve">, </w:t>
      </w:r>
    </w:p>
    <w:p w14:paraId="12F75739" w14:textId="77777777" w:rsidR="006256D0" w:rsidRPr="00E6705E" w:rsidRDefault="006256D0" w:rsidP="001F6BE3">
      <w:pPr>
        <w:pStyle w:val="Akapitzlist"/>
        <w:numPr>
          <w:ilvl w:val="0"/>
          <w:numId w:val="18"/>
        </w:numPr>
        <w:ind w:left="567" w:hanging="567"/>
        <w:contextualSpacing/>
        <w:jc w:val="both"/>
        <w:rPr>
          <w:rFonts w:ascii="Times New Roman" w:hAnsi="Times New Roman"/>
          <w:sz w:val="24"/>
          <w:szCs w:val="24"/>
        </w:rPr>
      </w:pPr>
      <w:r w:rsidRPr="00E6705E">
        <w:rPr>
          <w:rFonts w:ascii="Times New Roman" w:hAnsi="Times New Roman"/>
          <w:b/>
          <w:bCs/>
          <w:sz w:val="24"/>
          <w:szCs w:val="24"/>
        </w:rPr>
        <w:t>art. 261 p.w.p</w:t>
      </w:r>
      <w:r w:rsidRPr="00E6705E">
        <w:rPr>
          <w:rFonts w:ascii="Times New Roman" w:hAnsi="Times New Roman"/>
          <w:sz w:val="24"/>
          <w:szCs w:val="24"/>
        </w:rPr>
        <w:t xml:space="preserve">., który określa zadania Urzędu Patentowego RP w sprawach własności przemysłowej. </w:t>
      </w:r>
    </w:p>
    <w:p w14:paraId="35D9E6AC" w14:textId="77777777" w:rsidR="006256D0" w:rsidRPr="00E6705E" w:rsidRDefault="006256D0" w:rsidP="006256D0">
      <w:pPr>
        <w:spacing w:after="0" w:line="240" w:lineRule="auto"/>
        <w:ind w:firstLine="567"/>
        <w:jc w:val="both"/>
        <w:rPr>
          <w:rFonts w:ascii="Times New Roman" w:hAnsi="Times New Roman" w:cs="Times New Roman"/>
          <w:sz w:val="8"/>
          <w:szCs w:val="8"/>
        </w:rPr>
      </w:pPr>
    </w:p>
    <w:p w14:paraId="03731A79" w14:textId="77777777" w:rsidR="006256D0" w:rsidRPr="00E6705E" w:rsidRDefault="006256D0" w:rsidP="006256D0">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Gdyby jednak oceniono, że ww. przepisy są niewystarczające - prosimy o: </w:t>
      </w:r>
    </w:p>
    <w:p w14:paraId="71CB3A18" w14:textId="77777777" w:rsidR="006256D0" w:rsidRPr="00E6705E" w:rsidRDefault="006256D0" w:rsidP="006256D0">
      <w:pPr>
        <w:spacing w:after="0" w:line="240" w:lineRule="auto"/>
        <w:ind w:firstLine="567"/>
        <w:jc w:val="both"/>
        <w:rPr>
          <w:rFonts w:ascii="Times New Roman" w:hAnsi="Times New Roman" w:cs="Times New Roman"/>
          <w:sz w:val="8"/>
          <w:szCs w:val="8"/>
        </w:rPr>
      </w:pPr>
    </w:p>
    <w:p w14:paraId="1C809605" w14:textId="77777777" w:rsidR="006256D0" w:rsidRPr="00E6705E" w:rsidRDefault="006256D0" w:rsidP="001F6BE3">
      <w:pPr>
        <w:pStyle w:val="Akapitzlist"/>
        <w:numPr>
          <w:ilvl w:val="0"/>
          <w:numId w:val="19"/>
        </w:numPr>
        <w:ind w:left="567" w:hanging="578"/>
        <w:contextualSpacing/>
        <w:jc w:val="both"/>
        <w:rPr>
          <w:rFonts w:ascii="Times New Roman" w:hAnsi="Times New Roman"/>
          <w:b/>
          <w:bCs/>
          <w:sz w:val="24"/>
          <w:szCs w:val="24"/>
        </w:rPr>
      </w:pPr>
      <w:r w:rsidRPr="00E6705E">
        <w:rPr>
          <w:rFonts w:ascii="Times New Roman" w:hAnsi="Times New Roman"/>
          <w:sz w:val="24"/>
          <w:szCs w:val="24"/>
        </w:rPr>
        <w:t xml:space="preserve">zainicjowanie prac legislacyjnych prowadzących do odpowiedniego </w:t>
      </w:r>
      <w:r w:rsidRPr="00E6705E">
        <w:rPr>
          <w:rFonts w:ascii="Times New Roman" w:hAnsi="Times New Roman"/>
          <w:b/>
          <w:bCs/>
          <w:sz w:val="24"/>
          <w:szCs w:val="24"/>
        </w:rPr>
        <w:t>uzupełnienia treści art. 262 p.w.p</w:t>
      </w:r>
      <w:r w:rsidRPr="00E6705E">
        <w:rPr>
          <w:rFonts w:ascii="Times New Roman" w:hAnsi="Times New Roman"/>
          <w:sz w:val="24"/>
          <w:szCs w:val="24"/>
        </w:rPr>
        <w:t xml:space="preserve">. oraz doprecyzowania w nim obowiązku Prezesa Urzędu Patentowego RP wydania regulaminu działania kolegiów orzekających </w:t>
      </w:r>
      <w:r w:rsidRPr="00E6705E">
        <w:rPr>
          <w:rFonts w:ascii="Times New Roman" w:hAnsi="Times New Roman"/>
          <w:b/>
          <w:bCs/>
          <w:sz w:val="24"/>
          <w:szCs w:val="24"/>
        </w:rPr>
        <w:t>Departamentu Prawnego i Orzecznictwa Urzędu Patentowego RP</w:t>
      </w:r>
      <w:r w:rsidRPr="00E6705E">
        <w:rPr>
          <w:rFonts w:ascii="Times New Roman" w:hAnsi="Times New Roman"/>
          <w:sz w:val="24"/>
          <w:szCs w:val="24"/>
        </w:rPr>
        <w:t xml:space="preserve"> oraz wprost wprowadzenia w nim nie tylko możliwości </w:t>
      </w:r>
      <w:r w:rsidRPr="00E6705E">
        <w:rPr>
          <w:rFonts w:ascii="Times New Roman" w:hAnsi="Times New Roman"/>
          <w:i/>
          <w:iCs/>
          <w:sz w:val="24"/>
          <w:szCs w:val="24"/>
        </w:rPr>
        <w:t>„wyznaczania rozpraw”</w:t>
      </w:r>
      <w:r w:rsidRPr="00E6705E">
        <w:rPr>
          <w:rFonts w:ascii="Times New Roman" w:hAnsi="Times New Roman"/>
          <w:sz w:val="24"/>
          <w:szCs w:val="24"/>
        </w:rPr>
        <w:t xml:space="preserve"> i ich </w:t>
      </w:r>
      <w:r w:rsidRPr="00E6705E">
        <w:rPr>
          <w:rFonts w:ascii="Times New Roman" w:hAnsi="Times New Roman"/>
          <w:i/>
          <w:iCs/>
          <w:sz w:val="24"/>
          <w:szCs w:val="24"/>
        </w:rPr>
        <w:t xml:space="preserve">„odraczania” </w:t>
      </w:r>
      <w:r w:rsidRPr="00E6705E">
        <w:rPr>
          <w:rFonts w:ascii="Times New Roman" w:hAnsi="Times New Roman"/>
          <w:sz w:val="24"/>
          <w:szCs w:val="24"/>
        </w:rPr>
        <w:t xml:space="preserve">(które jest w miarę jasno uregulowane w art. 94 § 2 k.p.a.), ale także </w:t>
      </w:r>
      <w:r w:rsidRPr="00E6705E">
        <w:rPr>
          <w:rFonts w:ascii="Times New Roman" w:hAnsi="Times New Roman"/>
          <w:i/>
          <w:iCs/>
          <w:sz w:val="24"/>
          <w:szCs w:val="24"/>
        </w:rPr>
        <w:t>„znoszenia terminu”</w:t>
      </w:r>
      <w:r w:rsidRPr="00E6705E">
        <w:rPr>
          <w:rFonts w:ascii="Times New Roman" w:hAnsi="Times New Roman"/>
          <w:sz w:val="24"/>
          <w:szCs w:val="24"/>
        </w:rPr>
        <w:t xml:space="preserve"> (względnie ich </w:t>
      </w:r>
      <w:r w:rsidRPr="00E6705E">
        <w:rPr>
          <w:rFonts w:ascii="Times New Roman" w:hAnsi="Times New Roman"/>
          <w:i/>
          <w:iCs/>
          <w:sz w:val="24"/>
          <w:szCs w:val="24"/>
        </w:rPr>
        <w:t>„odwoływania</w:t>
      </w:r>
      <w:r w:rsidRPr="00E6705E">
        <w:rPr>
          <w:rFonts w:ascii="Times New Roman" w:hAnsi="Times New Roman"/>
          <w:sz w:val="24"/>
          <w:szCs w:val="24"/>
        </w:rPr>
        <w:t xml:space="preserve">”), lecz wówczas </w:t>
      </w:r>
      <w:r w:rsidRPr="00E6705E">
        <w:rPr>
          <w:rFonts w:ascii="Times New Roman" w:hAnsi="Times New Roman"/>
          <w:b/>
          <w:bCs/>
          <w:sz w:val="24"/>
          <w:szCs w:val="24"/>
        </w:rPr>
        <w:t xml:space="preserve">na wcześniejszych </w:t>
      </w:r>
      <w:r w:rsidRPr="00E6705E">
        <w:rPr>
          <w:rFonts w:ascii="Times New Roman" w:hAnsi="Times New Roman"/>
          <w:b/>
          <w:bCs/>
          <w:i/>
          <w:iCs/>
          <w:sz w:val="24"/>
          <w:szCs w:val="24"/>
        </w:rPr>
        <w:t>„posiedzeniach niejawnych”</w:t>
      </w:r>
      <w:r w:rsidRPr="00E6705E">
        <w:rPr>
          <w:rFonts w:ascii="Times New Roman" w:hAnsi="Times New Roman"/>
          <w:sz w:val="24"/>
          <w:szCs w:val="24"/>
        </w:rPr>
        <w:t xml:space="preserve"> (a nie dopiero na rozprawie, na którą stawia się z ostrożności strona, często przyjeżdżająca z odległych miejsc). Zatem poprawiając system (i aktualnie realizowaną, niepokojącą praktykę) </w:t>
      </w:r>
      <w:r w:rsidRPr="00E6705E">
        <w:rPr>
          <w:rFonts w:ascii="Times New Roman" w:hAnsi="Times New Roman"/>
          <w:b/>
          <w:bCs/>
          <w:sz w:val="24"/>
          <w:szCs w:val="24"/>
        </w:rPr>
        <w:t>niezbędnym jest doprowadzenie do zawiadamiania</w:t>
      </w:r>
      <w:r w:rsidRPr="00E6705E">
        <w:rPr>
          <w:rFonts w:ascii="Times New Roman" w:hAnsi="Times New Roman"/>
          <w:sz w:val="24"/>
          <w:szCs w:val="24"/>
        </w:rPr>
        <w:t xml:space="preserve"> </w:t>
      </w:r>
      <w:r w:rsidRPr="00E6705E">
        <w:rPr>
          <w:rFonts w:ascii="Times New Roman" w:hAnsi="Times New Roman"/>
          <w:b/>
          <w:bCs/>
          <w:sz w:val="24"/>
          <w:szCs w:val="24"/>
        </w:rPr>
        <w:t>stron</w:t>
      </w:r>
      <w:r w:rsidRPr="00E6705E">
        <w:rPr>
          <w:rFonts w:ascii="Times New Roman" w:hAnsi="Times New Roman"/>
          <w:sz w:val="24"/>
          <w:szCs w:val="24"/>
        </w:rPr>
        <w:t xml:space="preserve"> postępowania - z należnym wyprzedzeniem - o zmienianym terminie, dzięki czemu </w:t>
      </w:r>
      <w:r w:rsidRPr="00E6705E">
        <w:rPr>
          <w:rFonts w:ascii="Times New Roman" w:hAnsi="Times New Roman"/>
          <w:b/>
          <w:bCs/>
          <w:sz w:val="24"/>
          <w:szCs w:val="24"/>
        </w:rPr>
        <w:t xml:space="preserve">wyeliminowana zostanie </w:t>
      </w:r>
      <w:r w:rsidRPr="00E6705E">
        <w:rPr>
          <w:rFonts w:ascii="Times New Roman" w:hAnsi="Times New Roman"/>
          <w:b/>
          <w:bCs/>
          <w:sz w:val="24"/>
          <w:szCs w:val="24"/>
        </w:rPr>
        <w:lastRenderedPageBreak/>
        <w:t>nieakceptowalna (i prowadząca do stronniczości) praktyka</w:t>
      </w:r>
      <w:r w:rsidRPr="00E6705E">
        <w:rPr>
          <w:rFonts w:ascii="Times New Roman" w:hAnsi="Times New Roman"/>
          <w:sz w:val="24"/>
          <w:szCs w:val="24"/>
        </w:rPr>
        <w:t xml:space="preserve"> ogłaszania zarządzeń o terminie rozprawy dopiero na posiedzeniu w czasie trwania tej rozprawy </w:t>
      </w:r>
      <w:r w:rsidRPr="00E6705E">
        <w:rPr>
          <w:rFonts w:ascii="Times New Roman" w:hAnsi="Times New Roman"/>
          <w:b/>
          <w:bCs/>
          <w:sz w:val="24"/>
          <w:szCs w:val="24"/>
        </w:rPr>
        <w:t xml:space="preserve">(uzasadniana rzekomym brakiem możliwości </w:t>
      </w:r>
      <w:r w:rsidRPr="00E6705E">
        <w:rPr>
          <w:rFonts w:ascii="Times New Roman" w:hAnsi="Times New Roman"/>
          <w:b/>
          <w:bCs/>
          <w:i/>
          <w:iCs/>
          <w:sz w:val="24"/>
          <w:szCs w:val="24"/>
        </w:rPr>
        <w:t>„wcześniejszego zniesienia terminu</w:t>
      </w:r>
      <w:r w:rsidRPr="00E6705E">
        <w:rPr>
          <w:rFonts w:ascii="Times New Roman" w:hAnsi="Times New Roman"/>
          <w:b/>
          <w:bCs/>
          <w:sz w:val="24"/>
          <w:szCs w:val="24"/>
        </w:rPr>
        <w:t>” z uwagi na rzekome luki systemu prawnego).</w:t>
      </w:r>
    </w:p>
    <w:p w14:paraId="0C07F57E" w14:textId="77777777" w:rsidR="006256D0" w:rsidRPr="00E6705E" w:rsidRDefault="006256D0" w:rsidP="006256D0">
      <w:pPr>
        <w:spacing w:after="0" w:line="240" w:lineRule="auto"/>
        <w:jc w:val="center"/>
        <w:rPr>
          <w:rFonts w:ascii="Times New Roman" w:hAnsi="Times New Roman" w:cs="Times New Roman"/>
          <w:b/>
          <w:bCs/>
        </w:rPr>
      </w:pPr>
    </w:p>
    <w:p w14:paraId="286194AD" w14:textId="77777777" w:rsidR="006256D0" w:rsidRPr="00E6705E" w:rsidRDefault="006256D0" w:rsidP="006256D0">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PROPOZYCJA LEGISLACYJNA- ZNIESIENIA ROZPRAW</w:t>
      </w:r>
    </w:p>
    <w:p w14:paraId="429189A3" w14:textId="77777777" w:rsidR="006256D0" w:rsidRPr="00E6705E" w:rsidRDefault="006256D0" w:rsidP="006256D0">
      <w:pPr>
        <w:spacing w:after="0" w:line="240" w:lineRule="auto"/>
        <w:jc w:val="both"/>
        <w:rPr>
          <w:rFonts w:ascii="Times New Roman" w:hAnsi="Times New Roman" w:cs="Times New Roman"/>
          <w:b/>
          <w:bCs/>
          <w:sz w:val="24"/>
          <w:szCs w:val="24"/>
        </w:rPr>
      </w:pPr>
    </w:p>
    <w:p w14:paraId="645A156B" w14:textId="77777777" w:rsidR="006256D0" w:rsidRPr="00E6705E" w:rsidRDefault="006256D0" w:rsidP="006256D0">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Prezentowana w propozycji nowej ustawy Prawo własności przemysłowej koncepcja: </w:t>
      </w:r>
    </w:p>
    <w:p w14:paraId="6EF49697" w14:textId="77777777" w:rsidR="006256D0" w:rsidRPr="00E6705E" w:rsidRDefault="006256D0" w:rsidP="006256D0">
      <w:pPr>
        <w:spacing w:after="0" w:line="240" w:lineRule="auto"/>
        <w:jc w:val="both"/>
        <w:rPr>
          <w:rFonts w:ascii="Times New Roman" w:hAnsi="Times New Roman" w:cs="Times New Roman"/>
          <w:sz w:val="8"/>
          <w:szCs w:val="8"/>
        </w:rPr>
      </w:pPr>
    </w:p>
    <w:p w14:paraId="38420E33" w14:textId="77777777" w:rsidR="006256D0" w:rsidRPr="00E6705E" w:rsidRDefault="006256D0" w:rsidP="006256D0">
      <w:pPr>
        <w:spacing w:after="0" w:line="240" w:lineRule="auto"/>
        <w:ind w:left="567"/>
        <w:jc w:val="both"/>
        <w:rPr>
          <w:rFonts w:ascii="Times New Roman" w:hAnsi="Times New Roman" w:cs="Times New Roman"/>
          <w:i/>
          <w:iCs/>
          <w:sz w:val="24"/>
          <w:szCs w:val="24"/>
        </w:rPr>
      </w:pPr>
      <w:r w:rsidRPr="00E6705E">
        <w:rPr>
          <w:rFonts w:ascii="Times New Roman" w:hAnsi="Times New Roman" w:cs="Times New Roman"/>
          <w:i/>
          <w:iCs/>
          <w:sz w:val="24"/>
          <w:szCs w:val="24"/>
        </w:rPr>
        <w:t>„W tym zakresie przewiduje się, że działający w trybie postępowania spornego Urząd Patentowy RP będzie orzekał co do zasady na posiedzeniach niejawnych;"</w:t>
      </w:r>
    </w:p>
    <w:p w14:paraId="5927915E" w14:textId="77777777" w:rsidR="006256D0" w:rsidRPr="00E6705E" w:rsidRDefault="006256D0" w:rsidP="006256D0">
      <w:pPr>
        <w:spacing w:after="0" w:line="240" w:lineRule="auto"/>
        <w:jc w:val="both"/>
        <w:rPr>
          <w:rFonts w:ascii="Times New Roman" w:hAnsi="Times New Roman" w:cs="Times New Roman"/>
          <w:sz w:val="8"/>
          <w:szCs w:val="8"/>
        </w:rPr>
      </w:pPr>
    </w:p>
    <w:p w14:paraId="5E00B0FE" w14:textId="77777777" w:rsidR="006256D0" w:rsidRPr="00E6705E" w:rsidRDefault="006256D0" w:rsidP="006256D0">
      <w:pPr>
        <w:spacing w:after="0" w:line="240" w:lineRule="auto"/>
        <w:jc w:val="both"/>
        <w:rPr>
          <w:rFonts w:ascii="Times New Roman" w:hAnsi="Times New Roman" w:cs="Times New Roman"/>
          <w:sz w:val="24"/>
          <w:szCs w:val="24"/>
        </w:rPr>
      </w:pPr>
      <w:r w:rsidRPr="00E6705E">
        <w:rPr>
          <w:rFonts w:ascii="Times New Roman" w:hAnsi="Times New Roman" w:cs="Times New Roman"/>
          <w:sz w:val="24"/>
          <w:szCs w:val="24"/>
        </w:rPr>
        <w:t>- nie stanowi propozycji działań naprawczych, wzorce których możemy przedstawić, np. stosowanych w EPO [</w:t>
      </w:r>
      <w:r w:rsidRPr="00E6705E">
        <w:rPr>
          <w:rFonts w:ascii="Times New Roman" w:hAnsi="Times New Roman" w:cs="Times New Roman"/>
          <w:i/>
          <w:iCs/>
          <w:sz w:val="24"/>
          <w:szCs w:val="24"/>
          <w:u w:val="single"/>
        </w:rPr>
        <w:t>European Patent Office</w:t>
      </w:r>
      <w:r w:rsidRPr="00E6705E">
        <w:rPr>
          <w:rFonts w:ascii="Times New Roman" w:hAnsi="Times New Roman" w:cs="Times New Roman"/>
          <w:sz w:val="24"/>
          <w:szCs w:val="24"/>
          <w:u w:val="single"/>
        </w:rPr>
        <w:t>— Europejski Urząd Patentowy</w:t>
      </w:r>
      <w:r w:rsidRPr="00E6705E">
        <w:rPr>
          <w:rFonts w:ascii="Times New Roman" w:hAnsi="Times New Roman" w:cs="Times New Roman"/>
          <w:sz w:val="24"/>
          <w:szCs w:val="24"/>
        </w:rPr>
        <w:t>], a które będą przy tym zgodne z polskimi regułami ogólnymi i art. 89 ustawy k.p.a.</w:t>
      </w:r>
    </w:p>
    <w:p w14:paraId="5B92E50D" w14:textId="77777777" w:rsidR="006256D0" w:rsidRPr="00E6705E" w:rsidRDefault="006256D0" w:rsidP="006256D0">
      <w:pPr>
        <w:spacing w:after="0" w:line="240" w:lineRule="auto"/>
        <w:jc w:val="both"/>
        <w:rPr>
          <w:rFonts w:ascii="Times New Roman" w:hAnsi="Times New Roman" w:cs="Times New Roman"/>
          <w:sz w:val="24"/>
          <w:szCs w:val="24"/>
        </w:rPr>
      </w:pPr>
    </w:p>
    <w:p w14:paraId="2D6A0954"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CEL NINIEJSZEGO LISTU OTWARTEGO</w:t>
      </w:r>
    </w:p>
    <w:p w14:paraId="57F49AAE" w14:textId="77777777" w:rsidR="006256D0" w:rsidRPr="00E6705E" w:rsidRDefault="006256D0" w:rsidP="006256D0">
      <w:pPr>
        <w:spacing w:after="0" w:line="240" w:lineRule="auto"/>
        <w:ind w:firstLine="708"/>
        <w:jc w:val="both"/>
        <w:rPr>
          <w:rFonts w:ascii="Times New Roman" w:hAnsi="Times New Roman" w:cs="Times New Roman"/>
          <w:sz w:val="24"/>
          <w:szCs w:val="24"/>
        </w:rPr>
      </w:pPr>
    </w:p>
    <w:p w14:paraId="5DDEE3C5"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Zgłaszane działania mają na </w:t>
      </w:r>
      <w:r w:rsidRPr="00E6705E">
        <w:rPr>
          <w:rFonts w:ascii="Times New Roman" w:hAnsi="Times New Roman" w:cs="Times New Roman"/>
          <w:b/>
          <w:bCs/>
          <w:sz w:val="24"/>
          <w:szCs w:val="24"/>
        </w:rPr>
        <w:t>celu określenie</w:t>
      </w:r>
      <w:r w:rsidRPr="00E6705E">
        <w:rPr>
          <w:rFonts w:ascii="Times New Roman" w:hAnsi="Times New Roman" w:cs="Times New Roman"/>
          <w:sz w:val="24"/>
          <w:szCs w:val="24"/>
        </w:rPr>
        <w:t xml:space="preserve"> (na podstawie wskazanych wyżej, całkowicie wystarczających regulacji prawnych, a ewentualnie </w:t>
      </w:r>
      <w:r w:rsidRPr="00E6705E">
        <w:rPr>
          <w:rFonts w:ascii="Times New Roman" w:hAnsi="Times New Roman" w:cs="Times New Roman"/>
          <w:i/>
          <w:iCs/>
          <w:sz w:val="24"/>
          <w:szCs w:val="24"/>
        </w:rPr>
        <w:t>de lege lata</w:t>
      </w:r>
      <w:r w:rsidRPr="00E6705E">
        <w:rPr>
          <w:rFonts w:ascii="Times New Roman" w:hAnsi="Times New Roman" w:cs="Times New Roman"/>
          <w:sz w:val="24"/>
          <w:szCs w:val="24"/>
        </w:rPr>
        <w:t xml:space="preserve"> na podstawie uzupełnionego art. 262 p.w.p.) </w:t>
      </w:r>
      <w:r w:rsidRPr="00E6705E">
        <w:rPr>
          <w:rFonts w:ascii="Times New Roman" w:hAnsi="Times New Roman" w:cs="Times New Roman"/>
          <w:b/>
          <w:bCs/>
          <w:sz w:val="24"/>
          <w:szCs w:val="24"/>
        </w:rPr>
        <w:t>zasad</w:t>
      </w:r>
      <w:r w:rsidRPr="00E6705E">
        <w:rPr>
          <w:rFonts w:ascii="Times New Roman" w:hAnsi="Times New Roman" w:cs="Times New Roman"/>
          <w:sz w:val="24"/>
          <w:szCs w:val="24"/>
        </w:rPr>
        <w:t xml:space="preserve"> prowadzenia </w:t>
      </w:r>
      <w:r w:rsidRPr="00E6705E">
        <w:rPr>
          <w:rFonts w:ascii="Times New Roman" w:hAnsi="Times New Roman" w:cs="Times New Roman"/>
          <w:b/>
          <w:bCs/>
          <w:sz w:val="24"/>
          <w:szCs w:val="24"/>
        </w:rPr>
        <w:t>postępowań spornych w Departamencie Prawnymi Orzecznictwa, w tym wyznaczania rozpraw przed Urzędem Patentowym RP</w:t>
      </w:r>
      <w:r w:rsidRPr="00E6705E">
        <w:rPr>
          <w:rFonts w:ascii="Times New Roman" w:hAnsi="Times New Roman" w:cs="Times New Roman"/>
          <w:sz w:val="24"/>
          <w:szCs w:val="24"/>
        </w:rPr>
        <w:t xml:space="preserve">, które co do zasady winny być prowadzone </w:t>
      </w:r>
      <w:r w:rsidRPr="0055477F">
        <w:rPr>
          <w:rFonts w:ascii="Times New Roman" w:hAnsi="Times New Roman" w:cs="Times New Roman"/>
          <w:b/>
          <w:bCs/>
          <w:sz w:val="24"/>
          <w:szCs w:val="24"/>
        </w:rPr>
        <w:t>w warunkach zdalnych</w:t>
      </w:r>
      <w:r w:rsidRPr="00E6705E">
        <w:rPr>
          <w:rFonts w:ascii="Times New Roman" w:hAnsi="Times New Roman" w:cs="Times New Roman"/>
          <w:sz w:val="24"/>
          <w:szCs w:val="24"/>
        </w:rPr>
        <w:t xml:space="preserve">, także </w:t>
      </w:r>
      <w:r w:rsidRPr="0055477F">
        <w:rPr>
          <w:rFonts w:ascii="Times New Roman" w:hAnsi="Times New Roman" w:cs="Times New Roman"/>
          <w:b/>
          <w:bCs/>
          <w:sz w:val="24"/>
          <w:szCs w:val="24"/>
        </w:rPr>
        <w:t>w okresie po pandemii</w:t>
      </w:r>
      <w:r w:rsidRPr="00E6705E">
        <w:rPr>
          <w:rFonts w:ascii="Times New Roman" w:hAnsi="Times New Roman" w:cs="Times New Roman"/>
          <w:sz w:val="24"/>
          <w:szCs w:val="24"/>
        </w:rPr>
        <w:t>.</w:t>
      </w:r>
    </w:p>
    <w:p w14:paraId="4AD4DF3F" w14:textId="77777777" w:rsidR="006256D0" w:rsidRPr="00E6705E" w:rsidRDefault="006256D0" w:rsidP="006256D0">
      <w:pPr>
        <w:spacing w:after="0" w:line="240" w:lineRule="auto"/>
        <w:ind w:firstLine="708"/>
        <w:jc w:val="both"/>
        <w:rPr>
          <w:rFonts w:ascii="Times New Roman" w:hAnsi="Times New Roman" w:cs="Times New Roman"/>
          <w:sz w:val="24"/>
          <w:szCs w:val="24"/>
        </w:rPr>
      </w:pPr>
    </w:p>
    <w:p w14:paraId="63855631"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 xml:space="preserve">Interwencja i właściwa zmiana </w:t>
      </w:r>
      <w:r w:rsidRPr="00E6705E">
        <w:rPr>
          <w:rFonts w:ascii="Times New Roman" w:hAnsi="Times New Roman" w:cs="Times New Roman"/>
          <w:sz w:val="24"/>
          <w:szCs w:val="24"/>
          <w:u w:val="single"/>
        </w:rPr>
        <w:t>dotychczasowej</w:t>
      </w:r>
      <w:r w:rsidRPr="00E6705E">
        <w:rPr>
          <w:rFonts w:ascii="Times New Roman" w:hAnsi="Times New Roman" w:cs="Times New Roman"/>
          <w:sz w:val="24"/>
          <w:szCs w:val="24"/>
        </w:rPr>
        <w:t xml:space="preserve"> praktyki w tej kwestii jest konieczna, gdyż Urząd Patentowy RP nie tylko </w:t>
      </w:r>
      <w:r w:rsidRPr="00E6705E">
        <w:rPr>
          <w:rFonts w:ascii="Times New Roman" w:hAnsi="Times New Roman" w:cs="Times New Roman"/>
          <w:sz w:val="24"/>
          <w:szCs w:val="24"/>
          <w:u w:val="single"/>
        </w:rPr>
        <w:t>nie poradził sobie z organizowaniem rozpraw zdalnych, a nawet nie uwzględnił tych kwestii w powoływanym już wyżej Regulaminie</w:t>
      </w:r>
      <w:r w:rsidRPr="00E6705E">
        <w:rPr>
          <w:rFonts w:ascii="Times New Roman" w:hAnsi="Times New Roman" w:cs="Times New Roman"/>
          <w:sz w:val="24"/>
          <w:szCs w:val="24"/>
        </w:rPr>
        <w:t>:</w:t>
      </w:r>
    </w:p>
    <w:p w14:paraId="0D487BA2" w14:textId="77777777" w:rsidR="006256D0" w:rsidRPr="00E6705E" w:rsidRDefault="006256D0" w:rsidP="006256D0">
      <w:pPr>
        <w:spacing w:after="0" w:line="240" w:lineRule="auto"/>
        <w:ind w:firstLine="708"/>
        <w:jc w:val="both"/>
        <w:rPr>
          <w:rFonts w:ascii="Times New Roman" w:hAnsi="Times New Roman" w:cs="Times New Roman"/>
          <w:sz w:val="24"/>
          <w:szCs w:val="24"/>
        </w:rPr>
      </w:pPr>
    </w:p>
    <w:p w14:paraId="30BBA38F" w14:textId="77777777" w:rsidR="006256D0" w:rsidRPr="00E6705E" w:rsidRDefault="006256D0" w:rsidP="006256D0">
      <w:pPr>
        <w:spacing w:after="0" w:line="240" w:lineRule="auto"/>
        <w:ind w:left="567"/>
        <w:jc w:val="both"/>
        <w:rPr>
          <w:rFonts w:ascii="Times New Roman" w:hAnsi="Times New Roman" w:cs="Times New Roman"/>
          <w:i/>
          <w:iCs/>
          <w:sz w:val="24"/>
          <w:szCs w:val="24"/>
        </w:rPr>
      </w:pPr>
      <w:r w:rsidRPr="00E6705E">
        <w:rPr>
          <w:rFonts w:ascii="Times New Roman" w:hAnsi="Times New Roman" w:cs="Times New Roman"/>
          <w:i/>
          <w:iCs/>
          <w:sz w:val="24"/>
          <w:szCs w:val="24"/>
        </w:rPr>
        <w:t>ZARZĄDZENIU NR 4 PREZESA URZĘDU PATENTOWEGO RZECZYPOSPOLITEJ POLSKIEJ z dnia 25 lutego 2021 r w sprawie ustalenia regulaminu organizacyjnego Urzędu Patentowego Rzeczypospolitej Polskiej.</w:t>
      </w:r>
    </w:p>
    <w:p w14:paraId="297E7726" w14:textId="77777777" w:rsidR="006256D0" w:rsidRPr="00E6705E" w:rsidRDefault="006256D0" w:rsidP="006256D0">
      <w:pPr>
        <w:spacing w:after="0" w:line="240" w:lineRule="auto"/>
        <w:ind w:left="567"/>
        <w:jc w:val="both"/>
        <w:rPr>
          <w:rFonts w:ascii="Times New Roman" w:hAnsi="Times New Roman" w:cs="Times New Roman"/>
          <w:i/>
          <w:iCs/>
          <w:sz w:val="24"/>
          <w:szCs w:val="24"/>
        </w:rPr>
      </w:pPr>
    </w:p>
    <w:p w14:paraId="73ADAA3E" w14:textId="77777777" w:rsidR="006256D0" w:rsidRPr="00E6705E" w:rsidRDefault="006256D0" w:rsidP="006256D0">
      <w:pPr>
        <w:spacing w:after="0" w:line="240" w:lineRule="auto"/>
        <w:jc w:val="both"/>
        <w:rPr>
          <w:rFonts w:ascii="Times New Roman" w:hAnsi="Times New Roman" w:cs="Times New Roman"/>
          <w:sz w:val="24"/>
          <w:szCs w:val="24"/>
        </w:rPr>
      </w:pPr>
      <w:r w:rsidRPr="00E6705E">
        <w:rPr>
          <w:rFonts w:ascii="Times New Roman" w:hAnsi="Times New Roman" w:cs="Times New Roman"/>
          <w:sz w:val="24"/>
          <w:szCs w:val="24"/>
        </w:rPr>
        <w:t xml:space="preserve">Urząd koncentruje się na uzasadnianiu, że prowadzenie rozpraw - w tym w trybie zdalnym - nie jest potrzebne, podczas gdy prowadzenie rozpraw przewidują dojrzałe systemy sądownicze, zaś </w:t>
      </w:r>
      <w:r w:rsidRPr="00E6705E">
        <w:rPr>
          <w:rFonts w:ascii="Times New Roman" w:hAnsi="Times New Roman" w:cs="Times New Roman"/>
          <w:b/>
          <w:bCs/>
          <w:sz w:val="24"/>
          <w:szCs w:val="24"/>
        </w:rPr>
        <w:t>rozprawy zdalne są i będą potrzebne zawsze</w:t>
      </w:r>
      <w:r w:rsidRPr="00E6705E">
        <w:rPr>
          <w:rFonts w:ascii="Times New Roman" w:hAnsi="Times New Roman" w:cs="Times New Roman"/>
          <w:sz w:val="24"/>
          <w:szCs w:val="24"/>
        </w:rPr>
        <w:t xml:space="preserve">, także w czasie popandemicznym, gdyż zawsze obniżają koszty postępowań, eliminują przecież podróże, stwarzają warunki równości stronom postępowania, zawsze są i będą tańsze, bezpieczniejsze i bardziej ekologiczne. </w:t>
      </w:r>
      <w:r w:rsidRPr="00E6705E">
        <w:rPr>
          <w:rFonts w:ascii="Times New Roman" w:hAnsi="Times New Roman" w:cs="Times New Roman"/>
          <w:b/>
          <w:bCs/>
          <w:sz w:val="24"/>
          <w:szCs w:val="24"/>
          <w:u w:val="single"/>
        </w:rPr>
        <w:t>Urząd wciąż nie określił właściwie zasad wyznaczania terminów rozpraw, ich odraczania i znoszenia</w:t>
      </w:r>
      <w:r w:rsidRPr="00E6705E">
        <w:rPr>
          <w:rFonts w:ascii="Times New Roman" w:hAnsi="Times New Roman" w:cs="Times New Roman"/>
          <w:sz w:val="24"/>
          <w:szCs w:val="24"/>
        </w:rPr>
        <w:t>, a przecież:</w:t>
      </w:r>
    </w:p>
    <w:p w14:paraId="68690AA0" w14:textId="77777777" w:rsidR="006256D0" w:rsidRPr="00E6705E" w:rsidRDefault="006256D0" w:rsidP="006256D0">
      <w:pPr>
        <w:spacing w:after="0" w:line="240" w:lineRule="auto"/>
        <w:jc w:val="both"/>
        <w:rPr>
          <w:rFonts w:ascii="Times New Roman" w:hAnsi="Times New Roman" w:cs="Times New Roman"/>
        </w:rPr>
      </w:pPr>
    </w:p>
    <w:p w14:paraId="20C990F1" w14:textId="77777777" w:rsidR="006256D0" w:rsidRPr="00E6705E" w:rsidRDefault="006256D0" w:rsidP="00246DC3">
      <w:pPr>
        <w:pStyle w:val="Akapitzlist"/>
        <w:numPr>
          <w:ilvl w:val="0"/>
          <w:numId w:val="20"/>
        </w:numPr>
        <w:ind w:left="567" w:hanging="283"/>
        <w:contextualSpacing/>
        <w:jc w:val="both"/>
        <w:rPr>
          <w:rFonts w:ascii="Times New Roman" w:hAnsi="Times New Roman"/>
          <w:sz w:val="24"/>
          <w:szCs w:val="24"/>
        </w:rPr>
      </w:pPr>
      <w:r w:rsidRPr="00E6705E">
        <w:rPr>
          <w:rFonts w:ascii="Times New Roman" w:hAnsi="Times New Roman"/>
          <w:sz w:val="24"/>
          <w:szCs w:val="24"/>
        </w:rPr>
        <w:t>wprawdzie niepokoi terminologia ustawy p.w.p., która w art. 255</w:t>
      </w:r>
      <w:r w:rsidRPr="00E6705E">
        <w:rPr>
          <w:rFonts w:ascii="Times New Roman" w:hAnsi="Times New Roman"/>
          <w:sz w:val="24"/>
          <w:szCs w:val="24"/>
          <w:vertAlign w:val="superscript"/>
        </w:rPr>
        <w:t>3</w:t>
      </w:r>
      <w:r w:rsidRPr="00E6705E">
        <w:rPr>
          <w:rFonts w:ascii="Times New Roman" w:hAnsi="Times New Roman"/>
          <w:sz w:val="24"/>
          <w:szCs w:val="24"/>
        </w:rPr>
        <w:t xml:space="preserve"> ust. 1 p.w.p. stanowi, że </w:t>
      </w:r>
      <w:r w:rsidRPr="00E6705E">
        <w:rPr>
          <w:rFonts w:ascii="Times New Roman" w:hAnsi="Times New Roman"/>
          <w:i/>
          <w:iCs/>
          <w:sz w:val="24"/>
          <w:szCs w:val="24"/>
        </w:rPr>
        <w:t>„Urząd Patentowy wyznacza termin rozprawy</w:t>
      </w:r>
      <w:r w:rsidRPr="00E6705E">
        <w:rPr>
          <w:rFonts w:ascii="Times New Roman" w:hAnsi="Times New Roman"/>
          <w:sz w:val="24"/>
          <w:szCs w:val="24"/>
        </w:rPr>
        <w:t xml:space="preserve">”, choć słuszne jest oczekiwanie, aby raczej np. </w:t>
      </w:r>
      <w:r w:rsidRPr="00E6705E">
        <w:rPr>
          <w:rFonts w:ascii="Times New Roman" w:hAnsi="Times New Roman"/>
          <w:i/>
          <w:iCs/>
          <w:sz w:val="24"/>
          <w:szCs w:val="24"/>
        </w:rPr>
        <w:t>„Przewodniczący Wydziału”,</w:t>
      </w:r>
      <w:r w:rsidRPr="00E6705E">
        <w:rPr>
          <w:rFonts w:ascii="Times New Roman" w:hAnsi="Times New Roman"/>
          <w:sz w:val="24"/>
          <w:szCs w:val="24"/>
        </w:rPr>
        <w:t xml:space="preserve"> a nie </w:t>
      </w:r>
      <w:r w:rsidRPr="00E6705E">
        <w:rPr>
          <w:rFonts w:ascii="Times New Roman" w:hAnsi="Times New Roman"/>
          <w:i/>
          <w:iCs/>
          <w:sz w:val="24"/>
          <w:szCs w:val="24"/>
        </w:rPr>
        <w:t>„Urząd</w:t>
      </w:r>
      <w:r w:rsidRPr="00E6705E">
        <w:rPr>
          <w:rFonts w:ascii="Times New Roman" w:hAnsi="Times New Roman"/>
          <w:sz w:val="24"/>
          <w:szCs w:val="24"/>
        </w:rPr>
        <w:t xml:space="preserve">” zrealizował tę czynność procesową, </w:t>
      </w:r>
    </w:p>
    <w:p w14:paraId="6FCA27D8" w14:textId="77777777" w:rsidR="006256D0" w:rsidRPr="00E6705E" w:rsidRDefault="006256D0" w:rsidP="00246DC3">
      <w:pPr>
        <w:pStyle w:val="Akapitzlist"/>
        <w:numPr>
          <w:ilvl w:val="0"/>
          <w:numId w:val="20"/>
        </w:numPr>
        <w:ind w:left="567" w:hanging="283"/>
        <w:contextualSpacing/>
        <w:jc w:val="both"/>
        <w:rPr>
          <w:rFonts w:ascii="Times New Roman" w:hAnsi="Times New Roman"/>
          <w:sz w:val="24"/>
          <w:szCs w:val="24"/>
        </w:rPr>
      </w:pPr>
      <w:r w:rsidRPr="00E6705E">
        <w:rPr>
          <w:rFonts w:ascii="Times New Roman" w:hAnsi="Times New Roman"/>
          <w:sz w:val="24"/>
          <w:szCs w:val="24"/>
        </w:rPr>
        <w:t>skoro z art. 255</w:t>
      </w:r>
      <w:r w:rsidRPr="00E6705E">
        <w:rPr>
          <w:rFonts w:ascii="Times New Roman" w:hAnsi="Times New Roman"/>
          <w:sz w:val="24"/>
          <w:szCs w:val="24"/>
          <w:vertAlign w:val="superscript"/>
        </w:rPr>
        <w:t>3</w:t>
      </w:r>
      <w:r w:rsidRPr="00E6705E">
        <w:rPr>
          <w:rFonts w:ascii="Times New Roman" w:hAnsi="Times New Roman"/>
          <w:sz w:val="24"/>
          <w:szCs w:val="24"/>
        </w:rPr>
        <w:t xml:space="preserve"> ust. 3 p.w.p. wynika kompetencja do określenia </w:t>
      </w:r>
      <w:r w:rsidRPr="00E6705E">
        <w:rPr>
          <w:rFonts w:ascii="Times New Roman" w:hAnsi="Times New Roman"/>
          <w:b/>
          <w:bCs/>
          <w:sz w:val="24"/>
          <w:szCs w:val="24"/>
          <w:u w:val="single"/>
        </w:rPr>
        <w:t>terminu rozprawy</w:t>
      </w:r>
      <w:r w:rsidRPr="00E6705E">
        <w:rPr>
          <w:rFonts w:ascii="Times New Roman" w:hAnsi="Times New Roman"/>
          <w:sz w:val="24"/>
          <w:szCs w:val="24"/>
        </w:rPr>
        <w:t xml:space="preserve">, który ustalany jest </w:t>
      </w:r>
      <w:r w:rsidRPr="00E6705E">
        <w:rPr>
          <w:rFonts w:ascii="Times New Roman" w:hAnsi="Times New Roman"/>
          <w:b/>
          <w:bCs/>
          <w:sz w:val="24"/>
          <w:szCs w:val="24"/>
          <w:u w:val="single"/>
        </w:rPr>
        <w:t>na bliżej nieokreślonych zasadach</w:t>
      </w:r>
      <w:r w:rsidRPr="00E6705E">
        <w:rPr>
          <w:rFonts w:ascii="Times New Roman" w:hAnsi="Times New Roman"/>
          <w:sz w:val="24"/>
          <w:szCs w:val="24"/>
        </w:rPr>
        <w:t xml:space="preserve"> - nic nie stoi na przeszkodzie, aby </w:t>
      </w:r>
      <w:r w:rsidRPr="00E6705E">
        <w:rPr>
          <w:rFonts w:ascii="Times New Roman" w:hAnsi="Times New Roman"/>
          <w:b/>
          <w:bCs/>
          <w:sz w:val="24"/>
          <w:szCs w:val="24"/>
          <w:u w:val="single"/>
        </w:rPr>
        <w:t>w tym samym trybie termin rozprawy był znoszony czy zmieniany</w:t>
      </w:r>
      <w:r w:rsidRPr="00E6705E">
        <w:rPr>
          <w:rFonts w:ascii="Times New Roman" w:hAnsi="Times New Roman"/>
          <w:sz w:val="24"/>
          <w:szCs w:val="24"/>
        </w:rPr>
        <w:t xml:space="preserve">, </w:t>
      </w:r>
    </w:p>
    <w:p w14:paraId="39676F72" w14:textId="77777777" w:rsidR="006256D0" w:rsidRPr="00E6705E" w:rsidRDefault="006256D0" w:rsidP="00246DC3">
      <w:pPr>
        <w:pStyle w:val="Akapitzlist"/>
        <w:numPr>
          <w:ilvl w:val="0"/>
          <w:numId w:val="20"/>
        </w:numPr>
        <w:ind w:left="567" w:hanging="283"/>
        <w:contextualSpacing/>
        <w:jc w:val="both"/>
        <w:rPr>
          <w:rFonts w:ascii="Times New Roman" w:hAnsi="Times New Roman"/>
          <w:sz w:val="24"/>
          <w:szCs w:val="24"/>
        </w:rPr>
      </w:pPr>
      <w:r w:rsidRPr="00E6705E">
        <w:rPr>
          <w:rFonts w:ascii="Times New Roman" w:hAnsi="Times New Roman"/>
          <w:b/>
          <w:bCs/>
          <w:sz w:val="24"/>
          <w:szCs w:val="24"/>
          <w:u w:val="single"/>
        </w:rPr>
        <w:t xml:space="preserve">reguły ogólne sformułowane w art. 89 </w:t>
      </w:r>
      <w:proofErr w:type="spellStart"/>
      <w:r w:rsidRPr="00E6705E">
        <w:rPr>
          <w:rFonts w:ascii="Times New Roman" w:hAnsi="Times New Roman"/>
          <w:b/>
          <w:bCs/>
          <w:sz w:val="24"/>
          <w:szCs w:val="24"/>
          <w:u w:val="single"/>
        </w:rPr>
        <w:t>k.p.a</w:t>
      </w:r>
      <w:proofErr w:type="spellEnd"/>
      <w:r w:rsidRPr="00E6705E">
        <w:rPr>
          <w:rFonts w:ascii="Times New Roman" w:hAnsi="Times New Roman"/>
          <w:sz w:val="24"/>
          <w:szCs w:val="24"/>
        </w:rPr>
        <w:t xml:space="preserve">, i następnych k.p.a. (w tym art. 91 oraz art. 92, a także art. 94 § 2 k.p.a.) są wystarczające i jeśli organ przygotowując procedowanie wyznaczył termin rozprawy, skoro wolno było go wyznaczyć (może na posiedzeniu niejawnym), wolno też zmienić i ww. przepisy także w tym zakresie są wystarczające jasne (natomiast słuszne jest oczekiwanie stron, że nastąpi wcześniejsze poinformowanie zainteresowanych, że rozprawa się nie odbędzie), </w:t>
      </w:r>
    </w:p>
    <w:p w14:paraId="502B4A7F" w14:textId="77777777" w:rsidR="006256D0" w:rsidRPr="00E6705E" w:rsidRDefault="006256D0" w:rsidP="00246DC3">
      <w:pPr>
        <w:pStyle w:val="Akapitzlist"/>
        <w:numPr>
          <w:ilvl w:val="0"/>
          <w:numId w:val="20"/>
        </w:numPr>
        <w:ind w:left="567" w:hanging="283"/>
        <w:contextualSpacing/>
        <w:jc w:val="both"/>
        <w:rPr>
          <w:rFonts w:ascii="Times New Roman" w:hAnsi="Times New Roman"/>
          <w:sz w:val="24"/>
          <w:szCs w:val="24"/>
        </w:rPr>
      </w:pPr>
      <w:r w:rsidRPr="00E6705E">
        <w:rPr>
          <w:rFonts w:ascii="Times New Roman" w:hAnsi="Times New Roman"/>
          <w:b/>
          <w:bCs/>
          <w:sz w:val="24"/>
          <w:szCs w:val="24"/>
          <w:u w:val="single"/>
        </w:rPr>
        <w:lastRenderedPageBreak/>
        <w:t>znakomite wzorce</w:t>
      </w:r>
      <w:r w:rsidRPr="00E6705E">
        <w:rPr>
          <w:rFonts w:ascii="Times New Roman" w:hAnsi="Times New Roman"/>
          <w:sz w:val="24"/>
          <w:szCs w:val="24"/>
        </w:rPr>
        <w:t xml:space="preserve"> czerpać można z organizacji rozpraw w sprawach, które prowadzi </w:t>
      </w:r>
      <w:r w:rsidRPr="00E6705E">
        <w:rPr>
          <w:rFonts w:ascii="Times New Roman" w:hAnsi="Times New Roman"/>
          <w:b/>
          <w:bCs/>
          <w:sz w:val="24"/>
          <w:szCs w:val="24"/>
          <w:u w:val="single"/>
        </w:rPr>
        <w:t>Europejski Urząd Patentowy</w:t>
      </w:r>
      <w:r w:rsidRPr="00E6705E">
        <w:rPr>
          <w:rFonts w:ascii="Times New Roman" w:hAnsi="Times New Roman"/>
          <w:sz w:val="24"/>
          <w:szCs w:val="24"/>
        </w:rPr>
        <w:t xml:space="preserve">, ale także </w:t>
      </w:r>
    </w:p>
    <w:p w14:paraId="27D5BB10" w14:textId="77777777" w:rsidR="006256D0" w:rsidRPr="00E6705E" w:rsidRDefault="006256D0" w:rsidP="00246DC3">
      <w:pPr>
        <w:pStyle w:val="Akapitzlist"/>
        <w:numPr>
          <w:ilvl w:val="0"/>
          <w:numId w:val="20"/>
        </w:numPr>
        <w:ind w:left="567" w:hanging="283"/>
        <w:contextualSpacing/>
        <w:jc w:val="both"/>
        <w:rPr>
          <w:rFonts w:ascii="Times New Roman" w:hAnsi="Times New Roman"/>
          <w:b/>
          <w:bCs/>
          <w:i/>
          <w:iCs/>
          <w:sz w:val="24"/>
          <w:szCs w:val="24"/>
        </w:rPr>
      </w:pPr>
      <w:r w:rsidRPr="00E6705E">
        <w:rPr>
          <w:rFonts w:ascii="Times New Roman" w:hAnsi="Times New Roman"/>
          <w:b/>
          <w:bCs/>
          <w:sz w:val="24"/>
          <w:szCs w:val="24"/>
          <w:u w:val="single"/>
        </w:rPr>
        <w:t>za wzorce posłużyć mogą regulaminy działania</w:t>
      </w:r>
      <w:r w:rsidRPr="00E6705E">
        <w:rPr>
          <w:rFonts w:ascii="Times New Roman" w:hAnsi="Times New Roman"/>
          <w:sz w:val="24"/>
          <w:szCs w:val="24"/>
        </w:rPr>
        <w:t xml:space="preserve"> sądów administracyjnych, powszechnych oraz Sądu Najwyższego (przykłady regulaminu chętnie przedstawimy).</w:t>
      </w:r>
    </w:p>
    <w:p w14:paraId="4D760EE2" w14:textId="77777777" w:rsidR="006256D0" w:rsidRPr="00E6705E" w:rsidRDefault="006256D0" w:rsidP="006256D0">
      <w:pPr>
        <w:spacing w:after="0" w:line="240" w:lineRule="auto"/>
        <w:jc w:val="both"/>
        <w:rPr>
          <w:rFonts w:ascii="Times New Roman" w:hAnsi="Times New Roman" w:cs="Times New Roman"/>
        </w:rPr>
      </w:pPr>
    </w:p>
    <w:p w14:paraId="4525C52D" w14:textId="77777777" w:rsidR="006256D0" w:rsidRPr="00E6705E" w:rsidRDefault="006256D0" w:rsidP="006256D0">
      <w:pPr>
        <w:spacing w:after="0" w:line="240" w:lineRule="auto"/>
        <w:jc w:val="center"/>
        <w:rPr>
          <w:rFonts w:ascii="Times New Roman" w:hAnsi="Times New Roman" w:cs="Times New Roman"/>
          <w:sz w:val="24"/>
          <w:szCs w:val="24"/>
        </w:rPr>
      </w:pPr>
      <w:r w:rsidRPr="00E6705E">
        <w:rPr>
          <w:rFonts w:ascii="Times New Roman" w:hAnsi="Times New Roman" w:cs="Times New Roman"/>
          <w:sz w:val="24"/>
          <w:szCs w:val="24"/>
        </w:rPr>
        <w:t>POZYTYWNE PRZYKŁADY DZIAŁAŃ UP RP, WYMAGAJĄCE UGRUNTOWANIA</w:t>
      </w:r>
    </w:p>
    <w:p w14:paraId="550A175A" w14:textId="77777777" w:rsidR="006256D0" w:rsidRPr="00E6705E" w:rsidRDefault="006256D0" w:rsidP="006256D0">
      <w:pPr>
        <w:spacing w:after="0" w:line="240" w:lineRule="auto"/>
        <w:jc w:val="center"/>
        <w:rPr>
          <w:rFonts w:ascii="Times New Roman" w:hAnsi="Times New Roman" w:cs="Times New Roman"/>
          <w:sz w:val="24"/>
          <w:szCs w:val="24"/>
        </w:rPr>
      </w:pPr>
    </w:p>
    <w:p w14:paraId="7F2EC6E3"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Tymczasem w praktyce obserwowane są sytuacje, które wykazują brak konsekwencji, niekiedy zaś racjonalności działań Urzędu Patentowego RP, które chętnie przedstawimy.</w:t>
      </w:r>
    </w:p>
    <w:p w14:paraId="4090E195" w14:textId="77777777" w:rsidR="006256D0" w:rsidRPr="00E6705E" w:rsidRDefault="006256D0" w:rsidP="006256D0">
      <w:pPr>
        <w:spacing w:after="0" w:line="240" w:lineRule="auto"/>
        <w:ind w:firstLine="708"/>
        <w:jc w:val="both"/>
        <w:rPr>
          <w:rFonts w:ascii="Times New Roman" w:hAnsi="Times New Roman" w:cs="Times New Roman"/>
        </w:rPr>
      </w:pPr>
    </w:p>
    <w:p w14:paraId="112AF95B" w14:textId="77777777" w:rsidR="006256D0" w:rsidRPr="00E6705E" w:rsidRDefault="006256D0" w:rsidP="00330A23">
      <w:pPr>
        <w:spacing w:after="0" w:line="240" w:lineRule="auto"/>
        <w:jc w:val="center"/>
        <w:rPr>
          <w:rFonts w:ascii="Times New Roman" w:hAnsi="Times New Roman" w:cs="Times New Roman"/>
          <w:sz w:val="20"/>
          <w:szCs w:val="20"/>
        </w:rPr>
      </w:pPr>
      <w:r w:rsidRPr="00E6705E">
        <w:rPr>
          <w:rFonts w:ascii="Times New Roman" w:hAnsi="Times New Roman" w:cs="Times New Roman"/>
          <w:sz w:val="20"/>
          <w:szCs w:val="20"/>
        </w:rPr>
        <w:t>* * *</w:t>
      </w:r>
    </w:p>
    <w:p w14:paraId="38ACE4F0" w14:textId="77777777" w:rsidR="006256D0" w:rsidRPr="00E6705E" w:rsidRDefault="006256D0" w:rsidP="006256D0">
      <w:pPr>
        <w:spacing w:after="0" w:line="240" w:lineRule="auto"/>
        <w:ind w:firstLine="708"/>
        <w:jc w:val="both"/>
        <w:rPr>
          <w:rFonts w:ascii="Times New Roman" w:hAnsi="Times New Roman" w:cs="Times New Roman"/>
        </w:rPr>
      </w:pPr>
    </w:p>
    <w:p w14:paraId="5BD78C99"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Zwracamy się z apelem, aby podjęte zostały opisane wyżej, pilnie potrzebne działania.</w:t>
      </w:r>
    </w:p>
    <w:p w14:paraId="7739B95F" w14:textId="77777777" w:rsidR="006256D0" w:rsidRPr="00E6705E" w:rsidRDefault="006256D0" w:rsidP="006256D0">
      <w:pPr>
        <w:spacing w:after="0" w:line="240" w:lineRule="auto"/>
        <w:ind w:firstLine="708"/>
        <w:jc w:val="both"/>
        <w:rPr>
          <w:rFonts w:ascii="Times New Roman" w:hAnsi="Times New Roman" w:cs="Times New Roman"/>
          <w:sz w:val="24"/>
          <w:szCs w:val="24"/>
        </w:rPr>
      </w:pPr>
    </w:p>
    <w:p w14:paraId="7C897203" w14:textId="77777777" w:rsidR="006256D0" w:rsidRPr="00E6705E" w:rsidRDefault="006256D0" w:rsidP="00A65523">
      <w:pPr>
        <w:spacing w:after="0" w:line="240" w:lineRule="auto"/>
        <w:ind w:firstLine="567"/>
        <w:jc w:val="both"/>
        <w:rPr>
          <w:rFonts w:ascii="Times New Roman" w:hAnsi="Times New Roman" w:cs="Times New Roman"/>
          <w:sz w:val="24"/>
          <w:szCs w:val="24"/>
        </w:rPr>
      </w:pPr>
      <w:r w:rsidRPr="00E6705E">
        <w:rPr>
          <w:rFonts w:ascii="Times New Roman" w:hAnsi="Times New Roman" w:cs="Times New Roman"/>
          <w:sz w:val="24"/>
          <w:szCs w:val="24"/>
        </w:rPr>
        <w:t>Nadszedł czas prostych i potrzebnych rozwiązań.</w:t>
      </w:r>
    </w:p>
    <w:p w14:paraId="3FE7CAB6" w14:textId="77777777" w:rsidR="006256D0" w:rsidRPr="00E6705E" w:rsidRDefault="006256D0" w:rsidP="006256D0">
      <w:pPr>
        <w:spacing w:after="0" w:line="240" w:lineRule="auto"/>
        <w:ind w:firstLine="708"/>
        <w:jc w:val="both"/>
        <w:rPr>
          <w:rFonts w:ascii="Times New Roman" w:hAnsi="Times New Roman" w:cs="Times New Roman"/>
          <w:sz w:val="24"/>
          <w:szCs w:val="24"/>
        </w:rPr>
      </w:pPr>
    </w:p>
    <w:p w14:paraId="3A587811" w14:textId="309D1FBB" w:rsidR="006256D0" w:rsidRPr="00E6705E" w:rsidRDefault="006256D0" w:rsidP="00A65523">
      <w:pPr>
        <w:spacing w:after="0" w:line="240" w:lineRule="auto"/>
        <w:ind w:firstLine="567"/>
        <w:jc w:val="both"/>
        <w:rPr>
          <w:rFonts w:ascii="Times New Roman" w:hAnsi="Times New Roman" w:cs="Times New Roman"/>
          <w:i/>
          <w:iCs/>
          <w:sz w:val="24"/>
          <w:szCs w:val="24"/>
        </w:rPr>
      </w:pPr>
      <w:r w:rsidRPr="00E6705E">
        <w:rPr>
          <w:rFonts w:ascii="Times New Roman" w:hAnsi="Times New Roman" w:cs="Times New Roman"/>
          <w:i/>
          <w:iCs/>
          <w:sz w:val="24"/>
          <w:szCs w:val="24"/>
        </w:rPr>
        <w:t>Pozostajemy z poważaniem i przekazujemy wyrazy szacunku wszystkim Ekspertom, naukowcom, rzecznikom patentowym, którzy troszczą się o dobrą przyszłość polskiej gospodarki –</w:t>
      </w:r>
    </w:p>
    <w:p w14:paraId="230A193D" w14:textId="77777777" w:rsidR="00173786" w:rsidRDefault="00173786" w:rsidP="00330A23">
      <w:pPr>
        <w:spacing w:after="0" w:line="240" w:lineRule="auto"/>
        <w:jc w:val="center"/>
        <w:rPr>
          <w:i/>
          <w:iCs/>
        </w:rPr>
      </w:pPr>
    </w:p>
    <w:p w14:paraId="16D709F9" w14:textId="128C14E4" w:rsidR="002C4D9A" w:rsidRPr="00EC4F25" w:rsidRDefault="00D857A7" w:rsidP="00330A23">
      <w:pPr>
        <w:spacing w:after="0" w:line="240" w:lineRule="auto"/>
        <w:jc w:val="center"/>
        <w:rPr>
          <w:i/>
          <w:iCs/>
        </w:rPr>
      </w:pPr>
      <w:r>
        <w:rPr>
          <w:i/>
          <w:iCs/>
          <w:noProof/>
          <w:lang w:eastAsia="pl-PL"/>
        </w:rPr>
        <w:drawing>
          <wp:inline distT="0" distB="0" distL="0" distR="0" wp14:anchorId="59204116" wp14:editId="774E41D3">
            <wp:extent cx="5543550" cy="2747958"/>
            <wp:effectExtent l="0" t="0" r="0" b="0"/>
            <wp:docPr id="1848271548" name="Obraz 184827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5">
                      <a:extLst>
                        <a:ext uri="{28A0092B-C50C-407E-A947-70E740481C1C}">
                          <a14:useLocalDpi xmlns:a14="http://schemas.microsoft.com/office/drawing/2010/main" val="0"/>
                        </a:ext>
                      </a:extLst>
                    </a:blip>
                    <a:srcRect t="4495" b="10492"/>
                    <a:stretch/>
                  </pic:blipFill>
                  <pic:spPr bwMode="auto">
                    <a:xfrm>
                      <a:off x="0" y="0"/>
                      <a:ext cx="5638866" cy="2795206"/>
                    </a:xfrm>
                    <a:prstGeom prst="rect">
                      <a:avLst/>
                    </a:prstGeom>
                    <a:noFill/>
                    <a:ln>
                      <a:noFill/>
                    </a:ln>
                    <a:extLst>
                      <a:ext uri="{53640926-AAD7-44D8-BBD7-CCE9431645EC}">
                        <a14:shadowObscured xmlns:a14="http://schemas.microsoft.com/office/drawing/2010/main"/>
                      </a:ext>
                    </a:extLst>
                  </pic:spPr>
                </pic:pic>
              </a:graphicData>
            </a:graphic>
          </wp:inline>
        </w:drawing>
      </w:r>
    </w:p>
    <w:p w14:paraId="6F02F6BF" w14:textId="77777777" w:rsidR="006256D0" w:rsidRDefault="006256D0" w:rsidP="006256D0">
      <w:pPr>
        <w:spacing w:after="0" w:line="240" w:lineRule="auto"/>
        <w:rPr>
          <w:b/>
          <w:bCs/>
        </w:rPr>
      </w:pPr>
    </w:p>
    <w:p w14:paraId="4009BF74" w14:textId="77777777" w:rsidR="009C564A" w:rsidRDefault="009C564A" w:rsidP="006256D0">
      <w:pPr>
        <w:spacing w:after="0" w:line="240" w:lineRule="auto"/>
        <w:rPr>
          <w:b/>
          <w:bCs/>
        </w:rPr>
      </w:pPr>
    </w:p>
    <w:p w14:paraId="0E9559F7" w14:textId="365D9F7E" w:rsidR="002969DE" w:rsidRDefault="002969DE" w:rsidP="002969DE">
      <w:pPr>
        <w:spacing w:after="0" w:line="240" w:lineRule="auto"/>
        <w:jc w:val="center"/>
        <w:rPr>
          <w:b/>
          <w:bCs/>
        </w:rPr>
      </w:pPr>
      <w:r>
        <w:rPr>
          <w:b/>
          <w:bCs/>
        </w:rPr>
        <w:t>* * *</w:t>
      </w:r>
    </w:p>
    <w:p w14:paraId="6A15522B" w14:textId="77777777" w:rsidR="0017071E" w:rsidRDefault="0017071E" w:rsidP="002969DE">
      <w:pPr>
        <w:spacing w:after="0" w:line="240" w:lineRule="auto"/>
        <w:jc w:val="center"/>
        <w:rPr>
          <w:b/>
          <w:bCs/>
        </w:rPr>
      </w:pPr>
    </w:p>
    <w:p w14:paraId="5FD5B8BC" w14:textId="114A34EF" w:rsidR="002E484E" w:rsidRPr="002E484E" w:rsidRDefault="0012786A" w:rsidP="002E484E">
      <w:pPr>
        <w:spacing w:after="0"/>
        <w:rPr>
          <w:b/>
          <w:bCs/>
          <w:sz w:val="24"/>
          <w:szCs w:val="24"/>
        </w:rPr>
      </w:pPr>
      <w:r>
        <w:rPr>
          <w:b/>
          <w:bCs/>
          <w:sz w:val="24"/>
          <w:szCs w:val="24"/>
        </w:rPr>
        <w:t>U</w:t>
      </w:r>
      <w:r w:rsidRPr="0012786A">
        <w:rPr>
          <w:b/>
          <w:bCs/>
          <w:sz w:val="24"/>
          <w:szCs w:val="24"/>
        </w:rPr>
        <w:t xml:space="preserve">wagi </w:t>
      </w:r>
      <w:r>
        <w:rPr>
          <w:b/>
          <w:bCs/>
          <w:sz w:val="24"/>
          <w:szCs w:val="24"/>
        </w:rPr>
        <w:t>R</w:t>
      </w:r>
      <w:r w:rsidRPr="0012786A">
        <w:rPr>
          <w:b/>
          <w:bCs/>
          <w:sz w:val="24"/>
          <w:szCs w:val="24"/>
        </w:rPr>
        <w:t>edakcji</w:t>
      </w:r>
      <w:r w:rsidR="009970E0" w:rsidRPr="009970E0">
        <w:rPr>
          <w:b/>
          <w:bCs/>
          <w:sz w:val="24"/>
          <w:szCs w:val="24"/>
        </w:rPr>
        <w:t xml:space="preserve"> </w:t>
      </w:r>
      <w:r w:rsidR="002E484E">
        <w:rPr>
          <w:rFonts w:cstheme="minorHAnsi"/>
          <w:bCs/>
          <w:sz w:val="24"/>
          <w:szCs w:val="24"/>
        </w:rPr>
        <w:t>do przypomnianego wyżej LISTU OTWARTEGO</w:t>
      </w:r>
      <w:r w:rsidR="002E484E">
        <w:rPr>
          <w:rFonts w:cstheme="minorHAnsi"/>
          <w:color w:val="000000"/>
        </w:rPr>
        <w:t xml:space="preserve"> </w:t>
      </w:r>
      <w:r w:rsidR="002E484E">
        <w:rPr>
          <w:rFonts w:cstheme="minorHAnsi"/>
          <w:bCs/>
          <w:sz w:val="24"/>
          <w:szCs w:val="24"/>
        </w:rPr>
        <w:t xml:space="preserve">opracowali: </w:t>
      </w:r>
    </w:p>
    <w:tbl>
      <w:tblPr>
        <w:tblStyle w:val="Tabela-Siatk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222"/>
      </w:tblGrid>
      <w:tr w:rsidR="002E484E" w:rsidRPr="006A1234" w14:paraId="736626E5" w14:textId="77777777" w:rsidTr="00030DA1">
        <w:tc>
          <w:tcPr>
            <w:tcW w:w="1276" w:type="dxa"/>
          </w:tcPr>
          <w:p w14:paraId="2EF8D8C2" w14:textId="77777777" w:rsidR="002E484E" w:rsidRPr="00EC4F25" w:rsidRDefault="002E484E" w:rsidP="00EF52F4">
            <w:pPr>
              <w:rPr>
                <w:rFonts w:cstheme="minorHAnsi"/>
                <w:b/>
                <w:bCs/>
                <w:noProof/>
                <w:sz w:val="18"/>
                <w:szCs w:val="18"/>
              </w:rPr>
            </w:pPr>
          </w:p>
        </w:tc>
        <w:tc>
          <w:tcPr>
            <w:tcW w:w="8222" w:type="dxa"/>
          </w:tcPr>
          <w:p w14:paraId="1BA06598" w14:textId="77777777" w:rsidR="002E484E" w:rsidRPr="006A1234" w:rsidRDefault="002E484E" w:rsidP="00EF52F4">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2E484E" w:rsidRPr="001D7639" w14:paraId="157B12A9" w14:textId="77777777" w:rsidTr="00030DA1">
        <w:tc>
          <w:tcPr>
            <w:tcW w:w="1276" w:type="dxa"/>
          </w:tcPr>
          <w:p w14:paraId="30EF259D" w14:textId="77777777" w:rsidR="002E484E" w:rsidRPr="001237AA" w:rsidRDefault="002E484E" w:rsidP="00EF52F4">
            <w:pPr>
              <w:rPr>
                <w:rFonts w:cstheme="minorHAnsi"/>
                <w:b/>
                <w:bCs/>
                <w:color w:val="000000"/>
                <w:sz w:val="6"/>
                <w:szCs w:val="6"/>
              </w:rPr>
            </w:pPr>
          </w:p>
          <w:p w14:paraId="6182CCC7" w14:textId="77777777" w:rsidR="002E484E" w:rsidRDefault="002E484E" w:rsidP="00EF52F4">
            <w:pPr>
              <w:rPr>
                <w:rFonts w:cstheme="minorHAnsi"/>
                <w:b/>
                <w:bCs/>
                <w:color w:val="000000"/>
                <w:sz w:val="26"/>
                <w:szCs w:val="26"/>
              </w:rPr>
            </w:pPr>
            <w:r>
              <w:rPr>
                <w:noProof/>
              </w:rPr>
              <w:drawing>
                <wp:inline distT="0" distB="0" distL="0" distR="0" wp14:anchorId="35098691" wp14:editId="497C3B06">
                  <wp:extent cx="662400" cy="900000"/>
                  <wp:effectExtent l="0" t="0" r="4445" b="0"/>
                  <wp:docPr id="1006770142"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0722"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222" w:type="dxa"/>
          </w:tcPr>
          <w:p w14:paraId="71F6D8D7" w14:textId="77777777" w:rsidR="002E484E" w:rsidRPr="001D7639" w:rsidRDefault="002E484E" w:rsidP="00EF52F4">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Marek BESLER</w:t>
            </w:r>
          </w:p>
          <w:p w14:paraId="25985519" w14:textId="634AB32A" w:rsidR="00233C06" w:rsidRPr="00233C06" w:rsidRDefault="007A5198" w:rsidP="00233C06">
            <w:pPr>
              <w:pStyle w:val="Akapitzlist"/>
              <w:numPr>
                <w:ilvl w:val="0"/>
                <w:numId w:val="47"/>
              </w:numPr>
              <w:ind w:left="320" w:hanging="334"/>
              <w:rPr>
                <w:rFonts w:eastAsia="Times New Roman" w:cstheme="minorHAnsi"/>
                <w:bCs/>
                <w:color w:val="000000"/>
              </w:rPr>
            </w:pPr>
            <w:r>
              <w:rPr>
                <w:rFonts w:eastAsia="Times New Roman" w:cstheme="minorHAnsi"/>
                <w:bCs/>
                <w:color w:val="000000"/>
              </w:rPr>
              <w:t>współorzekający w Komisji Odwoławczej przy Urzędzie Patentowym w sprawach własności przemysłowej, składom której przewodniczyli sędziowie Sądu Najwyższego, w latach 1979 -2001</w:t>
            </w:r>
            <w:r w:rsidR="00233C06" w:rsidRPr="00233C06">
              <w:rPr>
                <w:rFonts w:eastAsia="Times New Roman" w:cstheme="minorHAnsi"/>
                <w:bCs/>
                <w:color w:val="000000"/>
              </w:rPr>
              <w:t xml:space="preserve"> </w:t>
            </w:r>
          </w:p>
          <w:p w14:paraId="25E99530" w14:textId="77777777" w:rsidR="002E484E" w:rsidRPr="007A6BB7" w:rsidRDefault="002E484E" w:rsidP="00EF52F4">
            <w:pPr>
              <w:pStyle w:val="Akapitzlist"/>
              <w:numPr>
                <w:ilvl w:val="0"/>
                <w:numId w:val="47"/>
              </w:numPr>
              <w:ind w:left="320" w:hanging="334"/>
              <w:rPr>
                <w:rFonts w:cstheme="minorHAnsi"/>
                <w:bCs/>
                <w:color w:val="000000"/>
              </w:rPr>
            </w:pPr>
            <w:r w:rsidRPr="009265CF">
              <w:rPr>
                <w:rFonts w:cstheme="minorHAnsi"/>
                <w:bCs/>
                <w:color w:val="000000"/>
              </w:rPr>
              <w:t>rzecznik patentowy nr 1571</w:t>
            </w:r>
          </w:p>
          <w:p w14:paraId="0D0D0744" w14:textId="77777777" w:rsidR="002E484E" w:rsidRPr="007A6BB7" w:rsidRDefault="002E484E" w:rsidP="00EF52F4">
            <w:pPr>
              <w:pStyle w:val="Akapitzlist"/>
              <w:numPr>
                <w:ilvl w:val="0"/>
                <w:numId w:val="47"/>
              </w:numPr>
              <w:ind w:left="320" w:hanging="334"/>
              <w:rPr>
                <w:rFonts w:cstheme="minorHAnsi"/>
                <w:bCs/>
                <w:color w:val="000000"/>
              </w:rPr>
            </w:pPr>
            <w:r w:rsidRPr="009265CF">
              <w:rPr>
                <w:rFonts w:cstheme="minorHAnsi"/>
                <w:bCs/>
                <w:color w:val="000000"/>
              </w:rPr>
              <w:t>profesjonalny pełnomocnik przed EUIPO (</w:t>
            </w:r>
            <w:r w:rsidRPr="00D01A42">
              <w:rPr>
                <w:rFonts w:cstheme="minorHAnsi"/>
                <w:bCs/>
                <w:i/>
                <w:color w:val="000000"/>
              </w:rPr>
              <w:t>European Union Intellectual Property Office</w:t>
            </w:r>
            <w:r w:rsidRPr="009265CF">
              <w:rPr>
                <w:rFonts w:cstheme="minorHAnsi"/>
                <w:bCs/>
                <w:color w:val="000000"/>
              </w:rPr>
              <w:t xml:space="preserve"> – Urząd Unii Europejskiej ds. Własności Intelektualnej), nr 27177</w:t>
            </w:r>
          </w:p>
          <w:p w14:paraId="47DC715A" w14:textId="77777777" w:rsidR="002E484E" w:rsidRPr="009265CF" w:rsidRDefault="002E484E" w:rsidP="00EF52F4">
            <w:pPr>
              <w:pStyle w:val="Akapitzlist"/>
              <w:numPr>
                <w:ilvl w:val="0"/>
                <w:numId w:val="47"/>
              </w:numPr>
              <w:ind w:left="320" w:hanging="334"/>
              <w:rPr>
                <w:rFonts w:cstheme="minorHAnsi"/>
                <w:bCs/>
                <w:color w:val="000000"/>
              </w:rPr>
            </w:pPr>
            <w:r w:rsidRPr="009265CF">
              <w:rPr>
                <w:rFonts w:cstheme="minorHAnsi"/>
                <w:bCs/>
                <w:color w:val="000000"/>
              </w:rPr>
              <w:t>Europejski Rzecznik Patentowy nr 138820</w:t>
            </w:r>
          </w:p>
          <w:p w14:paraId="6EF565A1" w14:textId="77777777" w:rsidR="002E484E" w:rsidRDefault="002E484E" w:rsidP="00EF52F4">
            <w:pPr>
              <w:pStyle w:val="Akapitzlist"/>
              <w:numPr>
                <w:ilvl w:val="0"/>
                <w:numId w:val="47"/>
              </w:numPr>
              <w:ind w:left="320" w:hanging="334"/>
              <w:rPr>
                <w:rFonts w:cstheme="minorHAnsi"/>
                <w:bCs/>
                <w:color w:val="000000"/>
              </w:rPr>
            </w:pPr>
            <w:r w:rsidRPr="009265CF">
              <w:rPr>
                <w:rFonts w:cstheme="minorHAnsi"/>
                <w:bCs/>
                <w:color w:val="000000"/>
              </w:rPr>
              <w:t>Prezes Polskiej Izby Rzeczników Patentowych w latach 2002-2005</w:t>
            </w:r>
          </w:p>
          <w:p w14:paraId="5748CCD2" w14:textId="77777777" w:rsidR="002E484E" w:rsidRDefault="002E484E" w:rsidP="00EF52F4">
            <w:pPr>
              <w:pStyle w:val="Akapitzlist"/>
              <w:numPr>
                <w:ilvl w:val="0"/>
                <w:numId w:val="47"/>
              </w:numPr>
              <w:ind w:left="320" w:hanging="334"/>
              <w:rPr>
                <w:rFonts w:cstheme="minorHAnsi"/>
                <w:bCs/>
                <w:color w:val="000000"/>
              </w:rPr>
            </w:pPr>
            <w:r>
              <w:rPr>
                <w:rFonts w:cstheme="minorHAnsi"/>
                <w:bCs/>
                <w:color w:val="000000"/>
              </w:rPr>
              <w:t>Wiceprezes Zarządu StoWI od 2023 r.</w:t>
            </w:r>
          </w:p>
          <w:p w14:paraId="6BF55CCA" w14:textId="77777777" w:rsidR="002E484E" w:rsidRDefault="002E484E" w:rsidP="00233C06">
            <w:pPr>
              <w:pStyle w:val="Akapitzlist"/>
              <w:numPr>
                <w:ilvl w:val="0"/>
                <w:numId w:val="47"/>
              </w:numPr>
              <w:ind w:left="320" w:hanging="334"/>
              <w:rPr>
                <w:rFonts w:cstheme="minorHAnsi"/>
                <w:bCs/>
                <w:color w:val="000000"/>
              </w:rPr>
            </w:pPr>
            <w:r>
              <w:rPr>
                <w:rFonts w:cstheme="minorHAnsi"/>
                <w:bCs/>
                <w:color w:val="000000"/>
              </w:rPr>
              <w:t>Redaktor naczelny Kwartalnika „THINK-TANK WSZYSTKO o IP w PL” od listopada 2023 r.</w:t>
            </w:r>
          </w:p>
          <w:p w14:paraId="0904BAB3" w14:textId="3E9A895F" w:rsidR="00233C06" w:rsidRPr="00233C06" w:rsidRDefault="00233C06" w:rsidP="00233C06">
            <w:pPr>
              <w:pStyle w:val="Akapitzlist"/>
              <w:ind w:left="320"/>
              <w:rPr>
                <w:rFonts w:cstheme="minorHAnsi"/>
                <w:bCs/>
                <w:color w:val="000000"/>
                <w:sz w:val="6"/>
                <w:szCs w:val="6"/>
              </w:rPr>
            </w:pPr>
          </w:p>
        </w:tc>
      </w:tr>
      <w:tr w:rsidR="002E484E" w:rsidRPr="006A1234" w14:paraId="59E15868" w14:textId="77777777" w:rsidTr="00030DA1">
        <w:tc>
          <w:tcPr>
            <w:tcW w:w="1276" w:type="dxa"/>
          </w:tcPr>
          <w:p w14:paraId="2D87A8A0" w14:textId="123B34A8" w:rsidR="002E484E" w:rsidRPr="001237AA" w:rsidRDefault="00CD1E7A" w:rsidP="00EF52F4">
            <w:pPr>
              <w:tabs>
                <w:tab w:val="left" w:pos="2261"/>
              </w:tabs>
              <w:rPr>
                <w:rFonts w:cstheme="minorHAnsi"/>
                <w:b/>
                <w:bCs/>
                <w:color w:val="000000"/>
                <w:sz w:val="6"/>
                <w:szCs w:val="6"/>
              </w:rPr>
            </w:pPr>
            <w:r>
              <w:rPr>
                <w:noProof/>
              </w:rPr>
              <w:lastRenderedPageBreak/>
              <w:drawing>
                <wp:inline distT="0" distB="0" distL="0" distR="0" wp14:anchorId="045FC3E9" wp14:editId="68EB81EE">
                  <wp:extent cx="658800" cy="900000"/>
                  <wp:effectExtent l="0" t="0" r="8255" b="0"/>
                  <wp:docPr id="1795218912"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9886"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p w14:paraId="485CC3B0" w14:textId="29176A74" w:rsidR="002E484E" w:rsidRDefault="002E484E" w:rsidP="00EF52F4">
            <w:pPr>
              <w:tabs>
                <w:tab w:val="left" w:pos="2261"/>
              </w:tabs>
              <w:rPr>
                <w:rFonts w:cstheme="minorHAnsi"/>
                <w:b/>
                <w:bCs/>
                <w:color w:val="000000"/>
                <w:sz w:val="26"/>
                <w:szCs w:val="26"/>
              </w:rPr>
            </w:pPr>
          </w:p>
        </w:tc>
        <w:tc>
          <w:tcPr>
            <w:tcW w:w="8222" w:type="dxa"/>
          </w:tcPr>
          <w:p w14:paraId="29CC0E4E" w14:textId="77777777" w:rsidR="002E484E" w:rsidRDefault="002E484E" w:rsidP="00EF52F4">
            <w:pPr>
              <w:rPr>
                <w:rFonts w:asciiTheme="minorHAnsi" w:hAnsiTheme="minorHAnsi" w:cstheme="minorHAnsi"/>
                <w:bCs/>
                <w:color w:val="000000"/>
                <w:sz w:val="22"/>
                <w:szCs w:val="22"/>
              </w:rPr>
            </w:pPr>
            <w:r w:rsidRPr="00882209">
              <w:rPr>
                <w:rFonts w:asciiTheme="minorHAnsi" w:hAnsiTheme="minorHAnsi" w:cstheme="minorHAnsi"/>
                <w:bCs/>
                <w:color w:val="000000"/>
                <w:sz w:val="22"/>
                <w:szCs w:val="22"/>
              </w:rPr>
              <w:t>Anna KORBELA</w:t>
            </w:r>
          </w:p>
          <w:p w14:paraId="079E752E" w14:textId="1845C97A" w:rsidR="00755F82" w:rsidRDefault="00E86418" w:rsidP="00EF52F4">
            <w:pPr>
              <w:pStyle w:val="Akapitzlist"/>
              <w:numPr>
                <w:ilvl w:val="0"/>
                <w:numId w:val="45"/>
              </w:numPr>
              <w:ind w:left="320" w:hanging="334"/>
              <w:rPr>
                <w:rFonts w:cstheme="minorHAnsi"/>
                <w:bCs/>
                <w:color w:val="000000"/>
              </w:rPr>
            </w:pPr>
            <w:r w:rsidRPr="00755F82">
              <w:rPr>
                <w:rFonts w:cstheme="minorHAnsi"/>
                <w:bCs/>
                <w:color w:val="000000"/>
              </w:rPr>
              <w:t xml:space="preserve">w 1994 r. </w:t>
            </w:r>
            <w:r w:rsidR="00FE4722">
              <w:rPr>
                <w:rFonts w:cstheme="minorHAnsi"/>
                <w:bCs/>
                <w:color w:val="000000"/>
              </w:rPr>
              <w:t xml:space="preserve">zdała </w:t>
            </w:r>
            <w:r w:rsidR="00755F82" w:rsidRPr="00755F82">
              <w:rPr>
                <w:rFonts w:cstheme="minorHAnsi"/>
                <w:bCs/>
                <w:color w:val="000000"/>
              </w:rPr>
              <w:t xml:space="preserve">egzamin sędziowski poprzedzony etatową aplikacją sędziowską (złożony z </w:t>
            </w:r>
            <w:r w:rsidR="00123357" w:rsidRPr="00755F82">
              <w:rPr>
                <w:rFonts w:cstheme="minorHAnsi"/>
                <w:bCs/>
                <w:color w:val="000000"/>
              </w:rPr>
              <w:t xml:space="preserve">dobrym </w:t>
            </w:r>
            <w:r w:rsidR="00755F82" w:rsidRPr="00755F82">
              <w:rPr>
                <w:rFonts w:cstheme="minorHAnsi"/>
                <w:bCs/>
                <w:color w:val="000000"/>
              </w:rPr>
              <w:t>wynikiem, umożliwiającym podjęcie kariery sędziowskiej</w:t>
            </w:r>
            <w:r w:rsidR="00D76DA8">
              <w:rPr>
                <w:rFonts w:cstheme="minorHAnsi"/>
                <w:bCs/>
                <w:color w:val="000000"/>
              </w:rPr>
              <w:t>)</w:t>
            </w:r>
          </w:p>
          <w:p w14:paraId="144D983C" w14:textId="1562BAA1" w:rsidR="002E484E" w:rsidRPr="009265CF" w:rsidRDefault="002E484E" w:rsidP="00EF52F4">
            <w:pPr>
              <w:pStyle w:val="Akapitzlist"/>
              <w:numPr>
                <w:ilvl w:val="0"/>
                <w:numId w:val="45"/>
              </w:numPr>
              <w:ind w:left="320" w:hanging="334"/>
              <w:rPr>
                <w:rFonts w:cstheme="minorHAnsi"/>
                <w:bCs/>
                <w:color w:val="000000"/>
              </w:rPr>
            </w:pPr>
            <w:r w:rsidRPr="009265CF">
              <w:rPr>
                <w:rFonts w:cstheme="minorHAnsi"/>
                <w:bCs/>
                <w:color w:val="000000"/>
              </w:rPr>
              <w:t>rzecznik patentowy nr 3040</w:t>
            </w:r>
          </w:p>
          <w:p w14:paraId="7FD5FDB9" w14:textId="77777777" w:rsidR="002E484E" w:rsidRPr="009265CF" w:rsidRDefault="002E484E" w:rsidP="00EF52F4">
            <w:pPr>
              <w:pStyle w:val="Akapitzlist"/>
              <w:numPr>
                <w:ilvl w:val="0"/>
                <w:numId w:val="45"/>
              </w:numPr>
              <w:ind w:left="320" w:hanging="334"/>
              <w:rPr>
                <w:rFonts w:cstheme="minorHAnsi"/>
                <w:bCs/>
                <w:color w:val="000000"/>
              </w:rPr>
            </w:pPr>
            <w:r w:rsidRPr="009265CF">
              <w:rPr>
                <w:rFonts w:cstheme="minorHAnsi"/>
                <w:bCs/>
                <w:color w:val="000000"/>
              </w:rPr>
              <w:t>radca prawny nr 364/96</w:t>
            </w:r>
          </w:p>
          <w:p w14:paraId="4F73B0CC" w14:textId="77777777" w:rsidR="002E484E" w:rsidRPr="009265CF" w:rsidRDefault="002E484E" w:rsidP="00EF52F4">
            <w:pPr>
              <w:pStyle w:val="Akapitzlist"/>
              <w:numPr>
                <w:ilvl w:val="0"/>
                <w:numId w:val="45"/>
              </w:numPr>
              <w:ind w:left="320" w:hanging="334"/>
              <w:rPr>
                <w:rFonts w:cstheme="minorHAnsi"/>
                <w:bCs/>
                <w:color w:val="000000"/>
              </w:rPr>
            </w:pPr>
            <w:r w:rsidRPr="009265CF">
              <w:rPr>
                <w:rFonts w:cstheme="minorHAnsi"/>
                <w:bCs/>
                <w:color w:val="000000"/>
              </w:rPr>
              <w:t>profesjonalny pełnomocnik przed EUIPO (</w:t>
            </w:r>
            <w:r w:rsidRPr="007A6BB7">
              <w:rPr>
                <w:rFonts w:cstheme="minorHAnsi"/>
                <w:bCs/>
                <w:i/>
                <w:color w:val="000000"/>
              </w:rPr>
              <w:t>European Union Intellectual Property Office</w:t>
            </w:r>
            <w:r w:rsidRPr="009265CF">
              <w:rPr>
                <w:rFonts w:cstheme="minorHAnsi"/>
                <w:bCs/>
                <w:color w:val="000000"/>
              </w:rPr>
              <w:t xml:space="preserve"> </w:t>
            </w:r>
            <w:r>
              <w:rPr>
                <w:rFonts w:cstheme="minorHAnsi"/>
                <w:bCs/>
                <w:color w:val="000000"/>
              </w:rPr>
              <w:t>-</w:t>
            </w:r>
            <w:r w:rsidRPr="009265CF">
              <w:rPr>
                <w:rFonts w:cstheme="minorHAnsi"/>
                <w:bCs/>
                <w:color w:val="000000"/>
              </w:rPr>
              <w:t xml:space="preserve"> </w:t>
            </w:r>
            <w:r w:rsidRPr="009265CF">
              <w:rPr>
                <w:rFonts w:eastAsia="Times New Roman" w:cstheme="minorHAnsi"/>
                <w:bCs/>
                <w:color w:val="000000"/>
              </w:rPr>
              <w:t>Urz</w:t>
            </w:r>
            <w:r>
              <w:rPr>
                <w:rFonts w:eastAsia="Times New Roman" w:cstheme="minorHAnsi"/>
                <w:bCs/>
                <w:color w:val="000000"/>
              </w:rPr>
              <w:t>ę</w:t>
            </w:r>
            <w:r w:rsidRPr="009265CF">
              <w:rPr>
                <w:rFonts w:eastAsia="Times New Roman" w:cstheme="minorHAnsi"/>
                <w:bCs/>
                <w:color w:val="000000"/>
              </w:rPr>
              <w:t>d</w:t>
            </w:r>
            <w:r>
              <w:rPr>
                <w:rFonts w:eastAsia="Times New Roman" w:cstheme="minorHAnsi"/>
                <w:bCs/>
                <w:color w:val="000000"/>
              </w:rPr>
              <w:t>em</w:t>
            </w:r>
            <w:r w:rsidRPr="009265CF">
              <w:rPr>
                <w:rFonts w:cstheme="minorHAnsi"/>
                <w:bCs/>
                <w:color w:val="000000"/>
              </w:rPr>
              <w:t xml:space="preserve"> Unii Europejskiej ds. Własności Intelektualnej), nr 27595</w:t>
            </w:r>
          </w:p>
          <w:p w14:paraId="24524F10" w14:textId="77777777" w:rsidR="002E484E" w:rsidRPr="009265CF" w:rsidRDefault="002E484E" w:rsidP="00EF52F4">
            <w:pPr>
              <w:pStyle w:val="Akapitzlist"/>
              <w:numPr>
                <w:ilvl w:val="0"/>
                <w:numId w:val="45"/>
              </w:numPr>
              <w:ind w:left="320" w:hanging="334"/>
              <w:rPr>
                <w:rFonts w:cstheme="minorHAnsi"/>
                <w:bCs/>
                <w:color w:val="000000"/>
              </w:rPr>
            </w:pPr>
            <w:r w:rsidRPr="009265CF">
              <w:rPr>
                <w:rFonts w:cstheme="minorHAnsi"/>
                <w:bCs/>
                <w:color w:val="000000"/>
              </w:rPr>
              <w:t>Europejski Rzecznik Patentowy nr 137760</w:t>
            </w:r>
          </w:p>
          <w:p w14:paraId="04AFE132" w14:textId="77777777" w:rsidR="002E484E" w:rsidRPr="009265CF" w:rsidRDefault="002E484E" w:rsidP="00EF52F4">
            <w:pPr>
              <w:pStyle w:val="Akapitzlist"/>
              <w:numPr>
                <w:ilvl w:val="0"/>
                <w:numId w:val="45"/>
              </w:numPr>
              <w:ind w:left="320" w:hanging="334"/>
              <w:rPr>
                <w:rFonts w:cstheme="minorHAnsi"/>
                <w:bCs/>
                <w:color w:val="000000"/>
              </w:rPr>
            </w:pPr>
            <w:r w:rsidRPr="009265CF">
              <w:rPr>
                <w:rFonts w:cstheme="minorHAnsi"/>
                <w:bCs/>
                <w:color w:val="000000"/>
              </w:rPr>
              <w:t>pełnomocnik uprawniony do działania przed DPMA (</w:t>
            </w:r>
            <w:proofErr w:type="spellStart"/>
            <w:r w:rsidRPr="007A6BB7">
              <w:rPr>
                <w:rFonts w:cstheme="minorHAnsi"/>
                <w:bCs/>
                <w:i/>
                <w:color w:val="000000"/>
              </w:rPr>
              <w:t>Deutsches</w:t>
            </w:r>
            <w:proofErr w:type="spellEnd"/>
            <w:r w:rsidRPr="007A6BB7">
              <w:rPr>
                <w:rFonts w:cstheme="minorHAnsi"/>
                <w:bCs/>
                <w:i/>
                <w:color w:val="000000"/>
              </w:rPr>
              <w:t xml:space="preserve"> Patent- </w:t>
            </w:r>
            <w:proofErr w:type="spellStart"/>
            <w:r w:rsidRPr="007A6BB7">
              <w:rPr>
                <w:rFonts w:cstheme="minorHAnsi"/>
                <w:bCs/>
                <w:i/>
                <w:color w:val="000000"/>
              </w:rPr>
              <w:t>und</w:t>
            </w:r>
            <w:proofErr w:type="spellEnd"/>
            <w:r w:rsidRPr="007A6BB7">
              <w:rPr>
                <w:rFonts w:cstheme="minorHAnsi"/>
                <w:bCs/>
                <w:i/>
                <w:color w:val="000000"/>
              </w:rPr>
              <w:t xml:space="preserve"> </w:t>
            </w:r>
            <w:proofErr w:type="spellStart"/>
            <w:r w:rsidRPr="007A6BB7">
              <w:rPr>
                <w:rFonts w:cstheme="minorHAnsi"/>
                <w:bCs/>
                <w:i/>
                <w:color w:val="000000"/>
              </w:rPr>
              <w:t>Markenamt</w:t>
            </w:r>
            <w:proofErr w:type="spellEnd"/>
            <w:r w:rsidRPr="007A6BB7">
              <w:rPr>
                <w:rFonts w:cstheme="minorHAnsi"/>
                <w:bCs/>
                <w:i/>
                <w:color w:val="000000"/>
              </w:rPr>
              <w:t xml:space="preserve"> </w:t>
            </w:r>
            <w:r>
              <w:rPr>
                <w:rFonts w:cstheme="minorHAnsi"/>
                <w:bCs/>
                <w:i/>
                <w:color w:val="000000"/>
              </w:rPr>
              <w:t>-</w:t>
            </w:r>
            <w:r w:rsidRPr="009265CF">
              <w:rPr>
                <w:rFonts w:cstheme="minorHAnsi"/>
                <w:bCs/>
                <w:color w:val="000000"/>
              </w:rPr>
              <w:t xml:space="preserve"> </w:t>
            </w:r>
            <w:r w:rsidRPr="009265CF">
              <w:rPr>
                <w:rFonts w:eastAsia="Times New Roman" w:cstheme="minorHAnsi"/>
                <w:bCs/>
                <w:color w:val="000000"/>
              </w:rPr>
              <w:t>Niemiecki</w:t>
            </w:r>
            <w:r>
              <w:rPr>
                <w:rFonts w:eastAsia="Times New Roman" w:cstheme="minorHAnsi"/>
                <w:bCs/>
                <w:color w:val="000000"/>
              </w:rPr>
              <w:t>m</w:t>
            </w:r>
            <w:r w:rsidRPr="009265CF">
              <w:rPr>
                <w:rFonts w:eastAsia="Times New Roman" w:cstheme="minorHAnsi"/>
                <w:bCs/>
                <w:color w:val="000000"/>
              </w:rPr>
              <w:t xml:space="preserve"> Urz</w:t>
            </w:r>
            <w:r>
              <w:rPr>
                <w:rFonts w:eastAsia="Times New Roman" w:cstheme="minorHAnsi"/>
                <w:bCs/>
                <w:color w:val="000000"/>
              </w:rPr>
              <w:t>ę</w:t>
            </w:r>
            <w:r w:rsidRPr="009265CF">
              <w:rPr>
                <w:rFonts w:eastAsia="Times New Roman" w:cstheme="minorHAnsi"/>
                <w:bCs/>
                <w:color w:val="000000"/>
              </w:rPr>
              <w:t>d</w:t>
            </w:r>
            <w:r>
              <w:rPr>
                <w:rFonts w:eastAsia="Times New Roman" w:cstheme="minorHAnsi"/>
                <w:bCs/>
                <w:color w:val="000000"/>
              </w:rPr>
              <w:t>em</w:t>
            </w:r>
            <w:r w:rsidRPr="009265CF">
              <w:rPr>
                <w:rFonts w:eastAsia="Times New Roman" w:cstheme="minorHAnsi"/>
                <w:bCs/>
                <w:color w:val="000000"/>
              </w:rPr>
              <w:t xml:space="preserve"> ds. Patentów </w:t>
            </w:r>
            <w:r w:rsidRPr="009265CF">
              <w:rPr>
                <w:rFonts w:cstheme="minorHAnsi"/>
                <w:bCs/>
                <w:color w:val="000000"/>
              </w:rPr>
              <w:t>i Znaków Towarowych) nr 38701324</w:t>
            </w:r>
          </w:p>
          <w:p w14:paraId="6A5F0078" w14:textId="77777777" w:rsidR="002E484E" w:rsidRDefault="002E484E" w:rsidP="00EF52F4">
            <w:pPr>
              <w:pStyle w:val="Akapitzlist"/>
              <w:numPr>
                <w:ilvl w:val="0"/>
                <w:numId w:val="45"/>
              </w:numPr>
              <w:ind w:left="324" w:hanging="335"/>
              <w:rPr>
                <w:rFonts w:cstheme="minorHAnsi"/>
                <w:bCs/>
                <w:color w:val="000000"/>
              </w:rPr>
            </w:pPr>
            <w:r w:rsidRPr="009265CF">
              <w:rPr>
                <w:rFonts w:cstheme="minorHAnsi"/>
                <w:bCs/>
                <w:color w:val="000000"/>
              </w:rPr>
              <w:t>pełnomocnik przed UPC (</w:t>
            </w:r>
            <w:proofErr w:type="spellStart"/>
            <w:r w:rsidRPr="007A6BB7">
              <w:rPr>
                <w:rFonts w:cstheme="minorHAnsi"/>
                <w:bCs/>
                <w:i/>
                <w:color w:val="000000"/>
              </w:rPr>
              <w:t>Unitary</w:t>
            </w:r>
            <w:proofErr w:type="spellEnd"/>
            <w:r w:rsidRPr="007A6BB7">
              <w:rPr>
                <w:rFonts w:cstheme="minorHAnsi"/>
                <w:bCs/>
                <w:i/>
                <w:color w:val="000000"/>
              </w:rPr>
              <w:t xml:space="preserve"> Patent Court</w:t>
            </w:r>
            <w:r w:rsidRPr="009265CF">
              <w:rPr>
                <w:rFonts w:cstheme="minorHAnsi"/>
                <w:bCs/>
                <w:color w:val="000000"/>
              </w:rPr>
              <w:t xml:space="preserve"> </w:t>
            </w:r>
            <w:r>
              <w:rPr>
                <w:rFonts w:cstheme="minorHAnsi"/>
                <w:bCs/>
                <w:color w:val="000000"/>
              </w:rPr>
              <w:t>-</w:t>
            </w:r>
            <w:r w:rsidRPr="009265CF">
              <w:rPr>
                <w:rFonts w:cstheme="minorHAnsi"/>
                <w:bCs/>
                <w:color w:val="000000"/>
              </w:rPr>
              <w:t xml:space="preserve"> Jednolitym Sądem Patentowym) AUTH_525119/2023</w:t>
            </w:r>
          </w:p>
          <w:p w14:paraId="59A1FC78" w14:textId="77777777" w:rsidR="002E484E" w:rsidRPr="00097102" w:rsidRDefault="002E484E" w:rsidP="00EF52F4">
            <w:pPr>
              <w:pStyle w:val="Akapitzlist"/>
              <w:numPr>
                <w:ilvl w:val="0"/>
                <w:numId w:val="45"/>
              </w:numPr>
              <w:ind w:left="324" w:hanging="335"/>
              <w:rPr>
                <w:rFonts w:cstheme="minorHAnsi"/>
                <w:bCs/>
                <w:color w:val="000000"/>
              </w:rPr>
            </w:pPr>
            <w:r w:rsidRPr="00097102">
              <w:rPr>
                <w:rFonts w:cstheme="minorHAnsi"/>
                <w:bCs/>
                <w:color w:val="000000"/>
              </w:rPr>
              <w:t>Prezes Polskiej Izby Rzeczników Patentowych w latach 2009-2013 i 2013-2017</w:t>
            </w:r>
          </w:p>
          <w:p w14:paraId="5E502723" w14:textId="77777777" w:rsidR="002E484E" w:rsidRDefault="002E484E" w:rsidP="007618F7">
            <w:pPr>
              <w:pStyle w:val="Akapitzlist"/>
              <w:numPr>
                <w:ilvl w:val="0"/>
                <w:numId w:val="45"/>
              </w:numPr>
              <w:ind w:left="324" w:hanging="335"/>
              <w:rPr>
                <w:rFonts w:cstheme="minorHAnsi"/>
                <w:bCs/>
                <w:color w:val="000000"/>
              </w:rPr>
            </w:pPr>
            <w:r w:rsidRPr="00097102">
              <w:rPr>
                <w:rFonts w:cstheme="minorHAnsi"/>
                <w:bCs/>
                <w:color w:val="000000"/>
              </w:rPr>
              <w:t>Prezes StoWI od 2023 r.</w:t>
            </w:r>
          </w:p>
          <w:p w14:paraId="06969511" w14:textId="12441C9D" w:rsidR="007618F7" w:rsidRPr="007618F7" w:rsidRDefault="007618F7" w:rsidP="007618F7">
            <w:pPr>
              <w:rPr>
                <w:rFonts w:eastAsia="Calibri" w:cstheme="minorHAnsi"/>
                <w:bCs/>
                <w:color w:val="000000"/>
              </w:rPr>
            </w:pPr>
          </w:p>
        </w:tc>
      </w:tr>
    </w:tbl>
    <w:p w14:paraId="72BBE6B0" w14:textId="478563CE" w:rsidR="00E670F5" w:rsidRPr="000420EF" w:rsidRDefault="000420EF" w:rsidP="000420EF">
      <w:pPr>
        <w:spacing w:after="0"/>
        <w:jc w:val="center"/>
        <w:rPr>
          <w:b/>
          <w:bCs/>
          <w:sz w:val="24"/>
          <w:szCs w:val="24"/>
        </w:rPr>
      </w:pPr>
      <w:r w:rsidRPr="000420EF">
        <w:rPr>
          <w:b/>
          <w:bCs/>
          <w:sz w:val="24"/>
          <w:szCs w:val="24"/>
        </w:rPr>
        <w:t>*</w:t>
      </w:r>
      <w:r>
        <w:rPr>
          <w:b/>
          <w:bCs/>
          <w:sz w:val="24"/>
          <w:szCs w:val="24"/>
        </w:rPr>
        <w:t xml:space="preserve"> </w:t>
      </w:r>
      <w:r w:rsidRPr="000420EF">
        <w:rPr>
          <w:b/>
          <w:bCs/>
          <w:sz w:val="24"/>
          <w:szCs w:val="24"/>
        </w:rPr>
        <w:t>*</w:t>
      </w:r>
      <w:r>
        <w:rPr>
          <w:b/>
          <w:bCs/>
          <w:sz w:val="24"/>
          <w:szCs w:val="24"/>
        </w:rPr>
        <w:t xml:space="preserve"> </w:t>
      </w:r>
      <w:r w:rsidRPr="000420EF">
        <w:rPr>
          <w:b/>
          <w:bCs/>
          <w:sz w:val="24"/>
          <w:szCs w:val="24"/>
        </w:rPr>
        <w:t>*</w:t>
      </w:r>
    </w:p>
    <w:p w14:paraId="2BA81E73" w14:textId="77777777" w:rsidR="00173786" w:rsidRDefault="00173786" w:rsidP="00173786">
      <w:pPr>
        <w:jc w:val="right"/>
        <w:rPr>
          <w:rFonts w:cstheme="minorHAnsi"/>
          <w:bCs/>
          <w:sz w:val="24"/>
          <w:szCs w:val="24"/>
        </w:rPr>
      </w:pPr>
      <w:bookmarkStart w:id="64" w:name="_Hlk169208542"/>
      <w:r>
        <w:rPr>
          <w:rFonts w:cstheme="minorHAnsi"/>
          <w:bCs/>
          <w:sz w:val="24"/>
          <w:szCs w:val="24"/>
        </w:rPr>
        <w:t>Warszawa, Poznań, maj 2023 r.</w:t>
      </w:r>
    </w:p>
    <w:p w14:paraId="5CA32530" w14:textId="1F83C2E1" w:rsidR="00173786" w:rsidRPr="00173786" w:rsidRDefault="00173786" w:rsidP="00173786">
      <w:pPr>
        <w:spacing w:after="0" w:line="240" w:lineRule="auto"/>
        <w:rPr>
          <w:b/>
          <w:bCs/>
          <w:sz w:val="24"/>
          <w:szCs w:val="24"/>
        </w:rPr>
      </w:pPr>
      <w:r w:rsidRPr="00173786">
        <w:rPr>
          <w:b/>
          <w:bCs/>
          <w:sz w:val="24"/>
          <w:szCs w:val="24"/>
        </w:rPr>
        <w:t>Uwag</w:t>
      </w:r>
      <w:r w:rsidR="00A05F2A">
        <w:rPr>
          <w:b/>
          <w:bCs/>
          <w:sz w:val="24"/>
          <w:szCs w:val="24"/>
        </w:rPr>
        <w:t>i</w:t>
      </w:r>
      <w:r w:rsidRPr="00173786">
        <w:rPr>
          <w:b/>
          <w:bCs/>
          <w:sz w:val="24"/>
          <w:szCs w:val="24"/>
        </w:rPr>
        <w:t xml:space="preserve"> Redakcji: </w:t>
      </w:r>
    </w:p>
    <w:p w14:paraId="79D68F88" w14:textId="77777777" w:rsidR="00173786" w:rsidRPr="00CF68CE" w:rsidRDefault="00173786" w:rsidP="00173786">
      <w:pPr>
        <w:spacing w:after="0" w:line="240" w:lineRule="auto"/>
        <w:rPr>
          <w:sz w:val="24"/>
          <w:szCs w:val="24"/>
        </w:rPr>
      </w:pPr>
      <w:r w:rsidRPr="00CF68CE">
        <w:rPr>
          <w:sz w:val="24"/>
          <w:szCs w:val="24"/>
        </w:rPr>
        <w:t>Z pewnością o</w:t>
      </w:r>
      <w:r>
        <w:rPr>
          <w:sz w:val="24"/>
          <w:szCs w:val="24"/>
        </w:rPr>
        <w:t>soby decydujące obecnie o trybie znoszenia terminów rozpraw nie musiały nigdy jechać z Wrocławia, Szczecina lub Poznania do Urzędu Patentowego RP, by dowiedzieć się, że: „</w:t>
      </w:r>
      <w:r w:rsidRPr="00CF68CE">
        <w:rPr>
          <w:i/>
          <w:iCs/>
          <w:sz w:val="24"/>
          <w:szCs w:val="24"/>
        </w:rPr>
        <w:t>Rozprawa została odroczona</w:t>
      </w:r>
      <w:r>
        <w:rPr>
          <w:sz w:val="24"/>
          <w:szCs w:val="24"/>
        </w:rPr>
        <w:t>.” A szkoda, bo podróże kształcą.</w:t>
      </w:r>
    </w:p>
    <w:bookmarkEnd w:id="64"/>
    <w:p w14:paraId="7A99B90B" w14:textId="22A67377" w:rsidR="003F02D6" w:rsidRDefault="003F02D6" w:rsidP="002E484E">
      <w:pPr>
        <w:spacing w:after="0"/>
        <w:rPr>
          <w:rFonts w:cstheme="minorHAnsi"/>
          <w:bCs/>
          <w:sz w:val="24"/>
          <w:szCs w:val="24"/>
        </w:rPr>
      </w:pPr>
      <w:r>
        <w:rPr>
          <w:rFonts w:cstheme="minorHAnsi"/>
          <w:bCs/>
          <w:sz w:val="24"/>
          <w:szCs w:val="24"/>
        </w:rPr>
        <w:t>Sposób znoszenia terminów rozpraw prowadzonych przez Urząd Patentowy RP i nieład akceptowany w tej procedurze nie jest niestety jedynym pro</w:t>
      </w:r>
      <w:r w:rsidR="00320EA0">
        <w:rPr>
          <w:rFonts w:cstheme="minorHAnsi"/>
          <w:bCs/>
          <w:sz w:val="24"/>
          <w:szCs w:val="24"/>
        </w:rPr>
        <w:t>b</w:t>
      </w:r>
      <w:r>
        <w:rPr>
          <w:rFonts w:cstheme="minorHAnsi"/>
          <w:bCs/>
          <w:sz w:val="24"/>
          <w:szCs w:val="24"/>
        </w:rPr>
        <w:t>lemem, który n</w:t>
      </w:r>
      <w:r w:rsidR="00320EA0">
        <w:rPr>
          <w:rFonts w:cstheme="minorHAnsi"/>
          <w:bCs/>
          <w:sz w:val="24"/>
          <w:szCs w:val="24"/>
        </w:rPr>
        <w:t>a</w:t>
      </w:r>
      <w:r>
        <w:rPr>
          <w:rFonts w:cstheme="minorHAnsi"/>
          <w:bCs/>
          <w:sz w:val="24"/>
          <w:szCs w:val="24"/>
        </w:rPr>
        <w:t>leży rozwiązać</w:t>
      </w:r>
      <w:r w:rsidR="00385188">
        <w:rPr>
          <w:rFonts w:cstheme="minorHAnsi"/>
          <w:bCs/>
          <w:sz w:val="24"/>
          <w:szCs w:val="24"/>
        </w:rPr>
        <w:t>.</w:t>
      </w:r>
    </w:p>
    <w:p w14:paraId="4A2CCCD1" w14:textId="7CB07F0C" w:rsidR="002E484E" w:rsidRDefault="00A05F2A" w:rsidP="002E484E">
      <w:pPr>
        <w:spacing w:after="0"/>
      </w:pPr>
      <w:r>
        <w:rPr>
          <w:rFonts w:cstheme="minorHAnsi"/>
          <w:bCs/>
          <w:sz w:val="24"/>
          <w:szCs w:val="24"/>
        </w:rPr>
        <w:t>W</w:t>
      </w:r>
      <w:r w:rsidR="002E484E">
        <w:rPr>
          <w:rFonts w:cstheme="minorHAnsi"/>
          <w:bCs/>
          <w:sz w:val="24"/>
          <w:szCs w:val="24"/>
        </w:rPr>
        <w:t xml:space="preserve"> wyniku interwencji użytkowników systemu </w:t>
      </w:r>
      <w:r w:rsidR="00320EA0">
        <w:rPr>
          <w:rFonts w:cstheme="minorHAnsi"/>
          <w:bCs/>
          <w:sz w:val="24"/>
          <w:szCs w:val="24"/>
        </w:rPr>
        <w:t xml:space="preserve">- </w:t>
      </w:r>
      <w:r w:rsidR="002E484E">
        <w:rPr>
          <w:rFonts w:cstheme="minorHAnsi"/>
          <w:bCs/>
          <w:sz w:val="24"/>
          <w:szCs w:val="24"/>
        </w:rPr>
        <w:t xml:space="preserve">Urząd Patentowy RP podjął </w:t>
      </w:r>
      <w:r>
        <w:rPr>
          <w:rFonts w:cstheme="minorHAnsi"/>
          <w:bCs/>
          <w:sz w:val="24"/>
          <w:szCs w:val="24"/>
        </w:rPr>
        <w:t xml:space="preserve">na przykład </w:t>
      </w:r>
      <w:r w:rsidR="002E484E">
        <w:rPr>
          <w:rFonts w:cstheme="minorHAnsi"/>
          <w:bCs/>
          <w:sz w:val="24"/>
          <w:szCs w:val="24"/>
        </w:rPr>
        <w:t xml:space="preserve">pewne działania, które można opisać jednym zdaniem zaprezentowanym na stronie </w:t>
      </w:r>
      <w:proofErr w:type="gramStart"/>
      <w:r w:rsidR="002E484E">
        <w:rPr>
          <w:rFonts w:cstheme="minorHAnsi"/>
          <w:bCs/>
          <w:sz w:val="24"/>
          <w:szCs w:val="24"/>
        </w:rPr>
        <w:t>StoWI:  „</w:t>
      </w:r>
      <w:proofErr w:type="gramEnd"/>
      <w:r w:rsidR="002E484E" w:rsidRPr="0055477F">
        <w:rPr>
          <w:rFonts w:cstheme="minorHAnsi"/>
          <w:b/>
          <w:i/>
          <w:iCs/>
          <w:sz w:val="24"/>
          <w:szCs w:val="24"/>
        </w:rPr>
        <w:t>…</w:t>
      </w:r>
      <w:r w:rsidR="00320EA0">
        <w:rPr>
          <w:rFonts w:cstheme="minorHAnsi"/>
          <w:b/>
          <w:i/>
          <w:iCs/>
          <w:sz w:val="24"/>
          <w:szCs w:val="24"/>
        </w:rPr>
        <w:t xml:space="preserve">ale </w:t>
      </w:r>
      <w:r w:rsidR="002E484E">
        <w:rPr>
          <w:rFonts w:cstheme="minorHAnsi"/>
          <w:b/>
          <w:i/>
          <w:iCs/>
          <w:sz w:val="24"/>
          <w:szCs w:val="24"/>
        </w:rPr>
        <w:t xml:space="preserve"> </w:t>
      </w:r>
      <w:r w:rsidR="002E484E" w:rsidRPr="0055477F">
        <w:rPr>
          <w:rFonts w:cstheme="minorHAnsi"/>
          <w:b/>
          <w:i/>
          <w:iCs/>
          <w:sz w:val="24"/>
          <w:szCs w:val="24"/>
        </w:rPr>
        <w:t>przeciwnik procesowy przedsiębiorcy decyduje o trybie rozprawy.”</w:t>
      </w:r>
      <w:r w:rsidR="002E484E" w:rsidRPr="002E484E">
        <w:rPr>
          <w:rFonts w:cstheme="minorHAnsi"/>
          <w:bCs/>
          <w:sz w:val="24"/>
          <w:szCs w:val="24"/>
        </w:rPr>
        <w:t>:</w:t>
      </w:r>
      <w:r w:rsidR="002E484E">
        <w:rPr>
          <w:rFonts w:cstheme="minorHAnsi"/>
          <w:bCs/>
          <w:sz w:val="24"/>
          <w:szCs w:val="24"/>
        </w:rPr>
        <w:t xml:space="preserve"> </w:t>
      </w:r>
    </w:p>
    <w:p w14:paraId="41950F88" w14:textId="7331B33C" w:rsidR="002E484E" w:rsidRPr="00233C06" w:rsidRDefault="00B82931" w:rsidP="002E484E">
      <w:pPr>
        <w:spacing w:after="0"/>
        <w:rPr>
          <w:rFonts w:cstheme="minorHAnsi"/>
          <w:bCs/>
          <w:color w:val="2E74B5" w:themeColor="accent5" w:themeShade="BF"/>
          <w:sz w:val="24"/>
          <w:szCs w:val="24"/>
        </w:rPr>
      </w:pPr>
      <w:hyperlink r:id="rId86" w:history="1">
        <w:r w:rsidR="002E484E" w:rsidRPr="00233C06">
          <w:rPr>
            <w:rStyle w:val="Hipercze"/>
            <w:color w:val="2E74B5" w:themeColor="accent5" w:themeShade="BF"/>
          </w:rPr>
          <w:t xml:space="preserve"> ale przeciwnik procesowy przedsiębiorcy decyduje o trybie rozprawy. – StoWI</w:t>
        </w:r>
      </w:hyperlink>
      <w:r w:rsidR="002E484E" w:rsidRPr="00233C06">
        <w:rPr>
          <w:rFonts w:cstheme="minorHAnsi"/>
          <w:bCs/>
          <w:color w:val="2E74B5" w:themeColor="accent5" w:themeShade="BF"/>
          <w:sz w:val="24"/>
          <w:szCs w:val="24"/>
        </w:rPr>
        <w:t xml:space="preserve"> </w:t>
      </w:r>
    </w:p>
    <w:p w14:paraId="0E81ABDA" w14:textId="560E2C07" w:rsidR="002E484E" w:rsidRDefault="002E484E" w:rsidP="002E484E">
      <w:pPr>
        <w:spacing w:after="0"/>
        <w:rPr>
          <w:rFonts w:cstheme="minorHAnsi"/>
          <w:bCs/>
          <w:sz w:val="24"/>
          <w:szCs w:val="24"/>
        </w:rPr>
      </w:pPr>
      <w:r>
        <w:rPr>
          <w:rFonts w:cstheme="minorHAnsi"/>
          <w:bCs/>
          <w:sz w:val="24"/>
          <w:szCs w:val="24"/>
        </w:rPr>
        <w:t>Jak wynika z przytoczonych niżej przepisów prawnych - Urząd Patentowy RP (który znajduje się w Warszawie) zbudował instytucję wygodną dla warszawskich kancelarii prawnych i patentowych</w:t>
      </w:r>
      <w:r w:rsidR="00A05F2A">
        <w:rPr>
          <w:rFonts w:cstheme="minorHAnsi"/>
          <w:bCs/>
          <w:sz w:val="24"/>
          <w:szCs w:val="24"/>
        </w:rPr>
        <w:t>, a</w:t>
      </w:r>
      <w:r>
        <w:rPr>
          <w:rFonts w:cstheme="minorHAnsi"/>
          <w:bCs/>
          <w:sz w:val="24"/>
          <w:szCs w:val="24"/>
        </w:rPr>
        <w:t xml:space="preserve"> w istocie martwą: </w:t>
      </w:r>
    </w:p>
    <w:p w14:paraId="1862F413" w14:textId="66F6F1FC" w:rsidR="006A6D76" w:rsidRPr="00C826DB" w:rsidRDefault="0055477F" w:rsidP="006A6D76">
      <w:pPr>
        <w:spacing w:after="0" w:line="240" w:lineRule="auto"/>
        <w:jc w:val="center"/>
        <w:rPr>
          <w:rFonts w:ascii="Noto Serif" w:hAnsi="Noto Serif" w:cs="Noto Serif"/>
        </w:rPr>
      </w:pPr>
      <w:r w:rsidRPr="00C826DB">
        <w:rPr>
          <w:rFonts w:ascii="Noto Serif" w:hAnsi="Noto Serif" w:cs="Noto Serif"/>
        </w:rPr>
        <w:t>PRAWO WŁASNOŚCI PRZEMYSŁOWEJ</w:t>
      </w:r>
    </w:p>
    <w:p w14:paraId="4AC7E85D" w14:textId="722A0509" w:rsidR="006A6D76" w:rsidRPr="00C826DB" w:rsidRDefault="0055477F" w:rsidP="006A6D76">
      <w:pPr>
        <w:spacing w:after="0" w:line="240" w:lineRule="auto"/>
        <w:jc w:val="center"/>
        <w:rPr>
          <w:rFonts w:ascii="Noto Serif" w:hAnsi="Noto Serif" w:cs="Noto Serif"/>
          <w:color w:val="FF0000"/>
        </w:rPr>
      </w:pPr>
      <w:r w:rsidRPr="00C826DB">
        <w:rPr>
          <w:rFonts w:ascii="Noto Serif" w:hAnsi="Noto Serif" w:cs="Noto Serif"/>
        </w:rPr>
        <w:t xml:space="preserve">z dnia 30 czerwca 2000 r. </w:t>
      </w:r>
      <w:r w:rsidRPr="00C826DB">
        <w:rPr>
          <w:rFonts w:ascii="Noto Serif" w:hAnsi="Noto Serif" w:cs="Noto Serif"/>
          <w:color w:val="FF0000"/>
        </w:rPr>
        <w:t>(Dz.U. z 2021 r. poz. 324 z późn. zm.)</w:t>
      </w:r>
    </w:p>
    <w:p w14:paraId="31FF2315" w14:textId="77777777" w:rsidR="00950937" w:rsidRPr="00C826DB" w:rsidRDefault="00950937" w:rsidP="00B23714">
      <w:pPr>
        <w:spacing w:after="0" w:line="240" w:lineRule="auto"/>
        <w:ind w:left="567"/>
        <w:jc w:val="center"/>
        <w:rPr>
          <w:rFonts w:ascii="Noto Serif" w:hAnsi="Noto Serif" w:cs="Noto Serif"/>
          <w:color w:val="FF0000"/>
          <w:sz w:val="12"/>
          <w:szCs w:val="12"/>
        </w:rPr>
      </w:pPr>
    </w:p>
    <w:p w14:paraId="11823DFF" w14:textId="77777777" w:rsidR="006A6D76" w:rsidRPr="00C826DB" w:rsidRDefault="0055477F" w:rsidP="00B23714">
      <w:pPr>
        <w:spacing w:after="0" w:line="240" w:lineRule="auto"/>
        <w:ind w:left="567"/>
        <w:jc w:val="both"/>
        <w:rPr>
          <w:rFonts w:ascii="Noto Serif" w:hAnsi="Noto Serif" w:cs="Noto Serif"/>
          <w:sz w:val="20"/>
          <w:szCs w:val="20"/>
        </w:rPr>
      </w:pPr>
      <w:r w:rsidRPr="00C826DB">
        <w:rPr>
          <w:rFonts w:ascii="Noto Serif" w:hAnsi="Noto Serif" w:cs="Noto Serif"/>
          <w:b/>
          <w:bCs/>
          <w:sz w:val="20"/>
          <w:szCs w:val="20"/>
        </w:rPr>
        <w:t>Art. 255</w:t>
      </w:r>
      <w:r w:rsidRPr="00C826DB">
        <w:rPr>
          <w:rFonts w:ascii="Noto Serif" w:hAnsi="Noto Serif" w:cs="Noto Serif"/>
          <w:b/>
          <w:bCs/>
          <w:sz w:val="20"/>
          <w:szCs w:val="20"/>
          <w:vertAlign w:val="superscript"/>
        </w:rPr>
        <w:t>3</w:t>
      </w:r>
      <w:r w:rsidRPr="00C826DB">
        <w:rPr>
          <w:rFonts w:ascii="Noto Serif" w:hAnsi="Noto Serif" w:cs="Noto Serif"/>
          <w:b/>
          <w:bCs/>
          <w:sz w:val="20"/>
          <w:szCs w:val="20"/>
        </w:rPr>
        <w:t xml:space="preserve"> [Zawiadomienie o rozprawie]</w:t>
      </w:r>
      <w:r w:rsidRPr="00C826DB">
        <w:rPr>
          <w:rFonts w:ascii="Noto Serif" w:hAnsi="Noto Serif" w:cs="Noto Serif"/>
          <w:sz w:val="20"/>
          <w:szCs w:val="20"/>
        </w:rPr>
        <w:t xml:space="preserve"> </w:t>
      </w:r>
    </w:p>
    <w:p w14:paraId="77EFAAAA" w14:textId="77777777" w:rsidR="006A6D76" w:rsidRPr="00C826DB" w:rsidRDefault="0055477F" w:rsidP="00B23714">
      <w:pPr>
        <w:spacing w:after="0" w:line="240" w:lineRule="auto"/>
        <w:ind w:left="567"/>
        <w:jc w:val="both"/>
        <w:rPr>
          <w:rFonts w:ascii="Noto Serif" w:hAnsi="Noto Serif" w:cs="Noto Serif"/>
          <w:sz w:val="20"/>
          <w:szCs w:val="20"/>
        </w:rPr>
      </w:pPr>
      <w:r w:rsidRPr="00C826DB">
        <w:rPr>
          <w:rFonts w:ascii="Noto Serif" w:hAnsi="Noto Serif" w:cs="Noto Serif"/>
          <w:sz w:val="20"/>
          <w:szCs w:val="20"/>
        </w:rPr>
        <w:t xml:space="preserve">1. Po upływie terminu wyznaczonego stronie do udzielenia odpowiedzi na wniosek Urząd Patentowy wyznacza termin rozprawy, o czym zawiadamia strony lub ich pełnomocników, doręczając im jednocześnie odpis odpowiedzi na wniosek, jeżeli została udzielona. </w:t>
      </w:r>
    </w:p>
    <w:p w14:paraId="1FAD9FAB" w14:textId="77777777" w:rsidR="006A6D76" w:rsidRPr="00C826DB" w:rsidRDefault="0055477F" w:rsidP="00B23714">
      <w:pPr>
        <w:spacing w:after="0" w:line="240" w:lineRule="auto"/>
        <w:ind w:left="567"/>
        <w:jc w:val="both"/>
        <w:rPr>
          <w:rFonts w:ascii="Noto Serif" w:hAnsi="Noto Serif" w:cs="Noto Serif"/>
          <w:sz w:val="20"/>
          <w:szCs w:val="20"/>
        </w:rPr>
      </w:pPr>
      <w:r w:rsidRPr="00C826DB">
        <w:rPr>
          <w:rFonts w:ascii="Noto Serif" w:hAnsi="Noto Serif" w:cs="Noto Serif"/>
          <w:sz w:val="20"/>
          <w:szCs w:val="20"/>
        </w:rPr>
        <w:t xml:space="preserve">2. W sprawach wymienionych w art. 255 1ust. 6, w art. 255 </w:t>
      </w:r>
      <w:proofErr w:type="gramStart"/>
      <w:r w:rsidRPr="00C826DB">
        <w:rPr>
          <w:rFonts w:ascii="Noto Serif" w:hAnsi="Noto Serif" w:cs="Noto Serif"/>
          <w:sz w:val="20"/>
          <w:szCs w:val="20"/>
        </w:rPr>
        <w:t>4 ,</w:t>
      </w:r>
      <w:proofErr w:type="gramEnd"/>
      <w:r w:rsidRPr="00C826DB">
        <w:rPr>
          <w:rFonts w:ascii="Noto Serif" w:hAnsi="Noto Serif" w:cs="Noto Serif"/>
          <w:sz w:val="20"/>
          <w:szCs w:val="20"/>
        </w:rPr>
        <w:t xml:space="preserve"> w art. 255 5ust. 2, w art. 255 6ust. 3, a także w przypadku przywrócenia terminu określonego w art. 255 1ust. 6, Urząd Patentowy może orzekać na posiedzeniach niejawnych. </w:t>
      </w:r>
    </w:p>
    <w:p w14:paraId="59BA3EDC" w14:textId="77777777" w:rsidR="006A6D76" w:rsidRPr="00C826DB" w:rsidRDefault="0055477F" w:rsidP="00B23714">
      <w:pPr>
        <w:spacing w:after="0" w:line="240" w:lineRule="auto"/>
        <w:ind w:left="567"/>
        <w:jc w:val="both"/>
        <w:rPr>
          <w:rFonts w:ascii="Noto Serif" w:hAnsi="Noto Serif" w:cs="Noto Serif"/>
          <w:sz w:val="20"/>
          <w:szCs w:val="20"/>
        </w:rPr>
      </w:pPr>
      <w:r w:rsidRPr="00C826DB">
        <w:rPr>
          <w:rFonts w:ascii="Noto Serif" w:hAnsi="Noto Serif" w:cs="Noto Serif"/>
          <w:sz w:val="20"/>
          <w:szCs w:val="20"/>
        </w:rPr>
        <w:t xml:space="preserve">3. W zawiadomieniu o rozprawie określa się termin, miejsce i przedmiot rozprawy. </w:t>
      </w:r>
    </w:p>
    <w:p w14:paraId="011CD43E" w14:textId="77777777" w:rsidR="006A6D76" w:rsidRPr="00C826DB" w:rsidRDefault="0055477F" w:rsidP="00B23714">
      <w:pPr>
        <w:spacing w:after="0" w:line="240" w:lineRule="auto"/>
        <w:ind w:left="567"/>
        <w:jc w:val="both"/>
        <w:rPr>
          <w:rFonts w:ascii="Noto Serif" w:hAnsi="Noto Serif" w:cs="Noto Serif"/>
          <w:sz w:val="20"/>
          <w:szCs w:val="20"/>
        </w:rPr>
      </w:pPr>
      <w:r w:rsidRPr="00C826DB">
        <w:rPr>
          <w:rFonts w:ascii="Noto Serif" w:hAnsi="Noto Serif" w:cs="Noto Serif"/>
          <w:sz w:val="20"/>
          <w:szCs w:val="20"/>
        </w:rPr>
        <w:t xml:space="preserve">4. Zawiadomienie o rozprawie powinno być doręczone stronom nie później niż 7 dni przed wyznaczonym terminem. </w:t>
      </w:r>
    </w:p>
    <w:p w14:paraId="538FE6B9" w14:textId="77777777" w:rsidR="006A6D76" w:rsidRPr="00C826DB" w:rsidRDefault="0055477F" w:rsidP="00B23714">
      <w:pPr>
        <w:spacing w:after="0" w:line="240" w:lineRule="auto"/>
        <w:ind w:left="567"/>
        <w:jc w:val="both"/>
        <w:rPr>
          <w:rFonts w:ascii="Noto Serif" w:hAnsi="Noto Serif" w:cs="Noto Serif"/>
          <w:color w:val="2E74B5" w:themeColor="accent5" w:themeShade="BF"/>
          <w:sz w:val="20"/>
          <w:szCs w:val="20"/>
        </w:rPr>
      </w:pPr>
      <w:r w:rsidRPr="00C826DB">
        <w:rPr>
          <w:rFonts w:ascii="Noto Serif" w:hAnsi="Noto Serif" w:cs="Noto Serif"/>
          <w:color w:val="2E74B5" w:themeColor="accent5" w:themeShade="BF"/>
          <w:sz w:val="20"/>
          <w:szCs w:val="20"/>
        </w:rPr>
        <w:t>4</w:t>
      </w:r>
      <w:r w:rsidRPr="00C826DB">
        <w:rPr>
          <w:rFonts w:ascii="Noto Serif" w:hAnsi="Noto Serif" w:cs="Noto Serif"/>
          <w:color w:val="2E74B5" w:themeColor="accent5" w:themeShade="BF"/>
          <w:sz w:val="20"/>
          <w:szCs w:val="20"/>
          <w:vertAlign w:val="superscript"/>
        </w:rPr>
        <w:t>1</w:t>
      </w:r>
      <w:r w:rsidRPr="00C826DB">
        <w:rPr>
          <w:rFonts w:ascii="Noto Serif" w:hAnsi="Noto Serif" w:cs="Noto Serif"/>
          <w:color w:val="2E74B5" w:themeColor="accent5" w:themeShade="BF"/>
          <w:sz w:val="20"/>
          <w:szCs w:val="20"/>
        </w:rPr>
        <w:t xml:space="preserve">. Rozprawa, </w:t>
      </w:r>
      <w:r w:rsidRPr="00C826DB">
        <w:rPr>
          <w:rFonts w:ascii="Noto Serif" w:hAnsi="Noto Serif" w:cs="Noto Serif"/>
          <w:color w:val="FF0000"/>
          <w:sz w:val="20"/>
          <w:szCs w:val="20"/>
        </w:rPr>
        <w:t>za zgodą stron</w:t>
      </w:r>
      <w:r w:rsidRPr="00C826DB">
        <w:rPr>
          <w:rFonts w:ascii="Noto Serif" w:hAnsi="Noto Serif" w:cs="Noto Serif"/>
          <w:color w:val="4384ED"/>
          <w:sz w:val="20"/>
          <w:szCs w:val="20"/>
        </w:rPr>
        <w:t xml:space="preserve">, </w:t>
      </w:r>
      <w:r w:rsidRPr="00C826DB">
        <w:rPr>
          <w:rFonts w:ascii="Noto Serif" w:hAnsi="Noto Serif" w:cs="Noto Serif"/>
          <w:color w:val="C00000"/>
          <w:sz w:val="20"/>
          <w:szCs w:val="20"/>
          <w:u w:val="single"/>
        </w:rPr>
        <w:t>może</w:t>
      </w:r>
      <w:r w:rsidRPr="00C826DB">
        <w:rPr>
          <w:rFonts w:ascii="Noto Serif" w:hAnsi="Noto Serif" w:cs="Noto Serif"/>
          <w:color w:val="C00000"/>
          <w:sz w:val="20"/>
          <w:szCs w:val="20"/>
        </w:rPr>
        <w:t xml:space="preserve"> </w:t>
      </w:r>
      <w:r w:rsidRPr="00C826DB">
        <w:rPr>
          <w:rFonts w:ascii="Noto Serif" w:hAnsi="Noto Serif" w:cs="Noto Serif"/>
          <w:color w:val="2E74B5" w:themeColor="accent5" w:themeShade="BF"/>
          <w:sz w:val="20"/>
          <w:szCs w:val="20"/>
        </w:rPr>
        <w:t xml:space="preserve">zostać przeprowadzona przy użyciu urządzeń technicznych umożliwiających przeprowadzenie jej na odległość z jednoczesnym bezpośrednim przekazem obrazu i dźwięku, w sposób zapewniający zachowanie niezbędnych zasad bezpieczeństwa, z tym że osoby w niej uczestniczące nie muszą przebywać w siedzibie Urzędu Patentowego. </w:t>
      </w:r>
    </w:p>
    <w:p w14:paraId="36D32AF9" w14:textId="5E24639A" w:rsidR="00E670F5" w:rsidRPr="00C826DB" w:rsidRDefault="0055477F" w:rsidP="00B23714">
      <w:pPr>
        <w:spacing w:after="0" w:line="240" w:lineRule="auto"/>
        <w:ind w:left="567"/>
        <w:jc w:val="both"/>
        <w:rPr>
          <w:rFonts w:ascii="Noto Serif" w:hAnsi="Noto Serif" w:cs="Noto Serif"/>
          <w:sz w:val="20"/>
          <w:szCs w:val="20"/>
        </w:rPr>
      </w:pPr>
      <w:r w:rsidRPr="00C826DB">
        <w:rPr>
          <w:rFonts w:ascii="Noto Serif" w:hAnsi="Noto Serif" w:cs="Noto Serif"/>
          <w:sz w:val="20"/>
          <w:szCs w:val="20"/>
        </w:rPr>
        <w:lastRenderedPageBreak/>
        <w:t>5. W przypadku nadmiernego przewlekania postępowania przez strony Urząd Patentowy może wyznaczyć stronom postępowania w toku prowadzonego postępowania, także na posiedzeniu niejawnym, termin na podanie wszystkich twierdzeń oraz dodatkowych dowodów na ich poparcie, pod rygorem utraty prawa powoływania ich w toku postępowania, chyba że strona wykaże, że ich powołanie w wyznaczonym terminie nie było możliwe albo że potrzeba powołania wynikła później</w:t>
      </w:r>
      <w:r w:rsidR="00E670F5" w:rsidRPr="00C826DB">
        <w:rPr>
          <w:rFonts w:ascii="Noto Serif" w:hAnsi="Noto Serif" w:cs="Noto Serif"/>
          <w:sz w:val="20"/>
          <w:szCs w:val="20"/>
        </w:rPr>
        <w:t>.</w:t>
      </w:r>
    </w:p>
    <w:p w14:paraId="5968D863" w14:textId="77777777" w:rsidR="00173786" w:rsidRPr="00695889" w:rsidRDefault="00173786" w:rsidP="00173786">
      <w:pPr>
        <w:spacing w:after="0" w:line="240" w:lineRule="auto"/>
        <w:rPr>
          <w:b/>
          <w:bCs/>
          <w:kern w:val="0"/>
          <w:sz w:val="6"/>
          <w:szCs w:val="6"/>
        </w:rPr>
      </w:pPr>
    </w:p>
    <w:p w14:paraId="357B45ED" w14:textId="4C5D14C0" w:rsidR="00950937" w:rsidRDefault="005C7C8D" w:rsidP="005C7C8D">
      <w:pPr>
        <w:spacing w:after="0"/>
        <w:ind w:firstLine="567"/>
        <w:jc w:val="both"/>
        <w:rPr>
          <w:rFonts w:cstheme="minorHAnsi"/>
          <w:bCs/>
          <w:sz w:val="24"/>
          <w:szCs w:val="24"/>
        </w:rPr>
      </w:pPr>
      <w:r>
        <w:rPr>
          <w:rFonts w:cstheme="minorHAnsi"/>
          <w:bCs/>
          <w:sz w:val="24"/>
          <w:szCs w:val="24"/>
        </w:rPr>
        <w:t xml:space="preserve">Warto przypomnieć </w:t>
      </w:r>
      <w:r w:rsidR="00A05F2A">
        <w:rPr>
          <w:rFonts w:cstheme="minorHAnsi"/>
          <w:b/>
          <w:sz w:val="24"/>
          <w:szCs w:val="24"/>
        </w:rPr>
        <w:t xml:space="preserve">inne </w:t>
      </w:r>
      <w:r w:rsidRPr="00320EA0">
        <w:rPr>
          <w:rFonts w:cstheme="minorHAnsi"/>
          <w:b/>
          <w:sz w:val="24"/>
          <w:szCs w:val="24"/>
        </w:rPr>
        <w:t>rozwiązanie</w:t>
      </w:r>
      <w:r w:rsidR="00320EA0" w:rsidRPr="00320EA0">
        <w:rPr>
          <w:rFonts w:cstheme="minorHAnsi"/>
          <w:b/>
          <w:sz w:val="24"/>
          <w:szCs w:val="24"/>
        </w:rPr>
        <w:t xml:space="preserve"> </w:t>
      </w:r>
      <w:r w:rsidR="00A05F2A">
        <w:rPr>
          <w:rFonts w:cstheme="minorHAnsi"/>
          <w:b/>
          <w:sz w:val="24"/>
          <w:szCs w:val="24"/>
        </w:rPr>
        <w:t xml:space="preserve">prawne </w:t>
      </w:r>
      <w:r w:rsidR="00320EA0" w:rsidRPr="00320EA0">
        <w:rPr>
          <w:rFonts w:cstheme="minorHAnsi"/>
          <w:b/>
          <w:sz w:val="24"/>
          <w:szCs w:val="24"/>
        </w:rPr>
        <w:t>przewidujące możliwość</w:t>
      </w:r>
      <w:r w:rsidR="00320EA0">
        <w:rPr>
          <w:rFonts w:cstheme="minorHAnsi"/>
          <w:bCs/>
          <w:sz w:val="24"/>
          <w:szCs w:val="24"/>
        </w:rPr>
        <w:t xml:space="preserve"> </w:t>
      </w:r>
      <w:r w:rsidR="00320EA0" w:rsidRPr="00320EA0">
        <w:rPr>
          <w:rFonts w:cstheme="minorHAnsi"/>
          <w:bCs/>
          <w:sz w:val="24"/>
          <w:szCs w:val="24"/>
        </w:rPr>
        <w:t>(</w:t>
      </w:r>
      <w:r w:rsidR="00320EA0">
        <w:rPr>
          <w:rFonts w:cstheme="minorHAnsi"/>
          <w:bCs/>
          <w:sz w:val="24"/>
          <w:szCs w:val="24"/>
        </w:rPr>
        <w:t>na zasadzie nieweryfikowalnej uznaniowości</w:t>
      </w:r>
      <w:r w:rsidR="00320EA0" w:rsidRPr="00320EA0">
        <w:rPr>
          <w:rFonts w:cstheme="minorHAnsi"/>
          <w:bCs/>
          <w:sz w:val="24"/>
          <w:szCs w:val="24"/>
        </w:rPr>
        <w:t>)</w:t>
      </w:r>
      <w:r w:rsidR="00320EA0">
        <w:rPr>
          <w:rFonts w:cstheme="minorHAnsi"/>
          <w:b/>
          <w:sz w:val="24"/>
          <w:szCs w:val="24"/>
        </w:rPr>
        <w:t xml:space="preserve"> </w:t>
      </w:r>
      <w:r w:rsidR="00320EA0" w:rsidRPr="00320EA0">
        <w:rPr>
          <w:rFonts w:cstheme="minorHAnsi"/>
          <w:b/>
          <w:sz w:val="24"/>
          <w:szCs w:val="24"/>
        </w:rPr>
        <w:t>prowadzenia rozpraw w trybie zdalnym</w:t>
      </w:r>
      <w:r w:rsidR="003A15CD">
        <w:rPr>
          <w:rFonts w:cstheme="minorHAnsi"/>
          <w:b/>
          <w:sz w:val="24"/>
          <w:szCs w:val="24"/>
        </w:rPr>
        <w:t>.</w:t>
      </w:r>
      <w:r w:rsidRPr="003A15CD">
        <w:rPr>
          <w:rFonts w:cstheme="minorHAnsi"/>
          <w:bCs/>
          <w:sz w:val="24"/>
          <w:szCs w:val="24"/>
        </w:rPr>
        <w:t xml:space="preserve"> </w:t>
      </w:r>
      <w:r w:rsidR="00A05F2A">
        <w:rPr>
          <w:rFonts w:cstheme="minorHAnsi"/>
          <w:bCs/>
          <w:sz w:val="24"/>
          <w:szCs w:val="24"/>
        </w:rPr>
        <w:t xml:space="preserve">Instytucja ta </w:t>
      </w:r>
      <w:r>
        <w:rPr>
          <w:rFonts w:cstheme="minorHAnsi"/>
          <w:bCs/>
          <w:sz w:val="24"/>
          <w:szCs w:val="24"/>
        </w:rPr>
        <w:t>czeka na skorygowanie</w:t>
      </w:r>
      <w:r w:rsidR="00A05F2A">
        <w:rPr>
          <w:rFonts w:cstheme="minorHAnsi"/>
          <w:bCs/>
          <w:sz w:val="24"/>
          <w:szCs w:val="24"/>
        </w:rPr>
        <w:t>:</w:t>
      </w:r>
      <w:r w:rsidR="00950937">
        <w:rPr>
          <w:rFonts w:cstheme="minorHAnsi"/>
          <w:bCs/>
          <w:sz w:val="24"/>
          <w:szCs w:val="24"/>
        </w:rPr>
        <w:t xml:space="preserve"> </w:t>
      </w:r>
    </w:p>
    <w:p w14:paraId="780FE5F9" w14:textId="3C63FF5F" w:rsidR="00475F53" w:rsidRPr="00C826DB" w:rsidRDefault="00475F53" w:rsidP="00416CDC">
      <w:pPr>
        <w:spacing w:after="0"/>
        <w:jc w:val="center"/>
        <w:rPr>
          <w:rFonts w:ascii="Noto Serif" w:hAnsi="Noto Serif" w:cs="Noto Serif"/>
          <w:b/>
          <w:bCs/>
          <w:sz w:val="24"/>
          <w:szCs w:val="24"/>
        </w:rPr>
      </w:pPr>
      <w:r w:rsidRPr="00C826DB">
        <w:rPr>
          <w:rFonts w:ascii="Noto Serif" w:hAnsi="Noto Serif" w:cs="Noto Serif"/>
          <w:sz w:val="24"/>
          <w:szCs w:val="24"/>
        </w:rPr>
        <w:t>PRAWO O POSTĘPOWANIU PRZED SĄDAMI ADMINISTRACYJNYMI</w:t>
      </w:r>
    </w:p>
    <w:p w14:paraId="6F8D9379" w14:textId="66E35F9B" w:rsidR="00475F53" w:rsidRPr="00C826DB" w:rsidRDefault="00475F53" w:rsidP="00416CDC">
      <w:pPr>
        <w:spacing w:after="0"/>
        <w:jc w:val="center"/>
        <w:rPr>
          <w:rFonts w:ascii="Noto Serif" w:hAnsi="Noto Serif" w:cs="Noto Serif"/>
          <w:color w:val="333333"/>
          <w:sz w:val="20"/>
          <w:szCs w:val="20"/>
        </w:rPr>
      </w:pPr>
      <w:r w:rsidRPr="00C826DB">
        <w:rPr>
          <w:rFonts w:ascii="Noto Serif" w:hAnsi="Noto Serif" w:cs="Noto Serif"/>
          <w:color w:val="333333"/>
          <w:sz w:val="20"/>
          <w:szCs w:val="20"/>
        </w:rPr>
        <w:t>z dnia 30 sierpnia 2002 r. </w:t>
      </w:r>
      <w:hyperlink r:id="rId87" w:history="1">
        <w:r w:rsidRPr="00C826DB">
          <w:rPr>
            <w:rStyle w:val="Hipercze"/>
            <w:rFonts w:ascii="Noto Serif" w:hAnsi="Noto Serif" w:cs="Noto Serif"/>
            <w:color w:val="CC0000"/>
            <w:sz w:val="20"/>
            <w:szCs w:val="20"/>
          </w:rPr>
          <w:t xml:space="preserve">(Dz.U. z 2023 r. poz. 1634 </w:t>
        </w:r>
        <w:r w:rsidRPr="00C826DB">
          <w:rPr>
            <w:rFonts w:ascii="Noto Serif" w:hAnsi="Noto Serif" w:cs="Noto Serif"/>
            <w:color w:val="333333"/>
            <w:sz w:val="20"/>
            <w:szCs w:val="20"/>
          </w:rPr>
          <w:t>z późn. zm.</w:t>
        </w:r>
        <w:r w:rsidRPr="00C826DB">
          <w:rPr>
            <w:rStyle w:val="Hipercze"/>
            <w:rFonts w:ascii="Noto Serif" w:hAnsi="Noto Serif" w:cs="Noto Serif"/>
            <w:color w:val="CC0000"/>
            <w:sz w:val="20"/>
            <w:szCs w:val="20"/>
          </w:rPr>
          <w:t>)</w:t>
        </w:r>
      </w:hyperlink>
    </w:p>
    <w:p w14:paraId="34058322" w14:textId="77777777" w:rsidR="00475F53" w:rsidRPr="00C826DB" w:rsidRDefault="00475F53" w:rsidP="00173786">
      <w:pPr>
        <w:spacing w:after="0" w:line="240" w:lineRule="auto"/>
        <w:rPr>
          <w:b/>
          <w:bCs/>
          <w:kern w:val="0"/>
          <w:sz w:val="16"/>
          <w:szCs w:val="16"/>
        </w:rPr>
      </w:pPr>
    </w:p>
    <w:p w14:paraId="5D52DFDA" w14:textId="7BAD7039" w:rsidR="00506A79" w:rsidRPr="00C826DB" w:rsidRDefault="00506A79" w:rsidP="00506A79">
      <w:pPr>
        <w:shd w:val="clear" w:color="auto" w:fill="FFFFFF"/>
        <w:spacing w:after="0" w:line="240" w:lineRule="auto"/>
        <w:ind w:left="567"/>
        <w:rPr>
          <w:rFonts w:ascii="Noto Serif" w:eastAsia="Times New Roman" w:hAnsi="Noto Serif" w:cs="Noto Serif"/>
          <w:color w:val="333333"/>
          <w:kern w:val="0"/>
          <w:sz w:val="21"/>
          <w:szCs w:val="21"/>
          <w:lang w:eastAsia="pl-PL"/>
          <w14:ligatures w14:val="none"/>
        </w:rPr>
      </w:pPr>
      <w:r w:rsidRPr="00C826DB">
        <w:rPr>
          <w:rFonts w:ascii="Noto Serif" w:eastAsia="Times New Roman" w:hAnsi="Noto Serif" w:cs="Noto Serif"/>
          <w:b/>
          <w:bCs/>
          <w:color w:val="333333"/>
          <w:kern w:val="0"/>
          <w:sz w:val="21"/>
          <w:szCs w:val="21"/>
          <w:lang w:eastAsia="pl-PL"/>
          <w14:ligatures w14:val="none"/>
        </w:rPr>
        <w:t>Art. 94 [Miejsce posiedzeń]</w:t>
      </w:r>
    </w:p>
    <w:p w14:paraId="4F628483" w14:textId="77777777" w:rsidR="00506A79" w:rsidRPr="00C826DB" w:rsidRDefault="00506A79" w:rsidP="00506A79">
      <w:pPr>
        <w:shd w:val="clear" w:color="auto" w:fill="FFFFFF"/>
        <w:spacing w:after="0" w:line="240" w:lineRule="auto"/>
        <w:ind w:left="567"/>
        <w:rPr>
          <w:rFonts w:ascii="Noto Serif" w:eastAsia="Times New Roman" w:hAnsi="Noto Serif" w:cs="Noto Serif"/>
          <w:color w:val="333333"/>
          <w:kern w:val="0"/>
          <w:sz w:val="20"/>
          <w:szCs w:val="20"/>
          <w:lang w:eastAsia="pl-PL"/>
          <w14:ligatures w14:val="none"/>
        </w:rPr>
      </w:pPr>
      <w:bookmarkStart w:id="65" w:name="mip69435648"/>
      <w:bookmarkEnd w:id="65"/>
      <w:r w:rsidRPr="00C826DB">
        <w:rPr>
          <w:rFonts w:ascii="Noto Serif" w:eastAsia="Times New Roman" w:hAnsi="Noto Serif" w:cs="Noto Serif"/>
          <w:color w:val="333333"/>
          <w:kern w:val="0"/>
          <w:sz w:val="20"/>
          <w:szCs w:val="20"/>
          <w:lang w:eastAsia="pl-PL"/>
          <w14:ligatures w14:val="none"/>
        </w:rPr>
        <w:t>§ 1. Posiedzenia sądowe odbywają się w budynku sądowym, a poza tym budynkiem tylko wówczas, z zachowaniem wymagań dotyczących bezpieczeństwa, gdy czynności sądowe muszą być wykonane w innym miejscu albo gdy odbycie posiedzenia poza budynkiem sądowym ułatwia przeprowadzenie sprawy lub przyczynia się znacznie do zaoszczędzenia kosztów.</w:t>
      </w:r>
    </w:p>
    <w:p w14:paraId="11827906" w14:textId="77777777" w:rsidR="00506A79" w:rsidRPr="00506A79" w:rsidRDefault="00506A79" w:rsidP="00506A79">
      <w:pPr>
        <w:shd w:val="clear" w:color="auto" w:fill="FFFFFF"/>
        <w:spacing w:after="0" w:line="240" w:lineRule="auto"/>
        <w:ind w:left="567"/>
        <w:rPr>
          <w:rFonts w:ascii="Noto Serif" w:eastAsia="Times New Roman" w:hAnsi="Noto Serif" w:cs="Noto Serif"/>
          <w:color w:val="333333"/>
          <w:kern w:val="0"/>
          <w:sz w:val="18"/>
          <w:szCs w:val="18"/>
          <w:lang w:eastAsia="pl-PL"/>
          <w14:ligatures w14:val="none"/>
        </w:rPr>
      </w:pPr>
      <w:bookmarkStart w:id="66" w:name="mip69435649"/>
      <w:bookmarkEnd w:id="66"/>
      <w:r w:rsidRPr="00C826DB">
        <w:rPr>
          <w:rFonts w:ascii="Noto Serif" w:eastAsia="Times New Roman" w:hAnsi="Noto Serif" w:cs="Noto Serif"/>
          <w:color w:val="333333"/>
          <w:kern w:val="0"/>
          <w:sz w:val="20"/>
          <w:szCs w:val="20"/>
          <w:lang w:eastAsia="pl-PL"/>
          <w14:ligatures w14:val="none"/>
        </w:rPr>
        <w:t xml:space="preserve">§ 2. Przewodniczący </w:t>
      </w:r>
      <w:r w:rsidRPr="00C826DB">
        <w:rPr>
          <w:rFonts w:ascii="Noto Serif" w:eastAsia="Times New Roman" w:hAnsi="Noto Serif" w:cs="Noto Serif"/>
          <w:color w:val="FF0000"/>
          <w:kern w:val="0"/>
          <w:sz w:val="20"/>
          <w:szCs w:val="20"/>
          <w:lang w:eastAsia="pl-PL"/>
          <w14:ligatures w14:val="none"/>
        </w:rPr>
        <w:t xml:space="preserve">może </w:t>
      </w:r>
      <w:r w:rsidRPr="00C826DB">
        <w:rPr>
          <w:rFonts w:ascii="Noto Serif" w:eastAsia="Times New Roman" w:hAnsi="Noto Serif" w:cs="Noto Serif"/>
          <w:b/>
          <w:bCs/>
          <w:color w:val="333333"/>
          <w:kern w:val="0"/>
          <w:sz w:val="20"/>
          <w:szCs w:val="20"/>
          <w:lang w:eastAsia="pl-PL"/>
          <w14:ligatures w14:val="none"/>
        </w:rPr>
        <w:t>zarządzić przeprowadzenie posiedzenia jawnego przy użyciu urządzeń technicznych</w:t>
      </w:r>
      <w:r w:rsidRPr="00C826DB">
        <w:rPr>
          <w:rFonts w:ascii="Noto Serif" w:eastAsia="Times New Roman" w:hAnsi="Noto Serif" w:cs="Noto Serif"/>
          <w:color w:val="333333"/>
          <w:kern w:val="0"/>
          <w:sz w:val="20"/>
          <w:szCs w:val="20"/>
          <w:lang w:eastAsia="pl-PL"/>
          <w14:ligatures w14:val="none"/>
        </w:rPr>
        <w:t xml:space="preserve"> umożliwiających jego przeprowadzenie na odległość. W takim przypadku uczestnicy mogą brać udział w posiedzeniu sądowym, gdy przebywają w budynku innego sądu albo w zakładzie karnym lub areszcie śledczym, gdy są pozbawieni wolności, i tam dokonywać czynności procesowych, a przebieg czynności procesowych transmituje się z sali sądowej sądu prowadzącego postępowanie do miejsca pobytu uczestników postępowania oraz z miejsca pobytu uczestników postępowania do sali sądowej sądu prowadzącego postępowanie. W miejscu przebywania osoby pozbawionej wolności w czynnościach procesowych bierze udział przedstawiciel administracji zakładu karnego lub aresztu śledczego oraz może wziąć udział pełnomocnik, jeżeli został ustanowiony, i tłumacz, jeżeli osoba pozbawiona wolności nie włada dostatecznie językiem polskim</w:t>
      </w:r>
      <w:r w:rsidRPr="00506A79">
        <w:rPr>
          <w:rFonts w:ascii="Noto Serif" w:eastAsia="Times New Roman" w:hAnsi="Noto Serif" w:cs="Noto Serif"/>
          <w:color w:val="333333"/>
          <w:kern w:val="0"/>
          <w:sz w:val="18"/>
          <w:szCs w:val="18"/>
          <w:lang w:eastAsia="pl-PL"/>
          <w14:ligatures w14:val="none"/>
        </w:rPr>
        <w:t>.</w:t>
      </w:r>
    </w:p>
    <w:p w14:paraId="7F648E89" w14:textId="3B20019B" w:rsidR="00950937" w:rsidRDefault="00950937" w:rsidP="00173786">
      <w:pPr>
        <w:spacing w:after="0" w:line="240" w:lineRule="auto"/>
        <w:rPr>
          <w:b/>
          <w:bCs/>
          <w:kern w:val="0"/>
          <w:sz w:val="10"/>
          <w:szCs w:val="10"/>
        </w:rPr>
      </w:pPr>
    </w:p>
    <w:p w14:paraId="3D228FFA" w14:textId="77777777" w:rsidR="00C826DB" w:rsidRPr="00233C06" w:rsidRDefault="00C826DB" w:rsidP="00173786">
      <w:pPr>
        <w:spacing w:after="0" w:line="240" w:lineRule="auto"/>
        <w:rPr>
          <w:b/>
          <w:bCs/>
          <w:kern w:val="0"/>
          <w:sz w:val="10"/>
          <w:szCs w:val="10"/>
        </w:rPr>
      </w:pPr>
    </w:p>
    <w:p w14:paraId="5DB2ECFD" w14:textId="3CD4C8FB" w:rsidR="00E14517" w:rsidRDefault="00E14517" w:rsidP="00E14517">
      <w:pPr>
        <w:spacing w:after="0"/>
        <w:ind w:firstLine="567"/>
        <w:jc w:val="both"/>
        <w:rPr>
          <w:rFonts w:cstheme="minorHAnsi"/>
          <w:bCs/>
          <w:sz w:val="24"/>
          <w:szCs w:val="24"/>
        </w:rPr>
      </w:pPr>
      <w:r>
        <w:rPr>
          <w:rFonts w:cstheme="minorHAnsi"/>
          <w:bCs/>
          <w:sz w:val="24"/>
          <w:szCs w:val="24"/>
        </w:rPr>
        <w:t xml:space="preserve">Warto także przypomnieć </w:t>
      </w:r>
      <w:r w:rsidR="00506A79">
        <w:rPr>
          <w:rFonts w:cstheme="minorHAnsi"/>
          <w:bCs/>
          <w:sz w:val="24"/>
          <w:szCs w:val="24"/>
        </w:rPr>
        <w:t>rozwiązanie, które przewiduje procedura cywilna</w:t>
      </w:r>
      <w:r w:rsidR="00320EA0">
        <w:rPr>
          <w:rFonts w:cstheme="minorHAnsi"/>
          <w:bCs/>
          <w:sz w:val="24"/>
          <w:szCs w:val="24"/>
        </w:rPr>
        <w:t xml:space="preserve">, </w:t>
      </w:r>
      <w:r w:rsidR="00320EA0" w:rsidRPr="00320EA0">
        <w:rPr>
          <w:rFonts w:cstheme="minorHAnsi"/>
          <w:b/>
          <w:sz w:val="24"/>
          <w:szCs w:val="24"/>
        </w:rPr>
        <w:t>n</w:t>
      </w:r>
      <w:r w:rsidRPr="00320EA0">
        <w:rPr>
          <w:rFonts w:cstheme="minorHAnsi"/>
          <w:b/>
          <w:sz w:val="24"/>
          <w:szCs w:val="24"/>
        </w:rPr>
        <w:t>ajlepsze</w:t>
      </w:r>
      <w:r w:rsidR="00506A79" w:rsidRPr="00320EA0">
        <w:rPr>
          <w:rFonts w:cstheme="minorHAnsi"/>
          <w:b/>
          <w:sz w:val="24"/>
          <w:szCs w:val="24"/>
        </w:rPr>
        <w:t xml:space="preserve"> z </w:t>
      </w:r>
      <w:r w:rsidR="00506A79" w:rsidRPr="00320EA0">
        <w:rPr>
          <w:rFonts w:cstheme="minorHAnsi"/>
          <w:bCs/>
          <w:sz w:val="24"/>
          <w:szCs w:val="24"/>
        </w:rPr>
        <w:t>przypomnianych tu,</w:t>
      </w:r>
      <w:r w:rsidR="00506A79" w:rsidRPr="00320EA0">
        <w:rPr>
          <w:rFonts w:cstheme="minorHAnsi"/>
          <w:b/>
          <w:sz w:val="24"/>
          <w:szCs w:val="24"/>
        </w:rPr>
        <w:t xml:space="preserve"> wymagające jedynie </w:t>
      </w:r>
      <w:r w:rsidRPr="00320EA0">
        <w:rPr>
          <w:rFonts w:cstheme="minorHAnsi"/>
          <w:b/>
          <w:sz w:val="24"/>
          <w:szCs w:val="24"/>
        </w:rPr>
        <w:t>uproszcz</w:t>
      </w:r>
      <w:r w:rsidR="00506A79" w:rsidRPr="00320EA0">
        <w:rPr>
          <w:rFonts w:cstheme="minorHAnsi"/>
          <w:b/>
          <w:sz w:val="24"/>
          <w:szCs w:val="24"/>
        </w:rPr>
        <w:t>enia</w:t>
      </w:r>
      <w:r w:rsidR="00506A79">
        <w:rPr>
          <w:rFonts w:cstheme="minorHAnsi"/>
          <w:bCs/>
          <w:sz w:val="24"/>
          <w:szCs w:val="24"/>
        </w:rPr>
        <w:t xml:space="preserve">, </w:t>
      </w:r>
      <w:r w:rsidR="00A05F2A">
        <w:rPr>
          <w:rFonts w:cstheme="minorHAnsi"/>
          <w:bCs/>
          <w:sz w:val="24"/>
          <w:szCs w:val="24"/>
        </w:rPr>
        <w:t xml:space="preserve">ale </w:t>
      </w:r>
      <w:r w:rsidR="00506A79">
        <w:rPr>
          <w:rFonts w:cstheme="minorHAnsi"/>
          <w:bCs/>
          <w:sz w:val="24"/>
          <w:szCs w:val="24"/>
        </w:rPr>
        <w:t>za to przyjaźnie i rozsądnie wykorzystywane przez sądy cywilne</w:t>
      </w:r>
      <w:r>
        <w:rPr>
          <w:rFonts w:cstheme="minorHAnsi"/>
          <w:bCs/>
          <w:sz w:val="24"/>
          <w:szCs w:val="24"/>
        </w:rPr>
        <w:t xml:space="preserve">: </w:t>
      </w:r>
    </w:p>
    <w:p w14:paraId="569AAA1B" w14:textId="77777777" w:rsidR="00950937" w:rsidRPr="00233C06" w:rsidRDefault="00950937" w:rsidP="00416CDC">
      <w:pPr>
        <w:spacing w:after="0"/>
        <w:jc w:val="center"/>
        <w:rPr>
          <w:rFonts w:ascii="Noto Serif" w:hAnsi="Noto Serif" w:cs="Noto Serif"/>
          <w:sz w:val="6"/>
          <w:szCs w:val="6"/>
        </w:rPr>
      </w:pPr>
    </w:p>
    <w:p w14:paraId="0AE226CF" w14:textId="77777777" w:rsidR="00C826DB" w:rsidRDefault="00C826DB" w:rsidP="00416CDC">
      <w:pPr>
        <w:spacing w:after="0"/>
        <w:jc w:val="center"/>
        <w:rPr>
          <w:rFonts w:ascii="Noto Serif" w:hAnsi="Noto Serif" w:cs="Noto Serif"/>
          <w:caps/>
          <w:color w:val="000000"/>
          <w:sz w:val="18"/>
          <w:szCs w:val="18"/>
        </w:rPr>
      </w:pPr>
    </w:p>
    <w:p w14:paraId="74BB539F" w14:textId="56620EE4" w:rsidR="00822936" w:rsidRPr="00C826DB" w:rsidRDefault="00822936" w:rsidP="00416CDC">
      <w:pPr>
        <w:spacing w:after="0"/>
        <w:jc w:val="center"/>
        <w:rPr>
          <w:rFonts w:ascii="Noto Serif" w:hAnsi="Noto Serif" w:cs="Noto Serif"/>
          <w:caps/>
          <w:color w:val="000000"/>
          <w:sz w:val="20"/>
          <w:szCs w:val="20"/>
        </w:rPr>
      </w:pPr>
      <w:r w:rsidRPr="00C826DB">
        <w:rPr>
          <w:rFonts w:ascii="Noto Serif" w:hAnsi="Noto Serif" w:cs="Noto Serif"/>
          <w:caps/>
          <w:color w:val="000000"/>
          <w:sz w:val="20"/>
          <w:szCs w:val="20"/>
        </w:rPr>
        <w:t>KODEKS POSTĘPOWANIA CYWILNEGO</w:t>
      </w:r>
    </w:p>
    <w:p w14:paraId="766BDF19" w14:textId="489832F0" w:rsidR="00822936" w:rsidRPr="00C826DB" w:rsidRDefault="00822936" w:rsidP="00416CDC">
      <w:pPr>
        <w:spacing w:after="0"/>
        <w:jc w:val="center"/>
        <w:rPr>
          <w:rFonts w:ascii="Noto Serif" w:hAnsi="Noto Serif" w:cs="Noto Serif"/>
          <w:color w:val="333333"/>
          <w:sz w:val="20"/>
          <w:szCs w:val="20"/>
        </w:rPr>
      </w:pPr>
      <w:r w:rsidRPr="00C826DB">
        <w:rPr>
          <w:rFonts w:ascii="Noto Serif" w:hAnsi="Noto Serif" w:cs="Noto Serif"/>
          <w:color w:val="333333"/>
          <w:sz w:val="20"/>
          <w:szCs w:val="20"/>
        </w:rPr>
        <w:t>z dnia 17 listopada 1964 r. </w:t>
      </w:r>
      <w:hyperlink r:id="rId88" w:history="1">
        <w:r w:rsidRPr="00C826DB">
          <w:rPr>
            <w:rStyle w:val="Hipercze"/>
            <w:rFonts w:ascii="Noto Serif" w:hAnsi="Noto Serif" w:cs="Noto Serif"/>
            <w:color w:val="CC0000"/>
            <w:sz w:val="20"/>
            <w:szCs w:val="20"/>
          </w:rPr>
          <w:t>(Dz.U. z 2023 r. poz. 1550</w:t>
        </w:r>
      </w:hyperlink>
      <w:r w:rsidR="00E14517" w:rsidRPr="00C826DB">
        <w:rPr>
          <w:rFonts w:ascii="Noto Serif" w:hAnsi="Noto Serif" w:cs="Noto Serif"/>
          <w:color w:val="333333"/>
          <w:sz w:val="20"/>
          <w:szCs w:val="20"/>
        </w:rPr>
        <w:t xml:space="preserve"> z późn. zm.)</w:t>
      </w:r>
    </w:p>
    <w:p w14:paraId="542FBE6C" w14:textId="77777777" w:rsidR="00C826DB" w:rsidRPr="00C826DB" w:rsidRDefault="00C826DB" w:rsidP="00416CDC">
      <w:pPr>
        <w:spacing w:after="0"/>
        <w:jc w:val="center"/>
        <w:rPr>
          <w:rFonts w:ascii="Noto Serif" w:hAnsi="Noto Serif" w:cs="Noto Serif"/>
          <w:color w:val="333333"/>
          <w:sz w:val="20"/>
          <w:szCs w:val="20"/>
        </w:rPr>
      </w:pPr>
    </w:p>
    <w:p w14:paraId="40F66E36" w14:textId="3BD7BC8A" w:rsidR="00950937" w:rsidRPr="00C826DB" w:rsidRDefault="00950937" w:rsidP="00B23714">
      <w:pPr>
        <w:shd w:val="clear" w:color="auto" w:fill="FFFFFF"/>
        <w:spacing w:after="0"/>
        <w:ind w:left="567"/>
        <w:rPr>
          <w:rFonts w:ascii="Noto Serif" w:hAnsi="Noto Serif" w:cs="Noto Serif"/>
          <w:color w:val="333333"/>
          <w:sz w:val="20"/>
          <w:szCs w:val="20"/>
        </w:rPr>
      </w:pPr>
      <w:r w:rsidRPr="00C826DB">
        <w:rPr>
          <w:rStyle w:val="articletitle"/>
          <w:rFonts w:ascii="Noto Serif" w:hAnsi="Noto Serif" w:cs="Noto Serif"/>
          <w:b/>
          <w:bCs/>
          <w:color w:val="333333"/>
          <w:sz w:val="20"/>
          <w:szCs w:val="20"/>
        </w:rPr>
        <w:t>Art. 151 [Miejsce]</w:t>
      </w:r>
    </w:p>
    <w:p w14:paraId="48EED300"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67" w:name="mip69357891"/>
      <w:bookmarkEnd w:id="67"/>
      <w:r w:rsidRPr="00C826DB">
        <w:rPr>
          <w:rFonts w:ascii="Noto Serif" w:hAnsi="Noto Serif" w:cs="Noto Serif"/>
          <w:color w:val="333333"/>
          <w:sz w:val="20"/>
          <w:szCs w:val="20"/>
        </w:rPr>
        <w:t>§ 1. Posiedzenia sądowe odbywają się w budynku sądowym, a poza tym budynkiem tylko wówczas, gdy czynności sądowe muszą być wykonane w innym miejscu albo gdy odbycie posiedzenia poza budynkiem sądowym ułatwia przeprowadzenie sprawy lub przyczynia się znacznie do zaoszczędzenia kosztów.</w:t>
      </w:r>
    </w:p>
    <w:p w14:paraId="0D21887C" w14:textId="77777777" w:rsidR="00950937" w:rsidRPr="00C826DB" w:rsidRDefault="00950937" w:rsidP="00B23714">
      <w:pPr>
        <w:shd w:val="clear" w:color="auto" w:fill="FFFFFF"/>
        <w:spacing w:after="0"/>
        <w:ind w:left="567"/>
        <w:jc w:val="both"/>
        <w:rPr>
          <w:rFonts w:ascii="Noto Serif" w:hAnsi="Noto Serif" w:cs="Noto Serif"/>
          <w:color w:val="333333"/>
          <w:sz w:val="20"/>
          <w:szCs w:val="20"/>
        </w:rPr>
      </w:pPr>
      <w:bookmarkStart w:id="68" w:name="mip69357892"/>
      <w:bookmarkEnd w:id="68"/>
      <w:r w:rsidRPr="00C826DB">
        <w:rPr>
          <w:rFonts w:ascii="Noto Serif" w:hAnsi="Noto Serif" w:cs="Noto Serif"/>
          <w:color w:val="333333"/>
          <w:sz w:val="20"/>
          <w:szCs w:val="20"/>
        </w:rPr>
        <w:t>§ 2.</w:t>
      </w:r>
      <w:hyperlink r:id="rId89" w:history="1">
        <w:r w:rsidRPr="00C826DB">
          <w:rPr>
            <w:rStyle w:val="Hipercze"/>
            <w:rFonts w:ascii="Noto Serif" w:hAnsi="Noto Serif" w:cs="Noto Serif"/>
            <w:color w:val="CC0000"/>
            <w:sz w:val="20"/>
            <w:szCs w:val="20"/>
            <w:vertAlign w:val="superscript"/>
          </w:rPr>
          <w:t>16)</w:t>
        </w:r>
      </w:hyperlink>
      <w:r w:rsidRPr="00C826DB">
        <w:rPr>
          <w:rFonts w:ascii="Noto Serif" w:hAnsi="Noto Serif" w:cs="Noto Serif"/>
          <w:color w:val="333333"/>
          <w:sz w:val="20"/>
          <w:szCs w:val="20"/>
        </w:rPr>
        <w:t xml:space="preserve"> Przewodniczący </w:t>
      </w:r>
      <w:r w:rsidRPr="00C826DB">
        <w:rPr>
          <w:rFonts w:ascii="Noto Serif" w:hAnsi="Noto Serif" w:cs="Noto Serif"/>
          <w:b/>
          <w:bCs/>
          <w:color w:val="333333"/>
          <w:sz w:val="20"/>
          <w:szCs w:val="20"/>
        </w:rPr>
        <w:t>może</w:t>
      </w:r>
      <w:r w:rsidRPr="00C826DB">
        <w:rPr>
          <w:rFonts w:ascii="Noto Serif" w:hAnsi="Noto Serif" w:cs="Noto Serif"/>
          <w:color w:val="333333"/>
          <w:sz w:val="20"/>
          <w:szCs w:val="20"/>
        </w:rPr>
        <w:t xml:space="preserve"> zarządzić </w:t>
      </w:r>
      <w:r w:rsidRPr="00C826DB">
        <w:rPr>
          <w:rFonts w:ascii="Noto Serif" w:hAnsi="Noto Serif" w:cs="Noto Serif"/>
          <w:b/>
          <w:bCs/>
          <w:color w:val="333333"/>
          <w:sz w:val="20"/>
          <w:szCs w:val="20"/>
        </w:rPr>
        <w:t>przeprowadzenie posiedzenia jawnego</w:t>
      </w:r>
      <w:r w:rsidRPr="00C826DB">
        <w:rPr>
          <w:rFonts w:ascii="Noto Serif" w:hAnsi="Noto Serif" w:cs="Noto Serif"/>
          <w:color w:val="333333"/>
          <w:sz w:val="20"/>
          <w:szCs w:val="20"/>
        </w:rPr>
        <w:t xml:space="preserve"> przy użyciu urządzeń technicznych umożliwiających jego przeprowadzenie na odległość (posiedzenie zdalne), </w:t>
      </w:r>
      <w:r w:rsidRPr="00C826DB">
        <w:rPr>
          <w:rFonts w:ascii="Noto Serif" w:hAnsi="Noto Serif" w:cs="Noto Serif"/>
          <w:b/>
          <w:bCs/>
          <w:color w:val="333333"/>
          <w:sz w:val="20"/>
          <w:szCs w:val="20"/>
        </w:rPr>
        <w:t>jeżeli nie stoi temu na przeszkodzie wzgląd na charakter czynności</w:t>
      </w:r>
      <w:r w:rsidRPr="00C826DB">
        <w:rPr>
          <w:rFonts w:ascii="Noto Serif" w:hAnsi="Noto Serif" w:cs="Noto Serif"/>
          <w:color w:val="333333"/>
          <w:sz w:val="20"/>
          <w:szCs w:val="20"/>
        </w:rPr>
        <w:t xml:space="preserve">, które mają być dokonane na posiedzeniu, a przeprowadzenie posiedzenia zdalnego zagwarantuje pełną ochronę praw procesowych stron i prawidłowy tok postępowania. W takim przypadku na sali sądowej przebywają sąd i protokolant, a pozostałe osoby uczestniczące w posiedzeniu nie </w:t>
      </w:r>
      <w:r w:rsidRPr="00C826DB">
        <w:rPr>
          <w:rFonts w:ascii="Noto Serif" w:hAnsi="Noto Serif" w:cs="Noto Serif"/>
          <w:color w:val="333333"/>
          <w:sz w:val="20"/>
          <w:szCs w:val="20"/>
        </w:rPr>
        <w:lastRenderedPageBreak/>
        <w:t>muszą przebywać w budynku sądu prowadzącego postępowanie. Zapis obrazu i dźwięku z czynności procesowych odbywających się na sali sądowej przekazuje się do miejsca przebywania tych uczestników posiedzenia, którzy zgłosili zamiar zdalnego udziału w posiedzeniu sądu, oraz z miejsca przebywania tych uczestników posiedzenia do budynku sądu prowadzącego postępowanie.</w:t>
      </w:r>
    </w:p>
    <w:p w14:paraId="5A7DBC96"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69" w:name="mip69711728"/>
      <w:bookmarkEnd w:id="69"/>
      <w:r w:rsidRPr="00C826DB">
        <w:rPr>
          <w:rFonts w:ascii="Noto Serif" w:hAnsi="Noto Serif" w:cs="Noto Serif"/>
          <w:color w:val="333333"/>
          <w:sz w:val="20"/>
          <w:szCs w:val="20"/>
        </w:rPr>
        <w:t>§ 3.</w:t>
      </w:r>
      <w:hyperlink r:id="rId90" w:history="1">
        <w:r w:rsidRPr="00C826DB">
          <w:rPr>
            <w:rStyle w:val="Hipercze"/>
            <w:rFonts w:ascii="Noto Serif" w:hAnsi="Noto Serif" w:cs="Noto Serif"/>
            <w:color w:val="CC0000"/>
            <w:sz w:val="20"/>
            <w:szCs w:val="20"/>
            <w:vertAlign w:val="superscript"/>
          </w:rPr>
          <w:t>17)</w:t>
        </w:r>
      </w:hyperlink>
      <w:r w:rsidRPr="00C826DB">
        <w:rPr>
          <w:rFonts w:ascii="Noto Serif" w:hAnsi="Noto Serif" w:cs="Noto Serif"/>
          <w:color w:val="333333"/>
          <w:sz w:val="20"/>
          <w:szCs w:val="20"/>
        </w:rPr>
        <w:t xml:space="preserve"> Przewodniczący </w:t>
      </w:r>
      <w:r w:rsidRPr="00C826DB">
        <w:rPr>
          <w:rFonts w:ascii="Noto Serif" w:hAnsi="Noto Serif" w:cs="Noto Serif"/>
          <w:b/>
          <w:bCs/>
          <w:color w:val="333333"/>
          <w:sz w:val="20"/>
          <w:szCs w:val="20"/>
        </w:rPr>
        <w:t>może</w:t>
      </w:r>
      <w:r w:rsidRPr="00C826DB">
        <w:rPr>
          <w:rFonts w:ascii="Noto Serif" w:hAnsi="Noto Serif" w:cs="Noto Serif"/>
          <w:color w:val="333333"/>
          <w:sz w:val="20"/>
          <w:szCs w:val="20"/>
        </w:rPr>
        <w:t xml:space="preserve"> zarządzić przeprowadzenie posiedzenia zdalnego </w:t>
      </w:r>
      <w:r w:rsidRPr="00C826DB">
        <w:rPr>
          <w:rFonts w:ascii="Noto Serif" w:hAnsi="Noto Serif" w:cs="Noto Serif"/>
          <w:b/>
          <w:bCs/>
          <w:color w:val="333333"/>
          <w:sz w:val="20"/>
          <w:szCs w:val="20"/>
        </w:rPr>
        <w:t>z urzędu</w:t>
      </w:r>
      <w:r w:rsidRPr="00C826DB">
        <w:rPr>
          <w:rFonts w:ascii="Noto Serif" w:hAnsi="Noto Serif" w:cs="Noto Serif"/>
          <w:color w:val="333333"/>
          <w:sz w:val="20"/>
          <w:szCs w:val="20"/>
        </w:rPr>
        <w:t xml:space="preserve"> lub </w:t>
      </w:r>
      <w:r w:rsidRPr="00C826DB">
        <w:rPr>
          <w:rFonts w:ascii="Noto Serif" w:hAnsi="Noto Serif" w:cs="Noto Serif"/>
          <w:b/>
          <w:bCs/>
          <w:color w:val="333333"/>
          <w:sz w:val="20"/>
          <w:szCs w:val="20"/>
        </w:rPr>
        <w:t>na wniosek osoby, która ma uczestniczyć w posiedzeniu</w:t>
      </w:r>
      <w:r w:rsidRPr="00C826DB">
        <w:rPr>
          <w:rFonts w:ascii="Noto Serif" w:hAnsi="Noto Serif" w:cs="Noto Serif"/>
          <w:color w:val="333333"/>
          <w:sz w:val="20"/>
          <w:szCs w:val="20"/>
        </w:rPr>
        <w:t xml:space="preserve"> i</w:t>
      </w:r>
      <w:r w:rsidRPr="00C826DB">
        <w:rPr>
          <w:rFonts w:ascii="Noto Serif" w:hAnsi="Noto Serif" w:cs="Noto Serif"/>
          <w:color w:val="333333"/>
          <w:sz w:val="20"/>
          <w:szCs w:val="20"/>
          <w:u w:val="single"/>
        </w:rPr>
        <w:t xml:space="preserve"> wskazała adres poczty elektronicznej</w:t>
      </w:r>
      <w:r w:rsidRPr="00C826DB">
        <w:rPr>
          <w:rFonts w:ascii="Noto Serif" w:hAnsi="Noto Serif" w:cs="Noto Serif"/>
          <w:color w:val="333333"/>
          <w:sz w:val="20"/>
          <w:szCs w:val="20"/>
        </w:rPr>
        <w:t xml:space="preserve">. </w:t>
      </w:r>
      <w:r w:rsidRPr="00C826DB">
        <w:rPr>
          <w:rFonts w:ascii="Noto Serif" w:hAnsi="Noto Serif" w:cs="Noto Serif"/>
          <w:b/>
          <w:bCs/>
          <w:color w:val="333333"/>
          <w:sz w:val="20"/>
          <w:szCs w:val="20"/>
        </w:rPr>
        <w:t>Termin do złożenia wniosku wynosi 7 dni</w:t>
      </w:r>
      <w:r w:rsidRPr="00C826DB">
        <w:rPr>
          <w:rFonts w:ascii="Noto Serif" w:hAnsi="Noto Serif" w:cs="Noto Serif"/>
          <w:color w:val="333333"/>
          <w:sz w:val="20"/>
          <w:szCs w:val="20"/>
        </w:rPr>
        <w:t xml:space="preserve"> </w:t>
      </w:r>
      <w:r w:rsidRPr="00C826DB">
        <w:rPr>
          <w:rFonts w:ascii="Noto Serif" w:hAnsi="Noto Serif" w:cs="Noto Serif"/>
          <w:b/>
          <w:bCs/>
          <w:color w:val="333333"/>
          <w:sz w:val="20"/>
          <w:szCs w:val="20"/>
        </w:rPr>
        <w:t>od dnia doręczenia zawiadomienia</w:t>
      </w:r>
      <w:r w:rsidRPr="00C826DB">
        <w:rPr>
          <w:rFonts w:ascii="Noto Serif" w:hAnsi="Noto Serif" w:cs="Noto Serif"/>
          <w:color w:val="333333"/>
          <w:sz w:val="20"/>
          <w:szCs w:val="20"/>
        </w:rPr>
        <w:t xml:space="preserve"> albo wezwania na posiedzenie. Zarządzając przeprowadzenie posiedzenia zdalnego, przewodniczący może zastrzec, że określona osoba weźmie udział w posiedzeniu zdalnym poza budynkiem sądu prowadzącego postępowanie, jeżeli będzie przebywać w budynku innego sądu. O treści zarządzeń, o których mowa w zdaniach poprzedzających, w tym zmierzających do przeprowadzenia dowodu w sposób zdalny, o odmowie uwzględnienia wniosku lub zmianie zarządzeń w tym przedmiocie informuje się w sposób przewidziany w </w:t>
      </w:r>
      <w:hyperlink r:id="rId91" w:history="1">
        <w:r w:rsidRPr="00C826DB">
          <w:rPr>
            <w:rStyle w:val="Hipercze"/>
            <w:rFonts w:ascii="Noto Serif" w:hAnsi="Noto Serif" w:cs="Noto Serif"/>
            <w:color w:val="CC0000"/>
            <w:sz w:val="20"/>
            <w:szCs w:val="20"/>
          </w:rPr>
          <w:t>art. 149</w:t>
        </w:r>
        <w:r w:rsidRPr="00C826DB">
          <w:rPr>
            <w:rStyle w:val="Hipercze"/>
            <w:rFonts w:ascii="Noto Serif" w:hAnsi="Noto Serif" w:cs="Noto Serif"/>
            <w:color w:val="CC0000"/>
            <w:sz w:val="20"/>
            <w:szCs w:val="20"/>
            <w:vertAlign w:val="superscript"/>
          </w:rPr>
          <w:t>1</w:t>
        </w:r>
      </w:hyperlink>
      <w:r w:rsidRPr="00C826DB">
        <w:rPr>
          <w:rFonts w:ascii="Noto Serif" w:hAnsi="Noto Serif" w:cs="Noto Serif"/>
          <w:color w:val="333333"/>
          <w:sz w:val="20"/>
          <w:szCs w:val="20"/>
        </w:rPr>
        <w:t>.</w:t>
      </w:r>
    </w:p>
    <w:p w14:paraId="24B8A188"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70" w:name="mip69711729"/>
      <w:bookmarkEnd w:id="70"/>
      <w:r w:rsidRPr="00C826DB">
        <w:rPr>
          <w:rFonts w:ascii="Noto Serif" w:hAnsi="Noto Serif" w:cs="Noto Serif"/>
          <w:color w:val="333333"/>
          <w:sz w:val="20"/>
          <w:szCs w:val="20"/>
        </w:rPr>
        <w:t>§ 4.</w:t>
      </w:r>
      <w:hyperlink r:id="rId92" w:history="1">
        <w:r w:rsidRPr="00C826DB">
          <w:rPr>
            <w:rStyle w:val="Hipercze"/>
            <w:rFonts w:ascii="Noto Serif" w:hAnsi="Noto Serif" w:cs="Noto Serif"/>
            <w:color w:val="CC0000"/>
            <w:sz w:val="20"/>
            <w:szCs w:val="20"/>
            <w:vertAlign w:val="superscript"/>
          </w:rPr>
          <w:t>18)</w:t>
        </w:r>
      </w:hyperlink>
      <w:r w:rsidRPr="00C826DB">
        <w:rPr>
          <w:rFonts w:ascii="Noto Serif" w:hAnsi="Noto Serif" w:cs="Noto Serif"/>
          <w:color w:val="333333"/>
          <w:sz w:val="20"/>
          <w:szCs w:val="20"/>
        </w:rPr>
        <w:t> Przewodniczący może zarządzić, że osoba pozbawiona wolności będzie uczestniczyć w czynnościach procesowych wyłącznie w ramach posiedzenia zdalnego. W takim przypadku w miejscu przebywania tej osoby bierze udział w posiedzeniu zdalnym przedstawiciel administracji zakładu karnego lub aresztu śledczego, pełnomocnik, jeżeli został ustanowiony, oraz tłumacz, jeżeli został powołany. Przepis powyższy stosuje się odpowiednio do osób objętych postępowaniem terapeutycznym na podstawie odrębnych przepisów.</w:t>
      </w:r>
    </w:p>
    <w:p w14:paraId="5A19AC7B"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71" w:name="mip69711730"/>
      <w:bookmarkEnd w:id="71"/>
      <w:r w:rsidRPr="00C826DB">
        <w:rPr>
          <w:rFonts w:ascii="Noto Serif" w:hAnsi="Noto Serif" w:cs="Noto Serif"/>
          <w:color w:val="333333"/>
          <w:sz w:val="20"/>
          <w:szCs w:val="20"/>
        </w:rPr>
        <w:t>§ 5.</w:t>
      </w:r>
      <w:hyperlink r:id="rId93" w:history="1">
        <w:r w:rsidRPr="00C826DB">
          <w:rPr>
            <w:rStyle w:val="Hipercze"/>
            <w:rFonts w:ascii="Noto Serif" w:hAnsi="Noto Serif" w:cs="Noto Serif"/>
            <w:color w:val="CC0000"/>
            <w:sz w:val="20"/>
            <w:szCs w:val="20"/>
            <w:vertAlign w:val="superscript"/>
          </w:rPr>
          <w:t>19)</w:t>
        </w:r>
      </w:hyperlink>
      <w:r w:rsidRPr="00C826DB">
        <w:rPr>
          <w:rFonts w:ascii="Noto Serif" w:hAnsi="Noto Serif" w:cs="Noto Serif"/>
          <w:color w:val="333333"/>
          <w:sz w:val="20"/>
          <w:szCs w:val="20"/>
        </w:rPr>
        <w:t xml:space="preserve"> Wzywając na posiedzenie zdalne, </w:t>
      </w:r>
      <w:r w:rsidRPr="00C826DB">
        <w:rPr>
          <w:rFonts w:ascii="Noto Serif" w:hAnsi="Noto Serif" w:cs="Noto Serif"/>
          <w:b/>
          <w:bCs/>
          <w:color w:val="333333"/>
          <w:sz w:val="20"/>
          <w:szCs w:val="20"/>
        </w:rPr>
        <w:t>informuje się jego uczestników o możliwości stawiennictwa na sali sądowej</w:t>
      </w:r>
      <w:r w:rsidRPr="00C826DB">
        <w:rPr>
          <w:rFonts w:ascii="Noto Serif" w:hAnsi="Noto Serif" w:cs="Noto Serif"/>
          <w:color w:val="333333"/>
          <w:sz w:val="20"/>
          <w:szCs w:val="20"/>
        </w:rPr>
        <w:t xml:space="preserve"> lub </w:t>
      </w:r>
      <w:r w:rsidRPr="00C826DB">
        <w:rPr>
          <w:rFonts w:ascii="Noto Serif" w:hAnsi="Noto Serif" w:cs="Noto Serif"/>
          <w:b/>
          <w:bCs/>
          <w:color w:val="333333"/>
          <w:sz w:val="20"/>
          <w:szCs w:val="20"/>
        </w:rPr>
        <w:t>zgłoszenia zamiaru zdalnego udziału</w:t>
      </w:r>
      <w:r w:rsidRPr="00C826DB">
        <w:rPr>
          <w:rFonts w:ascii="Noto Serif" w:hAnsi="Noto Serif" w:cs="Noto Serif"/>
          <w:color w:val="333333"/>
          <w:sz w:val="20"/>
          <w:szCs w:val="20"/>
        </w:rPr>
        <w:t xml:space="preserve"> w posiedzeniu, a także poucza się, że zamiar ten należy zgłosić najpóźniej na 3 dni robocze przed wyznaczonym terminem posiedzenia oraz że do skutecznego zgłoszenia wystarcza zachowanie formy określonej w </w:t>
      </w:r>
      <w:hyperlink r:id="rId94" w:history="1">
        <w:r w:rsidRPr="00C826DB">
          <w:rPr>
            <w:rStyle w:val="Hipercze"/>
            <w:rFonts w:ascii="Noto Serif" w:hAnsi="Noto Serif" w:cs="Noto Serif"/>
            <w:color w:val="CC0000"/>
            <w:sz w:val="20"/>
            <w:szCs w:val="20"/>
          </w:rPr>
          <w:t>art. 226</w:t>
        </w:r>
        <w:r w:rsidRPr="00C826DB">
          <w:rPr>
            <w:rStyle w:val="Hipercze"/>
            <w:rFonts w:ascii="Noto Serif" w:hAnsi="Noto Serif" w:cs="Noto Serif"/>
            <w:color w:val="CC0000"/>
            <w:sz w:val="20"/>
            <w:szCs w:val="20"/>
            <w:vertAlign w:val="superscript"/>
          </w:rPr>
          <w:t>1</w:t>
        </w:r>
        <w:r w:rsidRPr="00C826DB">
          <w:rPr>
            <w:rStyle w:val="Hipercze"/>
            <w:rFonts w:ascii="Noto Serif" w:hAnsi="Noto Serif" w:cs="Noto Serif"/>
            <w:color w:val="CC0000"/>
            <w:sz w:val="20"/>
            <w:szCs w:val="20"/>
          </w:rPr>
          <w:t> pkt 2 lit. b</w:t>
        </w:r>
      </w:hyperlink>
      <w:r w:rsidRPr="00C826DB">
        <w:rPr>
          <w:rFonts w:ascii="Noto Serif" w:hAnsi="Noto Serif" w:cs="Noto Serif"/>
          <w:color w:val="333333"/>
          <w:sz w:val="20"/>
          <w:szCs w:val="20"/>
        </w:rPr>
        <w:t>, przy jednoczesnym wskazaniu adresu poczty elektronicznej. W takim przypadku informuje się także co najmniej na 24 godziny przed terminem posiedzenia o treści § 2, 3 oraz 6-8, adresie strony internetowej zawierającej obwieszczenie, o którym mowa w § 9, oraz o sposobie przyłączenia się do posiedzenia zdalnego. Obowiązek zgłoszenia zamiaru zdalnego udziału w posiedzeniu nie dotyczy osoby pozbawionej wolności. Powyższe stosuje się odpowiednio do uczestników zgłaszających swój udział w posiedzeniu w charakterze publiczności lub osób zaufania.</w:t>
      </w:r>
    </w:p>
    <w:p w14:paraId="25FACEDD"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72" w:name="mip69711731"/>
      <w:bookmarkEnd w:id="72"/>
      <w:r w:rsidRPr="00C826DB">
        <w:rPr>
          <w:rFonts w:ascii="Noto Serif" w:hAnsi="Noto Serif" w:cs="Noto Serif"/>
          <w:color w:val="333333"/>
          <w:sz w:val="20"/>
          <w:szCs w:val="20"/>
        </w:rPr>
        <w:t>§ 6.</w:t>
      </w:r>
      <w:hyperlink r:id="rId95" w:history="1">
        <w:r w:rsidRPr="00C826DB">
          <w:rPr>
            <w:rStyle w:val="Hipercze"/>
            <w:rFonts w:ascii="Noto Serif" w:hAnsi="Noto Serif" w:cs="Noto Serif"/>
            <w:color w:val="CC0000"/>
            <w:sz w:val="20"/>
            <w:szCs w:val="20"/>
            <w:vertAlign w:val="superscript"/>
          </w:rPr>
          <w:t>20)</w:t>
        </w:r>
      </w:hyperlink>
      <w:r w:rsidRPr="00C826DB">
        <w:rPr>
          <w:rFonts w:ascii="Noto Serif" w:hAnsi="Noto Serif" w:cs="Noto Serif"/>
          <w:color w:val="333333"/>
          <w:sz w:val="20"/>
          <w:szCs w:val="20"/>
        </w:rPr>
        <w:t> Osoba, która nie zgłosiła skutecznie wniosku, o którym mowa w § 3 zdanie pierwsze, albo nie zgłosiła zamiaru zdalnego udziału w posiedzeniu zgodnie z § 5 zdanie pierwsze, ma obowiązek stawić się na posiedzeniu w budynku sądu prowadzącego postępowanie bez dodatkowego wezwania.</w:t>
      </w:r>
    </w:p>
    <w:p w14:paraId="21DEC882"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73" w:name="mip69711732"/>
      <w:bookmarkEnd w:id="73"/>
      <w:r w:rsidRPr="00C826DB">
        <w:rPr>
          <w:rFonts w:ascii="Noto Serif" w:hAnsi="Noto Serif" w:cs="Noto Serif"/>
          <w:color w:val="333333"/>
          <w:sz w:val="20"/>
          <w:szCs w:val="20"/>
        </w:rPr>
        <w:t>§ 7.</w:t>
      </w:r>
      <w:hyperlink r:id="rId96" w:history="1">
        <w:r w:rsidRPr="00C826DB">
          <w:rPr>
            <w:rStyle w:val="Hipercze"/>
            <w:rFonts w:ascii="Noto Serif" w:hAnsi="Noto Serif" w:cs="Noto Serif"/>
            <w:color w:val="CC0000"/>
            <w:sz w:val="20"/>
            <w:szCs w:val="20"/>
            <w:vertAlign w:val="superscript"/>
          </w:rPr>
          <w:t>21)</w:t>
        </w:r>
      </w:hyperlink>
      <w:r w:rsidRPr="00C826DB">
        <w:rPr>
          <w:rFonts w:ascii="Noto Serif" w:hAnsi="Noto Serif" w:cs="Noto Serif"/>
          <w:color w:val="333333"/>
          <w:sz w:val="20"/>
          <w:szCs w:val="20"/>
        </w:rPr>
        <w:t> Czynności procesowe dokonane w trakcie posiedzenia zdalnego przez strony i innych uczestników przebywających poza salą sądu prowadzącego postępowanie są skuteczne, chyba że ustawa wymaga ich dokonania w formie pisemnej.</w:t>
      </w:r>
    </w:p>
    <w:p w14:paraId="7ABEDCFE"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74" w:name="mip69711733"/>
      <w:bookmarkEnd w:id="74"/>
      <w:r w:rsidRPr="00C826DB">
        <w:rPr>
          <w:rFonts w:ascii="Noto Serif" w:hAnsi="Noto Serif" w:cs="Noto Serif"/>
          <w:color w:val="333333"/>
          <w:sz w:val="20"/>
          <w:szCs w:val="20"/>
        </w:rPr>
        <w:t>§ 8.</w:t>
      </w:r>
      <w:hyperlink r:id="rId97" w:history="1">
        <w:r w:rsidRPr="00C826DB">
          <w:rPr>
            <w:rStyle w:val="Hipercze"/>
            <w:rFonts w:ascii="Noto Serif" w:hAnsi="Noto Serif" w:cs="Noto Serif"/>
            <w:color w:val="CC0000"/>
            <w:sz w:val="20"/>
            <w:szCs w:val="20"/>
            <w:vertAlign w:val="superscript"/>
          </w:rPr>
          <w:t>22)</w:t>
        </w:r>
      </w:hyperlink>
      <w:r w:rsidRPr="00C826DB">
        <w:rPr>
          <w:rFonts w:ascii="Noto Serif" w:hAnsi="Noto Serif" w:cs="Noto Serif"/>
          <w:color w:val="333333"/>
          <w:sz w:val="20"/>
          <w:szCs w:val="20"/>
        </w:rPr>
        <w:t> Osoba biorąca udział w posiedzeniu zdalnym przebywająca poza budynkiem sądu jest zobowiązana poinformować sąd o miejscu, w którym przebywa, oraz dołożyć wszelkich starań, aby warunki w miejscu jej pobytu licowały z powagą sądu i nie stanowiły przeszkody do dokonania czynności procesowych z jej udziałem. W razie odmowy podania wskazanej informacji lub jeżeli zachowanie tej osoby budzi uzasadnione wątpliwości co do prawidłowego przebiegu czynności dokonanych zdalnie z jej udziałem, sąd może wezwać tę osobę do osobistego stawiennictwa na sali sądowej.</w:t>
      </w:r>
    </w:p>
    <w:p w14:paraId="0730FE34" w14:textId="77777777" w:rsidR="00950937" w:rsidRPr="00C826DB" w:rsidRDefault="00950937" w:rsidP="00B23714">
      <w:pPr>
        <w:shd w:val="clear" w:color="auto" w:fill="FFFFFF"/>
        <w:spacing w:after="0"/>
        <w:ind w:left="567"/>
        <w:rPr>
          <w:rFonts w:ascii="Noto Serif" w:hAnsi="Noto Serif" w:cs="Noto Serif"/>
          <w:color w:val="333333"/>
          <w:sz w:val="20"/>
          <w:szCs w:val="20"/>
        </w:rPr>
      </w:pPr>
      <w:bookmarkStart w:id="75" w:name="mip69711734"/>
      <w:bookmarkEnd w:id="75"/>
      <w:r w:rsidRPr="00C826DB">
        <w:rPr>
          <w:rFonts w:ascii="Noto Serif" w:hAnsi="Noto Serif" w:cs="Noto Serif"/>
          <w:color w:val="333333"/>
          <w:sz w:val="20"/>
          <w:szCs w:val="20"/>
        </w:rPr>
        <w:lastRenderedPageBreak/>
        <w:t>§ 9.</w:t>
      </w:r>
      <w:hyperlink r:id="rId98" w:history="1">
        <w:r w:rsidRPr="00C826DB">
          <w:rPr>
            <w:rStyle w:val="Hipercze"/>
            <w:rFonts w:ascii="Noto Serif" w:hAnsi="Noto Serif" w:cs="Noto Serif"/>
            <w:color w:val="CC0000"/>
            <w:sz w:val="20"/>
            <w:szCs w:val="20"/>
            <w:vertAlign w:val="superscript"/>
          </w:rPr>
          <w:t>23)</w:t>
        </w:r>
      </w:hyperlink>
      <w:r w:rsidRPr="00C826DB">
        <w:rPr>
          <w:rFonts w:ascii="Noto Serif" w:hAnsi="Noto Serif" w:cs="Noto Serif"/>
          <w:color w:val="333333"/>
          <w:sz w:val="20"/>
          <w:szCs w:val="20"/>
        </w:rPr>
        <w:t> Minister Sprawiedliwości podaje, w drodze obwieszczenia, na stronie podmiotowej Biuletynu Informacji Publicznej informacje o standardach technicznych oprogramowania i wymaganiach sprzętowych niezbędnych do uczestniczenia w posiedzeniu zdalnym.</w:t>
      </w:r>
    </w:p>
    <w:p w14:paraId="764AB25F" w14:textId="77777777" w:rsidR="00233C06" w:rsidRPr="00233C06" w:rsidRDefault="00233C06" w:rsidP="000420EF">
      <w:pPr>
        <w:spacing w:after="0" w:line="240" w:lineRule="auto"/>
        <w:jc w:val="center"/>
        <w:rPr>
          <w:b/>
          <w:bCs/>
          <w:sz w:val="18"/>
          <w:szCs w:val="18"/>
        </w:rPr>
      </w:pPr>
      <w:bookmarkStart w:id="76" w:name="_Hlk170041208"/>
    </w:p>
    <w:p w14:paraId="6A157829" w14:textId="0113F92C" w:rsidR="00950937" w:rsidRDefault="000420EF" w:rsidP="000420EF">
      <w:pPr>
        <w:spacing w:after="0" w:line="240" w:lineRule="auto"/>
        <w:jc w:val="center"/>
        <w:rPr>
          <w:b/>
          <w:bCs/>
          <w:sz w:val="24"/>
          <w:szCs w:val="24"/>
        </w:rPr>
      </w:pPr>
      <w:r w:rsidRPr="000420EF">
        <w:rPr>
          <w:b/>
          <w:bCs/>
          <w:noProof/>
          <w:sz w:val="24"/>
          <w:szCs w:val="24"/>
        </w:rPr>
        <w:drawing>
          <wp:inline distT="0" distB="0" distL="0" distR="0" wp14:anchorId="3DBF2B96" wp14:editId="69F800D1">
            <wp:extent cx="409632" cy="152421"/>
            <wp:effectExtent l="0" t="0" r="9525" b="0"/>
            <wp:docPr id="21251536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153605" name=""/>
                    <pic:cNvPicPr/>
                  </pic:nvPicPr>
                  <pic:blipFill>
                    <a:blip r:embed="rId74"/>
                    <a:stretch>
                      <a:fillRect/>
                    </a:stretch>
                  </pic:blipFill>
                  <pic:spPr>
                    <a:xfrm>
                      <a:off x="0" y="0"/>
                      <a:ext cx="409632" cy="152421"/>
                    </a:xfrm>
                    <a:prstGeom prst="rect">
                      <a:avLst/>
                    </a:prstGeom>
                  </pic:spPr>
                </pic:pic>
              </a:graphicData>
            </a:graphic>
          </wp:inline>
        </w:drawing>
      </w:r>
    </w:p>
    <w:p w14:paraId="35BF25A5" w14:textId="77777777" w:rsidR="00233C06" w:rsidRDefault="00233C06" w:rsidP="00173786">
      <w:pPr>
        <w:spacing w:after="0" w:line="240" w:lineRule="auto"/>
        <w:rPr>
          <w:b/>
          <w:bCs/>
          <w:sz w:val="24"/>
          <w:szCs w:val="24"/>
        </w:rPr>
      </w:pPr>
      <w:bookmarkStart w:id="77" w:name="_Hlk169236522"/>
    </w:p>
    <w:p w14:paraId="50F10F9E" w14:textId="77777777" w:rsidR="00233C06" w:rsidRDefault="00A05F2A" w:rsidP="00384ACE">
      <w:pPr>
        <w:spacing w:after="0" w:line="240" w:lineRule="auto"/>
        <w:rPr>
          <w:b/>
          <w:bCs/>
          <w:kern w:val="0"/>
          <w:sz w:val="24"/>
          <w:szCs w:val="24"/>
        </w:rPr>
      </w:pPr>
      <w:r>
        <w:rPr>
          <w:b/>
          <w:bCs/>
          <w:sz w:val="24"/>
          <w:szCs w:val="24"/>
        </w:rPr>
        <w:t>Podsumowanie u</w:t>
      </w:r>
      <w:r w:rsidR="00950937" w:rsidRPr="00BF4D1E">
        <w:rPr>
          <w:b/>
          <w:bCs/>
          <w:sz w:val="24"/>
          <w:szCs w:val="24"/>
        </w:rPr>
        <w:t>wag Redakcji</w:t>
      </w:r>
      <w:r w:rsidR="00950937" w:rsidRPr="003F02D6">
        <w:rPr>
          <w:sz w:val="24"/>
          <w:szCs w:val="24"/>
        </w:rPr>
        <w:t>:</w:t>
      </w:r>
      <w:r w:rsidR="00233C06">
        <w:rPr>
          <w:b/>
          <w:bCs/>
          <w:kern w:val="0"/>
          <w:sz w:val="24"/>
          <w:szCs w:val="24"/>
        </w:rPr>
        <w:t xml:space="preserve"> </w:t>
      </w:r>
    </w:p>
    <w:p w14:paraId="30BD8EAC" w14:textId="2AA9D8DB" w:rsidR="005B1FA8" w:rsidRPr="00233C06" w:rsidRDefault="00BF4D1E" w:rsidP="00384ACE">
      <w:pPr>
        <w:pStyle w:val="nrbrzegowy2"/>
        <w:ind w:left="0" w:hanging="851"/>
        <w:rPr>
          <w:b/>
        </w:rPr>
      </w:pPr>
      <w:r w:rsidRPr="00142F5E">
        <w:t xml:space="preserve">Urząd Patentowy </w:t>
      </w:r>
      <w:r w:rsidR="00142F5E" w:rsidRPr="00142F5E">
        <w:t xml:space="preserve">RP </w:t>
      </w:r>
      <w:r w:rsidRPr="00142F5E">
        <w:t>winien zapewniać stronom możliwość uczestniczenia w posiedzeniu w trybie zdalnym</w:t>
      </w:r>
      <w:r w:rsidR="00F57A2D">
        <w:t xml:space="preserve"> i nie powinien uzależniać tej możliwości od zgody przeciwnika</w:t>
      </w:r>
      <w:r w:rsidRPr="00142F5E">
        <w:t>.</w:t>
      </w:r>
      <w:r w:rsidR="00822936">
        <w:t xml:space="preserve"> </w:t>
      </w:r>
    </w:p>
    <w:p w14:paraId="33AAE8D9" w14:textId="60302466" w:rsidR="00173786" w:rsidRPr="00017FFD" w:rsidRDefault="003A15CD" w:rsidP="00384ACE">
      <w:pPr>
        <w:pStyle w:val="nrbrzegowy2"/>
        <w:numPr>
          <w:ilvl w:val="0"/>
          <w:numId w:val="0"/>
        </w:numPr>
        <w:rPr>
          <w:b/>
          <w:color w:val="2E74B5" w:themeColor="accent5" w:themeShade="BF"/>
          <w:lang w:val="en-US"/>
        </w:rPr>
      </w:pPr>
      <w:r w:rsidRPr="00017FFD">
        <w:rPr>
          <w:b/>
          <w:color w:val="2E74B5" w:themeColor="accent5" w:themeShade="BF"/>
          <w:lang w:val="en-US"/>
        </w:rPr>
        <w:t>Conclusion</w:t>
      </w:r>
      <w:r w:rsidR="00171978">
        <w:rPr>
          <w:b/>
          <w:color w:val="2E74B5" w:themeColor="accent5" w:themeShade="BF"/>
          <w:lang w:val="en-US"/>
        </w:rPr>
        <w:t xml:space="preserve"> of</w:t>
      </w:r>
      <w:r w:rsidRPr="00017FFD">
        <w:rPr>
          <w:b/>
          <w:color w:val="2E74B5" w:themeColor="accent5" w:themeShade="BF"/>
          <w:lang w:val="en-US"/>
        </w:rPr>
        <w:t xml:space="preserve"> </w:t>
      </w:r>
      <w:r w:rsidR="00173786" w:rsidRPr="00017FFD">
        <w:rPr>
          <w:b/>
          <w:color w:val="2E74B5" w:themeColor="accent5" w:themeShade="BF"/>
          <w:lang w:val="en-US"/>
        </w:rPr>
        <w:t xml:space="preserve">Editor's </w:t>
      </w:r>
      <w:r w:rsidR="00385188" w:rsidRPr="00017FFD">
        <w:rPr>
          <w:b/>
          <w:color w:val="2E74B5" w:themeColor="accent5" w:themeShade="BF"/>
          <w:lang w:val="en-US"/>
        </w:rPr>
        <w:t>N</w:t>
      </w:r>
      <w:r w:rsidR="00173786" w:rsidRPr="00017FFD">
        <w:rPr>
          <w:b/>
          <w:color w:val="2E74B5" w:themeColor="accent5" w:themeShade="BF"/>
          <w:lang w:val="en-US"/>
        </w:rPr>
        <w:t>ote:</w:t>
      </w:r>
    </w:p>
    <w:bookmarkEnd w:id="76"/>
    <w:bookmarkEnd w:id="77"/>
    <w:p w14:paraId="71B9B88B" w14:textId="77777777" w:rsidR="00385188" w:rsidRPr="00233C06" w:rsidRDefault="005B1FA8" w:rsidP="00384ACE">
      <w:pPr>
        <w:pStyle w:val="nrbrzegowy2"/>
        <w:numPr>
          <w:ilvl w:val="0"/>
          <w:numId w:val="0"/>
        </w:numPr>
        <w:rPr>
          <w:color w:val="2E74B5" w:themeColor="accent5" w:themeShade="BF"/>
          <w:lang w:val="en-US"/>
        </w:rPr>
      </w:pPr>
      <w:r w:rsidRPr="00017FFD">
        <w:rPr>
          <w:color w:val="2E74B5" w:themeColor="accent5" w:themeShade="BF"/>
          <w:lang w:val="en-US"/>
        </w:rPr>
        <w:t>The Patent Office of the Republic of Poland should provide the parties with the opportunity to participate in the hearing remotely</w:t>
      </w:r>
      <w:r w:rsidR="00385188" w:rsidRPr="00017FFD">
        <w:rPr>
          <w:color w:val="2E74B5" w:themeColor="accent5" w:themeShade="BF"/>
          <w:lang w:val="en-US"/>
        </w:rPr>
        <w:t xml:space="preserve"> and should not make this possibility dependent on the agreement of another party</w:t>
      </w:r>
      <w:r w:rsidR="00385188" w:rsidRPr="00233C06">
        <w:rPr>
          <w:color w:val="2E74B5" w:themeColor="accent5" w:themeShade="BF"/>
          <w:lang w:val="en-US"/>
        </w:rPr>
        <w:t xml:space="preserve">. </w:t>
      </w:r>
    </w:p>
    <w:p w14:paraId="682B0B6C" w14:textId="77777777" w:rsidR="00C826DB" w:rsidRDefault="00C826DB" w:rsidP="00384ACE">
      <w:pPr>
        <w:pStyle w:val="nrbrzegowy2"/>
        <w:ind w:left="0" w:hanging="851"/>
        <w:rPr>
          <w:b/>
        </w:rPr>
      </w:pPr>
      <w:r w:rsidRPr="00BE68D9">
        <w:rPr>
          <w:rFonts w:cstheme="minorHAnsi"/>
        </w:rPr>
        <w:t>Tymczasem</w:t>
      </w:r>
      <w:r>
        <w:rPr>
          <w:rFonts w:cstheme="minorHAnsi"/>
          <w:b/>
        </w:rPr>
        <w:t xml:space="preserve"> </w:t>
      </w:r>
      <w:r w:rsidRPr="00320EA0">
        <w:rPr>
          <w:rFonts w:cstheme="minorHAnsi"/>
          <w:b/>
        </w:rPr>
        <w:t>Urząd Patentowy RP</w:t>
      </w:r>
      <w:r>
        <w:rPr>
          <w:rFonts w:cstheme="minorHAnsi"/>
        </w:rPr>
        <w:t xml:space="preserve"> (który znajduje się </w:t>
      </w:r>
      <w:r w:rsidRPr="00320EA0">
        <w:rPr>
          <w:rFonts w:cstheme="minorHAnsi"/>
          <w:b/>
        </w:rPr>
        <w:t>w Warszawie</w:t>
      </w:r>
      <w:r>
        <w:rPr>
          <w:rFonts w:cstheme="minorHAnsi"/>
        </w:rPr>
        <w:t xml:space="preserve"> i który </w:t>
      </w:r>
      <w:r w:rsidRPr="00320EA0">
        <w:rPr>
          <w:rFonts w:cstheme="minorHAnsi"/>
          <w:b/>
        </w:rPr>
        <w:t xml:space="preserve">miał podpowiedzieć ustawodawcy rozwiązania </w:t>
      </w:r>
      <w:r>
        <w:rPr>
          <w:rFonts w:cstheme="minorHAnsi"/>
        </w:rPr>
        <w:t xml:space="preserve">ustalające </w:t>
      </w:r>
      <w:r w:rsidRPr="00320EA0">
        <w:rPr>
          <w:rFonts w:cstheme="minorHAnsi"/>
          <w:b/>
        </w:rPr>
        <w:t>zasady prowadzenia rozpraw zdalnych</w:t>
      </w:r>
      <w:r>
        <w:rPr>
          <w:rFonts w:cstheme="minorHAnsi"/>
        </w:rPr>
        <w:t xml:space="preserve">) zbudował instytucję, </w:t>
      </w:r>
      <w:r w:rsidRPr="00320EA0">
        <w:rPr>
          <w:rFonts w:cstheme="minorHAnsi"/>
          <w:b/>
        </w:rPr>
        <w:t>wygodną dla warszawskich kancelarii</w:t>
      </w:r>
      <w:r>
        <w:rPr>
          <w:rFonts w:cstheme="minorHAnsi"/>
        </w:rPr>
        <w:t xml:space="preserve"> prawnych i patentowych oraz </w:t>
      </w:r>
      <w:r w:rsidRPr="00320EA0">
        <w:rPr>
          <w:rFonts w:cstheme="minorHAnsi"/>
          <w:b/>
        </w:rPr>
        <w:t>w istocie martwą</w:t>
      </w:r>
      <w:r>
        <w:rPr>
          <w:rFonts w:cstheme="minorHAnsi"/>
          <w:b/>
        </w:rPr>
        <w:t>.</w:t>
      </w:r>
    </w:p>
    <w:p w14:paraId="350FE0B9" w14:textId="056CCFCB" w:rsidR="005B1FA8" w:rsidRPr="00017FFD" w:rsidRDefault="00385188" w:rsidP="00384ACE">
      <w:pPr>
        <w:pStyle w:val="nrbrzegowy2"/>
        <w:numPr>
          <w:ilvl w:val="0"/>
          <w:numId w:val="0"/>
        </w:numPr>
        <w:rPr>
          <w:color w:val="2E74B5" w:themeColor="accent5" w:themeShade="BF"/>
          <w:lang w:val="en-US"/>
        </w:rPr>
      </w:pPr>
      <w:r w:rsidRPr="00017FFD">
        <w:rPr>
          <w:color w:val="2E74B5" w:themeColor="accent5" w:themeShade="BF"/>
          <w:lang w:val="en-US"/>
        </w:rPr>
        <w:t xml:space="preserve">Meanwhile, the </w:t>
      </w:r>
      <w:r w:rsidRPr="00017FFD">
        <w:rPr>
          <w:b/>
          <w:color w:val="2E74B5" w:themeColor="accent5" w:themeShade="BF"/>
          <w:lang w:val="en-US"/>
        </w:rPr>
        <w:t>Patent Office of the Republic of Poland</w:t>
      </w:r>
      <w:r w:rsidRPr="00017FFD">
        <w:rPr>
          <w:color w:val="2E74B5" w:themeColor="accent5" w:themeShade="BF"/>
          <w:lang w:val="en-US"/>
        </w:rPr>
        <w:t xml:space="preserve"> (which is located </w:t>
      </w:r>
      <w:r w:rsidRPr="00017FFD">
        <w:rPr>
          <w:b/>
          <w:color w:val="2E74B5" w:themeColor="accent5" w:themeShade="BF"/>
          <w:lang w:val="en-US"/>
        </w:rPr>
        <w:t xml:space="preserve">in </w:t>
      </w:r>
      <w:proofErr w:type="gramStart"/>
      <w:r w:rsidRPr="00017FFD">
        <w:rPr>
          <w:b/>
          <w:color w:val="2E74B5" w:themeColor="accent5" w:themeShade="BF"/>
          <w:lang w:val="en-US"/>
        </w:rPr>
        <w:t>Warsaw</w:t>
      </w:r>
      <w:proofErr w:type="gramEnd"/>
      <w:r w:rsidRPr="00017FFD">
        <w:rPr>
          <w:color w:val="2E74B5" w:themeColor="accent5" w:themeShade="BF"/>
          <w:lang w:val="en-US"/>
        </w:rPr>
        <w:t xml:space="preserve"> and which </w:t>
      </w:r>
      <w:r w:rsidRPr="00017FFD">
        <w:rPr>
          <w:b/>
          <w:color w:val="2E74B5" w:themeColor="accent5" w:themeShade="BF"/>
          <w:lang w:val="en-US"/>
        </w:rPr>
        <w:t>was supposed to suggest solutions to the legislator establishing</w:t>
      </w:r>
      <w:r w:rsidRPr="00017FFD">
        <w:rPr>
          <w:color w:val="2E74B5" w:themeColor="accent5" w:themeShade="BF"/>
          <w:lang w:val="en-US"/>
        </w:rPr>
        <w:t xml:space="preserve"> the rules for conducting remote hearings) has built an institution, </w:t>
      </w:r>
      <w:r w:rsidRPr="00017FFD">
        <w:rPr>
          <w:b/>
          <w:color w:val="2E74B5" w:themeColor="accent5" w:themeShade="BF"/>
          <w:lang w:val="en-US"/>
        </w:rPr>
        <w:t>convenient for Warsaw law and patent offices and essentially dead</w:t>
      </w:r>
      <w:r w:rsidRPr="00017FFD">
        <w:rPr>
          <w:color w:val="2E74B5" w:themeColor="accent5" w:themeShade="BF"/>
          <w:lang w:val="en-US"/>
        </w:rPr>
        <w:t>.</w:t>
      </w:r>
      <w:r w:rsidR="005B1FA8" w:rsidRPr="00017FFD">
        <w:rPr>
          <w:color w:val="2E74B5" w:themeColor="accent5" w:themeShade="BF"/>
          <w:lang w:val="en-US"/>
        </w:rPr>
        <w:t xml:space="preserve"> </w:t>
      </w:r>
    </w:p>
    <w:p w14:paraId="4A47888D" w14:textId="77777777" w:rsidR="00695889" w:rsidRPr="00233C06" w:rsidRDefault="00695889" w:rsidP="00384ACE">
      <w:pPr>
        <w:spacing w:after="0" w:line="240" w:lineRule="auto"/>
        <w:ind w:hanging="851"/>
        <w:rPr>
          <w:color w:val="0070C0"/>
          <w:kern w:val="0"/>
          <w:sz w:val="6"/>
          <w:szCs w:val="6"/>
          <w:lang w:val="en-US"/>
        </w:rPr>
      </w:pPr>
    </w:p>
    <w:p w14:paraId="08CD0F1A" w14:textId="53BFA9F1" w:rsidR="00173786" w:rsidRDefault="00173786" w:rsidP="00384ACE">
      <w:pPr>
        <w:spacing w:after="0" w:line="240" w:lineRule="auto"/>
        <w:rPr>
          <w:sz w:val="24"/>
          <w:szCs w:val="24"/>
        </w:rPr>
      </w:pPr>
      <w:r>
        <w:rPr>
          <w:b/>
          <w:bCs/>
          <w:kern w:val="0"/>
          <w:sz w:val="24"/>
          <w:szCs w:val="24"/>
        </w:rPr>
        <w:t>P</w:t>
      </w:r>
      <w:r w:rsidRPr="00BB6DF4">
        <w:rPr>
          <w:b/>
          <w:bCs/>
          <w:kern w:val="0"/>
          <w:sz w:val="24"/>
          <w:szCs w:val="24"/>
        </w:rPr>
        <w:t>ojęcia kluczowe</w:t>
      </w:r>
      <w:r w:rsidRPr="00BB6DF4">
        <w:rPr>
          <w:kern w:val="0"/>
          <w:sz w:val="24"/>
          <w:szCs w:val="24"/>
        </w:rPr>
        <w:t>:</w:t>
      </w:r>
      <w:r w:rsidRPr="00D15CE8">
        <w:rPr>
          <w:sz w:val="24"/>
          <w:szCs w:val="24"/>
        </w:rPr>
        <w:t xml:space="preserve"> </w:t>
      </w:r>
      <w:r w:rsidRPr="004C137A">
        <w:rPr>
          <w:sz w:val="24"/>
          <w:szCs w:val="24"/>
        </w:rPr>
        <w:t>LIST OTWARTY, URZĄD PATENTOWY RP, ROZPRAWY ZDALNE, ZAWIADOMIENIA O ZMIANIE TERMINU</w:t>
      </w:r>
    </w:p>
    <w:p w14:paraId="1A49B95A" w14:textId="77777777" w:rsidR="00695889" w:rsidRPr="00695889" w:rsidRDefault="00695889" w:rsidP="00384ACE">
      <w:pPr>
        <w:spacing w:after="0" w:line="240" w:lineRule="auto"/>
        <w:ind w:hanging="851"/>
        <w:rPr>
          <w:b/>
          <w:bCs/>
          <w:sz w:val="10"/>
          <w:szCs w:val="10"/>
        </w:rPr>
      </w:pPr>
    </w:p>
    <w:p w14:paraId="485D97A2" w14:textId="354E5CC5" w:rsidR="00506A79" w:rsidRDefault="00506A79" w:rsidP="00384ACE">
      <w:pPr>
        <w:spacing w:after="0" w:line="240" w:lineRule="auto"/>
        <w:rPr>
          <w:rStyle w:val="Hipercze"/>
          <w:color w:val="0070C0"/>
          <w:sz w:val="24"/>
          <w:szCs w:val="24"/>
        </w:rPr>
      </w:pPr>
      <w:r w:rsidRPr="00D15CE8">
        <w:rPr>
          <w:b/>
          <w:bCs/>
          <w:sz w:val="24"/>
          <w:szCs w:val="24"/>
        </w:rPr>
        <w:t>Miejsce publikacji:</w:t>
      </w:r>
      <w:r w:rsidRPr="00D15CE8">
        <w:rPr>
          <w:sz w:val="24"/>
          <w:szCs w:val="24"/>
        </w:rPr>
        <w:t xml:space="preserve"> </w:t>
      </w:r>
      <w:hyperlink r:id="rId99" w:history="1">
        <w:r w:rsidRPr="00385188">
          <w:rPr>
            <w:rStyle w:val="Hipercze"/>
            <w:color w:val="0070C0"/>
            <w:sz w:val="24"/>
            <w:szCs w:val="24"/>
          </w:rPr>
          <w:t>h</w:t>
        </w:r>
        <w:r w:rsidRPr="00384ACE">
          <w:rPr>
            <w:rStyle w:val="Hipercze"/>
            <w:color w:val="2E74B5" w:themeColor="accent5" w:themeShade="BF"/>
            <w:sz w:val="24"/>
            <w:szCs w:val="24"/>
          </w:rPr>
          <w:t>ttps://stowi.pl/list-otwarty-w-sprawie-wprowadzenia-przez-urzad-patentowy-rp-racjonalnego-trybu-znoszenia-terminow-rozpraw/</w:t>
        </w:r>
      </w:hyperlink>
    </w:p>
    <w:p w14:paraId="281106EE" w14:textId="77777777" w:rsidR="00C826DB" w:rsidRDefault="00C826DB" w:rsidP="00506A79">
      <w:pPr>
        <w:spacing w:after="0" w:line="240" w:lineRule="auto"/>
        <w:rPr>
          <w:rStyle w:val="Hipercze"/>
          <w:color w:val="0070C0"/>
          <w:sz w:val="24"/>
          <w:szCs w:val="24"/>
        </w:rPr>
      </w:pPr>
    </w:p>
    <w:p w14:paraId="3033049C" w14:textId="77777777" w:rsidR="00C826DB" w:rsidRDefault="00C826DB" w:rsidP="00506A79">
      <w:pPr>
        <w:spacing w:after="0" w:line="240" w:lineRule="auto"/>
        <w:rPr>
          <w:rStyle w:val="Hipercze"/>
          <w:color w:val="0070C0"/>
          <w:sz w:val="24"/>
          <w:szCs w:val="24"/>
        </w:rPr>
      </w:pPr>
    </w:p>
    <w:p w14:paraId="56A560BA" w14:textId="77777777" w:rsidR="00C826DB" w:rsidRDefault="00C826DB" w:rsidP="00506A79">
      <w:pPr>
        <w:spacing w:after="0" w:line="240" w:lineRule="auto"/>
        <w:rPr>
          <w:rStyle w:val="Hipercze"/>
          <w:color w:val="0070C0"/>
          <w:sz w:val="24"/>
          <w:szCs w:val="24"/>
        </w:rPr>
      </w:pPr>
    </w:p>
    <w:p w14:paraId="4380A98B" w14:textId="77777777" w:rsidR="00C826DB" w:rsidRDefault="00C826DB" w:rsidP="00506A79">
      <w:pPr>
        <w:spacing w:after="0" w:line="240" w:lineRule="auto"/>
        <w:rPr>
          <w:rStyle w:val="Hipercze"/>
          <w:color w:val="0070C0"/>
          <w:sz w:val="24"/>
          <w:szCs w:val="24"/>
        </w:rPr>
      </w:pPr>
    </w:p>
    <w:p w14:paraId="0780F81C" w14:textId="77777777" w:rsidR="00C826DB" w:rsidRDefault="00C826DB" w:rsidP="00506A79">
      <w:pPr>
        <w:spacing w:after="0" w:line="240" w:lineRule="auto"/>
        <w:rPr>
          <w:rStyle w:val="Hipercze"/>
          <w:color w:val="0070C0"/>
          <w:sz w:val="24"/>
          <w:szCs w:val="24"/>
        </w:rPr>
      </w:pPr>
    </w:p>
    <w:p w14:paraId="17F78014" w14:textId="77777777" w:rsidR="00C826DB" w:rsidRDefault="00C826DB" w:rsidP="00506A79">
      <w:pPr>
        <w:spacing w:after="0" w:line="240" w:lineRule="auto"/>
        <w:rPr>
          <w:rStyle w:val="Hipercze"/>
          <w:color w:val="0070C0"/>
          <w:sz w:val="24"/>
          <w:szCs w:val="24"/>
        </w:rPr>
      </w:pPr>
    </w:p>
    <w:p w14:paraId="52D6C9C2" w14:textId="77777777" w:rsidR="00C826DB" w:rsidRDefault="00C826DB" w:rsidP="00506A79">
      <w:pPr>
        <w:spacing w:after="0" w:line="240" w:lineRule="auto"/>
        <w:rPr>
          <w:rStyle w:val="Hipercze"/>
          <w:color w:val="0070C0"/>
          <w:sz w:val="24"/>
          <w:szCs w:val="24"/>
        </w:rPr>
      </w:pPr>
    </w:p>
    <w:p w14:paraId="4841ACA1" w14:textId="77777777" w:rsidR="00C826DB" w:rsidRDefault="00C826DB" w:rsidP="00506A79">
      <w:pPr>
        <w:spacing w:after="0" w:line="240" w:lineRule="auto"/>
        <w:rPr>
          <w:rStyle w:val="Hipercze"/>
          <w:color w:val="0070C0"/>
          <w:sz w:val="24"/>
          <w:szCs w:val="24"/>
        </w:rPr>
      </w:pPr>
    </w:p>
    <w:p w14:paraId="765E3B76" w14:textId="77777777" w:rsidR="00C826DB" w:rsidRDefault="00C826DB" w:rsidP="00506A79">
      <w:pPr>
        <w:spacing w:after="0" w:line="240" w:lineRule="auto"/>
        <w:rPr>
          <w:rStyle w:val="Hipercze"/>
          <w:color w:val="0070C0"/>
          <w:sz w:val="24"/>
          <w:szCs w:val="24"/>
        </w:rPr>
      </w:pPr>
    </w:p>
    <w:p w14:paraId="075BE581" w14:textId="77777777" w:rsidR="00C826DB" w:rsidRDefault="00C826DB" w:rsidP="00506A79">
      <w:pPr>
        <w:spacing w:after="0" w:line="240" w:lineRule="auto"/>
        <w:rPr>
          <w:rStyle w:val="Hipercze"/>
          <w:color w:val="0070C0"/>
          <w:sz w:val="24"/>
          <w:szCs w:val="24"/>
        </w:rPr>
      </w:pPr>
    </w:p>
    <w:p w14:paraId="2F27C72B" w14:textId="77777777" w:rsidR="00C826DB" w:rsidRDefault="00C826DB" w:rsidP="00506A79">
      <w:pPr>
        <w:spacing w:after="0" w:line="240" w:lineRule="auto"/>
        <w:rPr>
          <w:rStyle w:val="Hipercze"/>
          <w:color w:val="0070C0"/>
          <w:sz w:val="24"/>
          <w:szCs w:val="24"/>
        </w:rPr>
      </w:pPr>
    </w:p>
    <w:p w14:paraId="2B6EBE48" w14:textId="77777777" w:rsidR="00C826DB" w:rsidRDefault="00C826DB" w:rsidP="00506A79">
      <w:pPr>
        <w:spacing w:after="0" w:line="240" w:lineRule="auto"/>
        <w:rPr>
          <w:rStyle w:val="Hipercze"/>
          <w:color w:val="0070C0"/>
          <w:sz w:val="24"/>
          <w:szCs w:val="24"/>
        </w:rPr>
      </w:pPr>
    </w:p>
    <w:p w14:paraId="11E6FC50" w14:textId="77777777" w:rsidR="00C826DB" w:rsidRDefault="00C826DB" w:rsidP="00506A79">
      <w:pPr>
        <w:spacing w:after="0" w:line="240" w:lineRule="auto"/>
        <w:rPr>
          <w:rStyle w:val="Hipercze"/>
          <w:color w:val="0070C0"/>
          <w:sz w:val="24"/>
          <w:szCs w:val="24"/>
        </w:rPr>
      </w:pPr>
    </w:p>
    <w:p w14:paraId="3A366E0F" w14:textId="77777777" w:rsidR="00C826DB" w:rsidRDefault="00C826DB" w:rsidP="00506A79">
      <w:pPr>
        <w:spacing w:after="0" w:line="240" w:lineRule="auto"/>
        <w:rPr>
          <w:rStyle w:val="Hipercze"/>
          <w:color w:val="0070C0"/>
          <w:sz w:val="24"/>
          <w:szCs w:val="24"/>
        </w:rPr>
      </w:pPr>
    </w:p>
    <w:p w14:paraId="01163BD8" w14:textId="6C347B36" w:rsidR="00EE07D6" w:rsidRDefault="00EE07D6">
      <w:pPr>
        <w:rPr>
          <w:rStyle w:val="Hipercze"/>
          <w:color w:val="0070C0"/>
          <w:sz w:val="24"/>
          <w:szCs w:val="24"/>
        </w:rPr>
      </w:pPr>
      <w:r>
        <w:rPr>
          <w:rStyle w:val="Hipercze"/>
          <w:color w:val="0070C0"/>
          <w:sz w:val="24"/>
          <w:szCs w:val="24"/>
        </w:rPr>
        <w:br w:type="page"/>
      </w:r>
    </w:p>
    <w:p w14:paraId="271E43B7" w14:textId="77777777" w:rsidR="00D44841" w:rsidRPr="00456D32" w:rsidRDefault="00D44841" w:rsidP="00173786">
      <w:pPr>
        <w:spacing w:after="0" w:line="240" w:lineRule="auto"/>
        <w:rPr>
          <w:b/>
          <w:bCs/>
          <w:strike/>
          <w:sz w:val="24"/>
          <w:szCs w:val="24"/>
        </w:rPr>
      </w:pPr>
    </w:p>
    <w:p w14:paraId="233E1F0D" w14:textId="77777777" w:rsidR="00D44841" w:rsidRDefault="00D44841" w:rsidP="00173786">
      <w:pPr>
        <w:spacing w:after="0" w:line="240" w:lineRule="auto"/>
        <w:rPr>
          <w:rStyle w:val="Hipercze"/>
          <w:sz w:val="24"/>
          <w:szCs w:val="24"/>
        </w:rPr>
      </w:pPr>
    </w:p>
    <w:p w14:paraId="1E527CCC" w14:textId="77777777" w:rsidR="00A978B1" w:rsidRDefault="002B69EC" w:rsidP="00A978B1">
      <w:pPr>
        <w:rPr>
          <w:rStyle w:val="Nagwek2Znak"/>
          <w:b w:val="0"/>
          <w:bCs w:val="0"/>
        </w:rPr>
      </w:pPr>
      <w:r w:rsidRPr="00A978B1">
        <w:rPr>
          <w:noProof/>
        </w:rPr>
        <mc:AlternateContent>
          <mc:Choice Requires="wps">
            <w:drawing>
              <wp:anchor distT="0" distB="0" distL="114300" distR="114300" simplePos="0" relativeHeight="252298240" behindDoc="0" locked="0" layoutInCell="1" allowOverlap="1" wp14:anchorId="568C6BBD" wp14:editId="640E0AD3">
                <wp:simplePos x="0" y="0"/>
                <wp:positionH relativeFrom="margin">
                  <wp:posOffset>-99104</wp:posOffset>
                </wp:positionH>
                <wp:positionV relativeFrom="paragraph">
                  <wp:posOffset>-380483</wp:posOffset>
                </wp:positionV>
                <wp:extent cx="648586" cy="372745"/>
                <wp:effectExtent l="0" t="0" r="0" b="8255"/>
                <wp:wrapNone/>
                <wp:docPr id="738276872" name="Pole tekstowe 1"/>
                <wp:cNvGraphicFramePr/>
                <a:graphic xmlns:a="http://schemas.openxmlformats.org/drawingml/2006/main">
                  <a:graphicData uri="http://schemas.microsoft.com/office/word/2010/wordprocessingShape">
                    <wps:wsp>
                      <wps:cNvSpPr txBox="1"/>
                      <wps:spPr>
                        <a:xfrm>
                          <a:off x="0" y="0"/>
                          <a:ext cx="648586" cy="372745"/>
                        </a:xfrm>
                        <a:prstGeom prst="rect">
                          <a:avLst/>
                        </a:prstGeom>
                        <a:solidFill>
                          <a:schemeClr val="lt1"/>
                        </a:solidFill>
                        <a:ln w="6350">
                          <a:noFill/>
                        </a:ln>
                      </wps:spPr>
                      <wps:txbx>
                        <w:txbxContent>
                          <w:p w14:paraId="1B64DCD3" w14:textId="769AFB60" w:rsidR="002B69EC" w:rsidRPr="00FA4053" w:rsidRDefault="00695889" w:rsidP="002B69EC">
                            <w:pPr>
                              <w:pStyle w:val="NumeracjaRozdzial"/>
                            </w:pPr>
                            <w:r>
                              <w:t>8</w:t>
                            </w:r>
                            <w:r w:rsidR="002B69EC" w:rsidRPr="00FA4053">
                              <w:t>.</w:t>
                            </w:r>
                          </w:p>
                          <w:p w14:paraId="07785655" w14:textId="77777777" w:rsidR="002B69EC" w:rsidRDefault="002B69EC" w:rsidP="002B69EC">
                            <w:pPr>
                              <w:pStyle w:val="NumeracjaRozdzial"/>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C6BBD" id="_x0000_s1036" type="#_x0000_t202" style="position:absolute;margin-left:-7.8pt;margin-top:-29.95pt;width:51.05pt;height:29.35pt;z-index:25229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5g0MAIAAFs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" fillcolor="white [3201]" stroked="f" strokeweight=".5pt">
                <v:textbox>
                  <w:txbxContent>
                    <w:p w14:paraId="1B64DCD3" w14:textId="769AFB60" w:rsidR="002B69EC" w:rsidRPr="00FA4053" w:rsidRDefault="00695889" w:rsidP="002B69EC">
                      <w:pPr>
                        <w:pStyle w:val="NumeracjaRozdzial"/>
                      </w:pPr>
                      <w:r>
                        <w:t>8</w:t>
                      </w:r>
                      <w:r w:rsidR="002B69EC" w:rsidRPr="00FA4053">
                        <w:t>.</w:t>
                      </w:r>
                    </w:p>
                    <w:p w14:paraId="07785655" w14:textId="77777777" w:rsidR="002B69EC" w:rsidRDefault="002B69EC" w:rsidP="002B69EC">
                      <w:pPr>
                        <w:pStyle w:val="NumeracjaRozdzial"/>
                      </w:pPr>
                    </w:p>
                  </w:txbxContent>
                </v:textbox>
                <w10:wrap anchorx="margin"/>
              </v:shape>
            </w:pict>
          </mc:Fallback>
        </mc:AlternateContent>
      </w:r>
      <w:r w:rsidRPr="00A978B1">
        <w:rPr>
          <w:noProof/>
        </w:rPr>
        <w:drawing>
          <wp:anchor distT="0" distB="0" distL="114300" distR="114300" simplePos="0" relativeHeight="252299264" behindDoc="0" locked="0" layoutInCell="1" allowOverlap="1" wp14:anchorId="09C22057" wp14:editId="775F5B5B">
            <wp:simplePos x="0" y="0"/>
            <wp:positionH relativeFrom="margin">
              <wp:align>left</wp:align>
            </wp:positionH>
            <wp:positionV relativeFrom="paragraph">
              <wp:posOffset>10897</wp:posOffset>
            </wp:positionV>
            <wp:extent cx="1980000" cy="1080000"/>
            <wp:effectExtent l="0" t="0" r="1270" b="6350"/>
            <wp:wrapThrough wrapText="bothSides">
              <wp:wrapPolygon edited="0">
                <wp:start x="0" y="0"/>
                <wp:lineTo x="0" y="21346"/>
                <wp:lineTo x="21406" y="21346"/>
                <wp:lineTo x="21406" y="0"/>
                <wp:lineTo x="0" y="0"/>
              </wp:wrapPolygon>
            </wp:wrapThrough>
            <wp:docPr id="1721638910" name="Obraz 12" descr="Obraz zawierający tekst, papier, Produkty papierowe, lis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45161" name="Obraz 12" descr="Obraz zawierający tekst, papier, Produkty papierowe, list&#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924C79" w14:textId="098DC1DA" w:rsidR="002B69EC" w:rsidRPr="00A978B1" w:rsidRDefault="002B69EC" w:rsidP="003F6CA0">
      <w:pPr>
        <w:pStyle w:val="Nagwek2"/>
      </w:pPr>
      <w:bookmarkStart w:id="78" w:name="_Toc170117978"/>
      <w:r w:rsidRPr="00A978B1">
        <w:rPr>
          <w:rStyle w:val="Nagwek2Znak"/>
          <w:b/>
          <w:bCs/>
        </w:rPr>
        <w:t>L</w:t>
      </w:r>
      <w:bookmarkStart w:id="79" w:name="_Hlk169169469"/>
      <w:r w:rsidRPr="00A978B1">
        <w:rPr>
          <w:rStyle w:val="Nagwek2Znak"/>
          <w:b/>
          <w:bCs/>
        </w:rPr>
        <w:t>IST OTWARTY - w sprawie podjęcia przez Urząd Patentowy RP działań życzliwych dla przedsiębiorców</w:t>
      </w:r>
      <w:bookmarkEnd w:id="78"/>
      <w:r w:rsidRPr="00A978B1">
        <w:rPr>
          <w:rStyle w:val="Nagwek2Znak"/>
          <w:b/>
          <w:bCs/>
        </w:rPr>
        <w:t xml:space="preserve"> </w:t>
      </w:r>
    </w:p>
    <w:p w14:paraId="582B24FE" w14:textId="77777777" w:rsidR="002B69EC" w:rsidRDefault="002B69EC" w:rsidP="00E670F5">
      <w:pPr>
        <w:spacing w:after="0" w:line="240" w:lineRule="auto"/>
        <w:jc w:val="both"/>
        <w:rPr>
          <w:rFonts w:ascii="Times New Roman" w:hAnsi="Times New Roman" w:cs="Times New Roman"/>
        </w:rPr>
      </w:pPr>
    </w:p>
    <w:p w14:paraId="7CF8AD9A" w14:textId="77777777" w:rsidR="002B69EC" w:rsidRDefault="002B69EC" w:rsidP="00E670F5">
      <w:pPr>
        <w:spacing w:after="0" w:line="240" w:lineRule="auto"/>
        <w:jc w:val="both"/>
        <w:rPr>
          <w:rFonts w:ascii="Times New Roman" w:hAnsi="Times New Roman" w:cs="Times New Roman"/>
        </w:rPr>
      </w:pPr>
    </w:p>
    <w:p w14:paraId="1924DEE7" w14:textId="77777777" w:rsidR="002B69EC" w:rsidRDefault="002B69EC" w:rsidP="00E670F5">
      <w:pPr>
        <w:spacing w:after="0" w:line="240" w:lineRule="auto"/>
        <w:jc w:val="both"/>
        <w:rPr>
          <w:rFonts w:ascii="Times New Roman" w:hAnsi="Times New Roman" w:cs="Times New Roman"/>
        </w:rPr>
      </w:pPr>
    </w:p>
    <w:p w14:paraId="64E92EA6" w14:textId="77777777" w:rsidR="00695889" w:rsidRDefault="00330A23" w:rsidP="00695889">
      <w:pPr>
        <w:spacing w:after="0" w:line="240" w:lineRule="auto"/>
        <w:jc w:val="center"/>
        <w:rPr>
          <w:rFonts w:ascii="Times New Roman" w:hAnsi="Times New Roman" w:cs="Times New Roman"/>
        </w:rPr>
      </w:pPr>
      <w:r>
        <w:rPr>
          <w:b/>
          <w:bCs/>
          <w:noProof/>
          <w:lang w:eastAsia="pl-PL"/>
        </w:rPr>
        <w:drawing>
          <wp:inline distT="0" distB="0" distL="0" distR="0" wp14:anchorId="386C5FE7" wp14:editId="2A1E0478">
            <wp:extent cx="5867400" cy="2105953"/>
            <wp:effectExtent l="0" t="0" r="0" b="8890"/>
            <wp:docPr id="1848271528" name="Obraz 1848271528" descr="Obraz zawierający tekst, Czcionka, diagram,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71528" name="Obraz 1848271528" descr="Obraz zawierający tekst, Czcionka, diagram, linia&#10;&#10;Opis wygenerowany automatyczni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83358" cy="2111681"/>
                    </a:xfrm>
                    <a:prstGeom prst="rect">
                      <a:avLst/>
                    </a:prstGeom>
                    <a:noFill/>
                    <a:ln>
                      <a:noFill/>
                    </a:ln>
                  </pic:spPr>
                </pic:pic>
              </a:graphicData>
            </a:graphic>
          </wp:inline>
        </w:drawing>
      </w:r>
      <w:bookmarkEnd w:id="79"/>
    </w:p>
    <w:p w14:paraId="48718CCB" w14:textId="61B481EC" w:rsidR="00330A23" w:rsidRPr="00E670F5" w:rsidRDefault="006B335E" w:rsidP="00695889">
      <w:pPr>
        <w:spacing w:after="0" w:line="240" w:lineRule="auto"/>
        <w:jc w:val="center"/>
        <w:rPr>
          <w:rFonts w:ascii="Noto Serif" w:hAnsi="Noto Serif" w:cs="Noto Serif"/>
          <w:sz w:val="20"/>
          <w:szCs w:val="20"/>
        </w:rPr>
      </w:pPr>
      <w:r w:rsidRPr="00330A23">
        <w:rPr>
          <w:rFonts w:ascii="Times New Roman" w:hAnsi="Times New Roman" w:cs="Times New Roman"/>
        </w:rPr>
        <w:t>Już w listach otwart</w:t>
      </w:r>
      <w:r w:rsidR="00330A23" w:rsidRPr="00330A23">
        <w:rPr>
          <w:rFonts w:ascii="Times New Roman" w:hAnsi="Times New Roman" w:cs="Times New Roman"/>
        </w:rPr>
        <w:t>ych z dnia</w:t>
      </w:r>
      <w:r>
        <w:rPr>
          <w:rFonts w:ascii="Times New Roman" w:hAnsi="Times New Roman" w:cs="Times New Roman"/>
        </w:rPr>
        <w:t xml:space="preserve"> </w:t>
      </w:r>
      <w:r w:rsidR="00330A23" w:rsidRPr="00330A23">
        <w:rPr>
          <w:rFonts w:ascii="Times New Roman" w:hAnsi="Times New Roman" w:cs="Times New Roman"/>
        </w:rPr>
        <w:t>15.11.2021 r. i 07.12.2021 r. – dostępnych w Internecie pod poniższymi adresami – prosiliśmy o wyrażenie zgody na organizację rozpraw zdalnych u Urzędzie Patentowym RP:</w:t>
      </w:r>
    </w:p>
    <w:p w14:paraId="47332601" w14:textId="77777777" w:rsidR="00330A23" w:rsidRPr="00330A23" w:rsidRDefault="00330A23" w:rsidP="00330A23">
      <w:pPr>
        <w:spacing w:after="0" w:line="240" w:lineRule="auto"/>
        <w:rPr>
          <w:rFonts w:ascii="Times New Roman" w:hAnsi="Times New Roman" w:cs="Times New Roman"/>
          <w:sz w:val="8"/>
          <w:szCs w:val="8"/>
        </w:rPr>
      </w:pPr>
    </w:p>
    <w:p w14:paraId="1045E189" w14:textId="77777777" w:rsidR="00330A23" w:rsidRPr="00B34BC9" w:rsidRDefault="00B82931" w:rsidP="00330A23">
      <w:pPr>
        <w:spacing w:after="0" w:line="240" w:lineRule="auto"/>
        <w:ind w:right="-284"/>
        <w:rPr>
          <w:rFonts w:ascii="Times New Roman" w:hAnsi="Times New Roman" w:cs="Times New Roman"/>
          <w:color w:val="2E74B5" w:themeColor="accent5" w:themeShade="BF"/>
          <w:sz w:val="20"/>
          <w:szCs w:val="20"/>
        </w:rPr>
      </w:pPr>
      <w:hyperlink r:id="rId101" w:history="1">
        <w:r w:rsidR="00330A23" w:rsidRPr="00B34BC9">
          <w:rPr>
            <w:rStyle w:val="Hipercze"/>
            <w:rFonts w:ascii="Times New Roman" w:hAnsi="Times New Roman" w:cs="Times New Roman"/>
            <w:color w:val="2E74B5" w:themeColor="accent5" w:themeShade="BF"/>
            <w:sz w:val="20"/>
            <w:szCs w:val="20"/>
          </w:rPr>
          <w:t>https://stowi.pl/list-otwarty-opisuje-praktyke-blokowania-rozpraw-zdalnych-przez-urzad-patentowy.rp/</w:t>
        </w:r>
      </w:hyperlink>
      <w:r w:rsidR="00330A23" w:rsidRPr="00B34BC9">
        <w:rPr>
          <w:rFonts w:ascii="Times New Roman" w:hAnsi="Times New Roman" w:cs="Times New Roman"/>
          <w:color w:val="2E74B5" w:themeColor="accent5" w:themeShade="BF"/>
          <w:sz w:val="20"/>
          <w:szCs w:val="20"/>
        </w:rPr>
        <w:t xml:space="preserve"> </w:t>
      </w:r>
    </w:p>
    <w:p w14:paraId="63EA1132" w14:textId="77777777" w:rsidR="00330A23" w:rsidRPr="00B34BC9" w:rsidRDefault="00B82931" w:rsidP="00330A23">
      <w:pPr>
        <w:spacing w:after="0" w:line="240" w:lineRule="auto"/>
        <w:ind w:right="-284"/>
        <w:jc w:val="center"/>
        <w:rPr>
          <w:rFonts w:ascii="Times New Roman" w:hAnsi="Times New Roman" w:cs="Times New Roman"/>
          <w:color w:val="2E74B5" w:themeColor="accent5" w:themeShade="BF"/>
          <w:sz w:val="20"/>
          <w:szCs w:val="20"/>
        </w:rPr>
      </w:pPr>
      <w:hyperlink r:id="rId102" w:history="1">
        <w:r w:rsidR="00330A23" w:rsidRPr="00B34BC9">
          <w:rPr>
            <w:rStyle w:val="Hipercze"/>
            <w:rFonts w:ascii="Times New Roman" w:hAnsi="Times New Roman" w:cs="Times New Roman"/>
            <w:color w:val="2E74B5" w:themeColor="accent5" w:themeShade="BF"/>
            <w:sz w:val="20"/>
            <w:szCs w:val="20"/>
          </w:rPr>
          <w:t>https://stowi.pl/list-otwarty-zawierajacy-prosbe-o-realizowanie-przez-urzad-patentowy-rozpraw-zdalnych/</w:t>
        </w:r>
      </w:hyperlink>
      <w:r w:rsidR="00330A23" w:rsidRPr="00B34BC9">
        <w:rPr>
          <w:rFonts w:ascii="Times New Roman" w:hAnsi="Times New Roman" w:cs="Times New Roman"/>
          <w:color w:val="2E74B5" w:themeColor="accent5" w:themeShade="BF"/>
          <w:sz w:val="20"/>
          <w:szCs w:val="20"/>
        </w:rPr>
        <w:t xml:space="preserve"> </w:t>
      </w:r>
    </w:p>
    <w:p w14:paraId="25A28F7F" w14:textId="77777777" w:rsidR="00330A23" w:rsidRPr="00330A23" w:rsidRDefault="00330A23" w:rsidP="00330A23">
      <w:pPr>
        <w:spacing w:after="0" w:line="240" w:lineRule="auto"/>
        <w:ind w:right="-284"/>
        <w:jc w:val="both"/>
        <w:rPr>
          <w:rFonts w:ascii="Times New Roman" w:hAnsi="Times New Roman" w:cs="Times New Roman"/>
        </w:rPr>
      </w:pPr>
    </w:p>
    <w:p w14:paraId="6867B6ED" w14:textId="77777777" w:rsidR="00330A23" w:rsidRPr="00330A23" w:rsidRDefault="00330A23" w:rsidP="00330A23">
      <w:pPr>
        <w:spacing w:after="0" w:line="240" w:lineRule="auto"/>
        <w:ind w:right="-284"/>
        <w:jc w:val="both"/>
        <w:rPr>
          <w:rFonts w:ascii="Times New Roman" w:hAnsi="Times New Roman" w:cs="Times New Roman"/>
        </w:rPr>
      </w:pPr>
      <w:r w:rsidRPr="00330A23">
        <w:rPr>
          <w:rFonts w:ascii="Times New Roman" w:hAnsi="Times New Roman" w:cs="Times New Roman"/>
        </w:rPr>
        <w:tab/>
        <w:t>Przede wszystkim dziękujemy za podjęcie trudu związanego z uwzględnieniem możliwości przeprowadzania takich rozpraw, która to możliwość - po wielu miesiącach oczekiwania i wielokrotnych apelach - została wprowadzona do ustawy z dnia 30 czerwca 2000 r. Prawo własności przemysłowej. Skutek nowoprzyjętych regulacji jest jednak mierny, w praktyce bowiem „</w:t>
      </w:r>
      <w:r w:rsidRPr="00330A23">
        <w:rPr>
          <w:rFonts w:ascii="Times New Roman" w:hAnsi="Times New Roman" w:cs="Times New Roman"/>
          <w:i/>
          <w:iCs/>
        </w:rPr>
        <w:t xml:space="preserve">zdolność” </w:t>
      </w:r>
      <w:r w:rsidRPr="00330A23">
        <w:rPr>
          <w:rFonts w:ascii="Times New Roman" w:hAnsi="Times New Roman" w:cs="Times New Roman"/>
        </w:rPr>
        <w:t>rozprawy w Urzędzie Patentowym RP jest uzależniona od wyrażenia zgody na tę formę nie tylko przez Urząd Patentowy RP, ale też przez pełnomocnika strony przeciwnej:</w:t>
      </w:r>
    </w:p>
    <w:p w14:paraId="6DE1A059" w14:textId="77777777" w:rsidR="00330A23" w:rsidRPr="00330A23" w:rsidRDefault="00330A23" w:rsidP="00330A23">
      <w:pPr>
        <w:spacing w:after="0" w:line="240" w:lineRule="auto"/>
        <w:ind w:right="-284"/>
        <w:jc w:val="both"/>
        <w:rPr>
          <w:rFonts w:ascii="Times New Roman" w:hAnsi="Times New Roman" w:cs="Times New Roman"/>
          <w:sz w:val="8"/>
          <w:szCs w:val="8"/>
        </w:rPr>
      </w:pPr>
    </w:p>
    <w:p w14:paraId="03D17903" w14:textId="77777777" w:rsidR="00330A23" w:rsidRPr="00B34BC9" w:rsidRDefault="00B82931" w:rsidP="00330A23">
      <w:pPr>
        <w:spacing w:after="0" w:line="240" w:lineRule="auto"/>
        <w:ind w:right="-284"/>
        <w:jc w:val="center"/>
        <w:rPr>
          <w:rFonts w:ascii="Times New Roman" w:hAnsi="Times New Roman" w:cs="Times New Roman"/>
          <w:color w:val="2E74B5" w:themeColor="accent5" w:themeShade="BF"/>
          <w:sz w:val="20"/>
          <w:szCs w:val="20"/>
        </w:rPr>
      </w:pPr>
      <w:hyperlink r:id="rId103" w:history="1">
        <w:r w:rsidR="00330A23" w:rsidRPr="00B34BC9">
          <w:rPr>
            <w:rStyle w:val="Hipercze"/>
            <w:rFonts w:ascii="Times New Roman" w:hAnsi="Times New Roman" w:cs="Times New Roman"/>
            <w:color w:val="2E74B5" w:themeColor="accent5" w:themeShade="BF"/>
            <w:sz w:val="20"/>
            <w:szCs w:val="20"/>
          </w:rPr>
          <w:t>https://stowi.pl/przeciwnik-procesowy-przedsiebiorcy-decyduje-o-trybie-rozprawy/</w:t>
        </w:r>
      </w:hyperlink>
      <w:r w:rsidR="00330A23" w:rsidRPr="00B34BC9">
        <w:rPr>
          <w:rFonts w:ascii="Times New Roman" w:hAnsi="Times New Roman" w:cs="Times New Roman"/>
          <w:color w:val="2E74B5" w:themeColor="accent5" w:themeShade="BF"/>
          <w:sz w:val="20"/>
          <w:szCs w:val="20"/>
        </w:rPr>
        <w:t xml:space="preserve"> </w:t>
      </w:r>
    </w:p>
    <w:p w14:paraId="161C132D" w14:textId="77777777" w:rsidR="00330A23" w:rsidRPr="00330A23" w:rsidRDefault="00330A23" w:rsidP="00330A23">
      <w:pPr>
        <w:spacing w:after="0" w:line="240" w:lineRule="auto"/>
        <w:ind w:right="-284"/>
        <w:jc w:val="center"/>
        <w:rPr>
          <w:rFonts w:ascii="Times New Roman" w:hAnsi="Times New Roman" w:cs="Times New Roman"/>
          <w:sz w:val="8"/>
          <w:szCs w:val="8"/>
        </w:rPr>
      </w:pPr>
    </w:p>
    <w:p w14:paraId="4E1869D5" w14:textId="77777777" w:rsidR="00330A23" w:rsidRPr="00330A23" w:rsidRDefault="00330A23" w:rsidP="00330A23">
      <w:pPr>
        <w:spacing w:after="0" w:line="240" w:lineRule="auto"/>
        <w:ind w:right="-284"/>
        <w:jc w:val="both"/>
        <w:rPr>
          <w:rFonts w:ascii="Times New Roman" w:hAnsi="Times New Roman" w:cs="Times New Roman"/>
        </w:rPr>
      </w:pPr>
      <w:r w:rsidRPr="00330A23">
        <w:rPr>
          <w:rFonts w:ascii="Times New Roman" w:hAnsi="Times New Roman" w:cs="Times New Roman"/>
        </w:rPr>
        <w:tab/>
        <w:t xml:space="preserve">Prosimy o wprowadzenie modyfikacji, polegającej na zniesieniu przesłanki </w:t>
      </w:r>
      <w:r w:rsidRPr="00330A23">
        <w:rPr>
          <w:rFonts w:ascii="Times New Roman" w:hAnsi="Times New Roman" w:cs="Times New Roman"/>
          <w:i/>
          <w:iCs/>
        </w:rPr>
        <w:t xml:space="preserve">„za zgodą stron” </w:t>
      </w:r>
      <w:r w:rsidRPr="00330A23">
        <w:rPr>
          <w:rFonts w:ascii="Times New Roman" w:hAnsi="Times New Roman" w:cs="Times New Roman"/>
        </w:rPr>
        <w:t xml:space="preserve">oraz ewentualności </w:t>
      </w:r>
      <w:r w:rsidRPr="00330A23">
        <w:rPr>
          <w:rFonts w:ascii="Times New Roman" w:hAnsi="Times New Roman" w:cs="Times New Roman"/>
          <w:i/>
          <w:iCs/>
          <w:u w:val="single"/>
        </w:rPr>
        <w:t>„może</w:t>
      </w:r>
      <w:r w:rsidRPr="00330A23">
        <w:rPr>
          <w:rFonts w:ascii="Times New Roman" w:hAnsi="Times New Roman" w:cs="Times New Roman"/>
          <w:i/>
          <w:iCs/>
        </w:rPr>
        <w:t xml:space="preserve">”, </w:t>
      </w:r>
      <w:r w:rsidRPr="00330A23">
        <w:rPr>
          <w:rFonts w:ascii="Times New Roman" w:hAnsi="Times New Roman" w:cs="Times New Roman"/>
        </w:rPr>
        <w:t>względnie o dodanie możliwości przeprowadzania rozpraw w trybie hybrydowym dla osób zainteresowanych zarówno trybem bezpośrednim, jak i online.</w:t>
      </w:r>
    </w:p>
    <w:p w14:paraId="19A0EAF8" w14:textId="77777777" w:rsidR="00330A23" w:rsidRPr="00EC4F25" w:rsidRDefault="00330A23" w:rsidP="00AF2FCE">
      <w:pPr>
        <w:spacing w:after="0" w:line="240" w:lineRule="auto"/>
        <w:ind w:right="-284"/>
        <w:jc w:val="center"/>
      </w:pPr>
      <w:r>
        <w:rPr>
          <w:noProof/>
          <w:lang w:eastAsia="pl-PL"/>
        </w:rPr>
        <w:drawing>
          <wp:anchor distT="0" distB="0" distL="114300" distR="114300" simplePos="0" relativeHeight="252300288" behindDoc="1" locked="0" layoutInCell="1" allowOverlap="1" wp14:anchorId="7AF6571F" wp14:editId="1888F5E5">
            <wp:simplePos x="0" y="0"/>
            <wp:positionH relativeFrom="margin">
              <wp:posOffset>830580</wp:posOffset>
            </wp:positionH>
            <wp:positionV relativeFrom="paragraph">
              <wp:posOffset>11430</wp:posOffset>
            </wp:positionV>
            <wp:extent cx="4495800" cy="1300324"/>
            <wp:effectExtent l="0" t="0" r="0" b="0"/>
            <wp:wrapNone/>
            <wp:docPr id="1848271529" name="Obraz 1848271529" descr="Obraz zawierający tekst, pismo odręczne, Czcionka, biał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71529" name="Obraz 1848271529" descr="Obraz zawierający tekst, pismo odręczne, Czcionka, biały&#10;&#10;Opis wygenerowany automatyczni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95800" cy="13003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5814E" w14:textId="77777777" w:rsidR="00AF2FCE" w:rsidRPr="008F3813" w:rsidRDefault="00AF2FCE" w:rsidP="00330A23">
      <w:pPr>
        <w:spacing w:after="0" w:line="240" w:lineRule="auto"/>
        <w:ind w:right="-284"/>
        <w:jc w:val="both"/>
        <w:rPr>
          <w:b/>
          <w:bCs/>
          <w:sz w:val="24"/>
          <w:szCs w:val="24"/>
        </w:rPr>
      </w:pPr>
    </w:p>
    <w:p w14:paraId="3EC69787" w14:textId="77777777" w:rsidR="00AF2FCE" w:rsidRPr="008F3813" w:rsidRDefault="00AF2FCE" w:rsidP="00330A23">
      <w:pPr>
        <w:spacing w:after="0" w:line="240" w:lineRule="auto"/>
        <w:ind w:right="-284"/>
        <w:jc w:val="both"/>
        <w:rPr>
          <w:b/>
          <w:bCs/>
          <w:sz w:val="24"/>
          <w:szCs w:val="24"/>
        </w:rPr>
      </w:pPr>
    </w:p>
    <w:p w14:paraId="7016BCD2" w14:textId="77777777" w:rsidR="00AF2FCE" w:rsidRPr="008F3813" w:rsidRDefault="00AF2FCE" w:rsidP="00330A23">
      <w:pPr>
        <w:spacing w:after="0" w:line="240" w:lineRule="auto"/>
        <w:ind w:right="-284"/>
        <w:jc w:val="both"/>
        <w:rPr>
          <w:b/>
          <w:bCs/>
          <w:sz w:val="24"/>
          <w:szCs w:val="24"/>
        </w:rPr>
      </w:pPr>
    </w:p>
    <w:p w14:paraId="2301E46B" w14:textId="77777777" w:rsidR="00AF2FCE" w:rsidRPr="008F3813" w:rsidRDefault="00AF2FCE" w:rsidP="00330A23">
      <w:pPr>
        <w:spacing w:after="0" w:line="240" w:lineRule="auto"/>
        <w:ind w:right="-284"/>
        <w:jc w:val="both"/>
        <w:rPr>
          <w:b/>
          <w:bCs/>
          <w:sz w:val="24"/>
          <w:szCs w:val="24"/>
        </w:rPr>
      </w:pPr>
    </w:p>
    <w:p w14:paraId="39A970D2" w14:textId="77777777" w:rsidR="00AF2FCE" w:rsidRPr="008F3813" w:rsidRDefault="00AF2FCE" w:rsidP="00330A23">
      <w:pPr>
        <w:spacing w:after="0" w:line="240" w:lineRule="auto"/>
        <w:ind w:right="-284"/>
        <w:jc w:val="both"/>
        <w:rPr>
          <w:b/>
          <w:bCs/>
          <w:sz w:val="24"/>
          <w:szCs w:val="24"/>
        </w:rPr>
      </w:pPr>
    </w:p>
    <w:p w14:paraId="78D782C6" w14:textId="77777777" w:rsidR="00AF2FCE" w:rsidRPr="008F3813" w:rsidRDefault="00AF2FCE" w:rsidP="00330A23">
      <w:pPr>
        <w:spacing w:after="0" w:line="240" w:lineRule="auto"/>
        <w:ind w:right="-284"/>
        <w:jc w:val="both"/>
        <w:rPr>
          <w:b/>
          <w:bCs/>
          <w:sz w:val="24"/>
          <w:szCs w:val="24"/>
        </w:rPr>
      </w:pPr>
    </w:p>
    <w:p w14:paraId="0D8003A3" w14:textId="3E44EC25" w:rsidR="00DE0843" w:rsidRDefault="0039256E" w:rsidP="00330A23">
      <w:pPr>
        <w:spacing w:after="0" w:line="240" w:lineRule="auto"/>
        <w:ind w:right="-284"/>
        <w:jc w:val="both"/>
        <w:rPr>
          <w:b/>
          <w:bCs/>
          <w:sz w:val="24"/>
          <w:szCs w:val="24"/>
        </w:rPr>
      </w:pPr>
      <w:r>
        <w:rPr>
          <w:b/>
          <w:bCs/>
          <w:noProof/>
          <w:sz w:val="24"/>
          <w:szCs w:val="24"/>
        </w:rPr>
        <w:drawing>
          <wp:anchor distT="0" distB="0" distL="114300" distR="114300" simplePos="0" relativeHeight="252318720" behindDoc="0" locked="0" layoutInCell="1" allowOverlap="1" wp14:anchorId="6BBBCAFA" wp14:editId="0759D4C7">
            <wp:simplePos x="0" y="0"/>
            <wp:positionH relativeFrom="column">
              <wp:posOffset>2870200</wp:posOffset>
            </wp:positionH>
            <wp:positionV relativeFrom="paragraph">
              <wp:posOffset>5715</wp:posOffset>
            </wp:positionV>
            <wp:extent cx="409575" cy="152400"/>
            <wp:effectExtent l="0" t="0" r="9525" b="0"/>
            <wp:wrapNone/>
            <wp:docPr id="21190983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575" cy="152400"/>
                    </a:xfrm>
                    <a:prstGeom prst="rect">
                      <a:avLst/>
                    </a:prstGeom>
                    <a:noFill/>
                  </pic:spPr>
                </pic:pic>
              </a:graphicData>
            </a:graphic>
          </wp:anchor>
        </w:drawing>
      </w:r>
    </w:p>
    <w:p w14:paraId="5A70B0B8" w14:textId="3E12C37B" w:rsidR="00330A23" w:rsidRPr="008F3813" w:rsidRDefault="00173786" w:rsidP="00330A23">
      <w:pPr>
        <w:spacing w:after="0" w:line="240" w:lineRule="auto"/>
        <w:ind w:right="-284"/>
        <w:jc w:val="both"/>
        <w:rPr>
          <w:b/>
          <w:bCs/>
          <w:sz w:val="24"/>
          <w:szCs w:val="24"/>
        </w:rPr>
      </w:pPr>
      <w:r w:rsidRPr="008F3813">
        <w:rPr>
          <w:b/>
          <w:bCs/>
          <w:sz w:val="24"/>
          <w:szCs w:val="24"/>
        </w:rPr>
        <w:t>Uwaga Redakcji:</w:t>
      </w:r>
    </w:p>
    <w:p w14:paraId="6F2E7797" w14:textId="3AAA6003" w:rsidR="00695889" w:rsidRDefault="00AF2FCE" w:rsidP="00D44841">
      <w:pPr>
        <w:spacing w:after="0" w:line="240" w:lineRule="auto"/>
        <w:rPr>
          <w:sz w:val="24"/>
          <w:szCs w:val="24"/>
        </w:rPr>
      </w:pPr>
      <w:r w:rsidRPr="00AF2FCE">
        <w:rPr>
          <w:sz w:val="24"/>
          <w:szCs w:val="24"/>
        </w:rPr>
        <w:t xml:space="preserve">List otwarty, w którym autorzy wyrażają </w:t>
      </w:r>
      <w:r w:rsidRPr="00AF2FCE">
        <w:rPr>
          <w:b/>
          <w:bCs/>
          <w:sz w:val="24"/>
          <w:szCs w:val="24"/>
        </w:rPr>
        <w:t>nadzieję, że Urz</w:t>
      </w:r>
      <w:r w:rsidR="00D33DE6">
        <w:rPr>
          <w:b/>
          <w:bCs/>
          <w:sz w:val="24"/>
          <w:szCs w:val="24"/>
        </w:rPr>
        <w:t xml:space="preserve">ąd </w:t>
      </w:r>
      <w:r w:rsidRPr="00AF2FCE">
        <w:rPr>
          <w:b/>
          <w:bCs/>
          <w:sz w:val="24"/>
          <w:szCs w:val="24"/>
        </w:rPr>
        <w:t>Patentowy Rzeczypospolitej Polskiej nareszcie rzeczywiście dopuści rozprawy zdalne</w:t>
      </w:r>
      <w:r w:rsidRPr="00AF2FCE">
        <w:rPr>
          <w:sz w:val="24"/>
          <w:szCs w:val="24"/>
        </w:rPr>
        <w:t xml:space="preserve"> lub </w:t>
      </w:r>
      <w:r w:rsidRPr="00AF2FCE">
        <w:rPr>
          <w:b/>
          <w:bCs/>
          <w:sz w:val="24"/>
          <w:szCs w:val="24"/>
        </w:rPr>
        <w:t>hybrydowe</w:t>
      </w:r>
      <w:r w:rsidRPr="00AF2FCE">
        <w:rPr>
          <w:sz w:val="24"/>
          <w:szCs w:val="24"/>
        </w:rPr>
        <w:t>, uw</w:t>
      </w:r>
      <w:r w:rsidR="00D33DE6">
        <w:rPr>
          <w:sz w:val="24"/>
          <w:szCs w:val="24"/>
        </w:rPr>
        <w:t>z</w:t>
      </w:r>
      <w:r w:rsidRPr="00AF2FCE">
        <w:rPr>
          <w:sz w:val="24"/>
          <w:szCs w:val="24"/>
        </w:rPr>
        <w:t>ględniając m.in. problem "</w:t>
      </w:r>
      <w:r w:rsidRPr="00D33DE6">
        <w:rPr>
          <w:i/>
          <w:iCs/>
          <w:sz w:val="24"/>
          <w:szCs w:val="24"/>
        </w:rPr>
        <w:t>ślad</w:t>
      </w:r>
      <w:r w:rsidR="00D33DE6">
        <w:rPr>
          <w:i/>
          <w:iCs/>
          <w:sz w:val="24"/>
          <w:szCs w:val="24"/>
        </w:rPr>
        <w:t>u</w:t>
      </w:r>
      <w:r w:rsidRPr="00D33DE6">
        <w:rPr>
          <w:i/>
          <w:iCs/>
          <w:sz w:val="24"/>
          <w:szCs w:val="24"/>
        </w:rPr>
        <w:t xml:space="preserve"> węglow</w:t>
      </w:r>
      <w:r w:rsidR="00D33DE6">
        <w:rPr>
          <w:i/>
          <w:iCs/>
          <w:sz w:val="24"/>
          <w:szCs w:val="24"/>
        </w:rPr>
        <w:t>ego</w:t>
      </w:r>
      <w:r w:rsidRPr="00AF2FCE">
        <w:rPr>
          <w:sz w:val="24"/>
          <w:szCs w:val="24"/>
        </w:rPr>
        <w:t>".</w:t>
      </w:r>
    </w:p>
    <w:p w14:paraId="21952B40" w14:textId="77777777" w:rsidR="00EE07D6" w:rsidRPr="007245E7" w:rsidRDefault="00EE07D6" w:rsidP="00D44841">
      <w:pPr>
        <w:spacing w:after="0" w:line="240" w:lineRule="auto"/>
        <w:rPr>
          <w:b/>
          <w:bCs/>
          <w:color w:val="2E74B5" w:themeColor="accent5" w:themeShade="BF"/>
          <w:kern w:val="0"/>
          <w:sz w:val="24"/>
          <w:szCs w:val="24"/>
        </w:rPr>
      </w:pPr>
    </w:p>
    <w:p w14:paraId="594E65E0" w14:textId="77777777" w:rsidR="00EE07D6" w:rsidRPr="007245E7" w:rsidRDefault="00EE07D6" w:rsidP="00D44841">
      <w:pPr>
        <w:spacing w:after="0" w:line="240" w:lineRule="auto"/>
        <w:rPr>
          <w:b/>
          <w:bCs/>
          <w:color w:val="2E74B5" w:themeColor="accent5" w:themeShade="BF"/>
          <w:kern w:val="0"/>
          <w:sz w:val="24"/>
          <w:szCs w:val="24"/>
        </w:rPr>
      </w:pPr>
    </w:p>
    <w:p w14:paraId="24DA48EF" w14:textId="72A905BF" w:rsidR="00C826DB" w:rsidRPr="00384ACE" w:rsidRDefault="00BE68D9" w:rsidP="00D44841">
      <w:pPr>
        <w:spacing w:after="0" w:line="240" w:lineRule="auto"/>
        <w:rPr>
          <w:b/>
          <w:bCs/>
          <w:color w:val="2E74B5" w:themeColor="accent5" w:themeShade="BF"/>
          <w:kern w:val="0"/>
          <w:sz w:val="24"/>
          <w:szCs w:val="24"/>
          <w:lang w:val="en-US"/>
        </w:rPr>
      </w:pPr>
      <w:r w:rsidRPr="00384ACE">
        <w:rPr>
          <w:b/>
          <w:bCs/>
          <w:color w:val="2E74B5" w:themeColor="accent5" w:themeShade="BF"/>
          <w:kern w:val="0"/>
          <w:sz w:val="24"/>
          <w:szCs w:val="24"/>
          <w:lang w:val="en-US"/>
        </w:rPr>
        <w:lastRenderedPageBreak/>
        <w:t xml:space="preserve">Editor's </w:t>
      </w:r>
      <w:r w:rsidR="00C826DB" w:rsidRPr="00384ACE">
        <w:rPr>
          <w:b/>
          <w:bCs/>
          <w:color w:val="2E74B5" w:themeColor="accent5" w:themeShade="BF"/>
          <w:kern w:val="0"/>
          <w:sz w:val="24"/>
          <w:szCs w:val="24"/>
          <w:lang w:val="en-US"/>
        </w:rPr>
        <w:t>N</w:t>
      </w:r>
      <w:r w:rsidRPr="00384ACE">
        <w:rPr>
          <w:b/>
          <w:bCs/>
          <w:color w:val="2E74B5" w:themeColor="accent5" w:themeShade="BF"/>
          <w:kern w:val="0"/>
          <w:sz w:val="24"/>
          <w:szCs w:val="24"/>
          <w:lang w:val="en-US"/>
        </w:rPr>
        <w:t>ote:</w:t>
      </w:r>
      <w:bookmarkEnd w:id="63"/>
      <w:r w:rsidR="00AF2FCE" w:rsidRPr="00384ACE">
        <w:rPr>
          <w:b/>
          <w:bCs/>
          <w:color w:val="2E74B5" w:themeColor="accent5" w:themeShade="BF"/>
          <w:kern w:val="0"/>
          <w:sz w:val="24"/>
          <w:szCs w:val="24"/>
          <w:lang w:val="en-US"/>
        </w:rPr>
        <w:t xml:space="preserve"> </w:t>
      </w:r>
    </w:p>
    <w:p w14:paraId="17397D1D" w14:textId="55291A14" w:rsidR="00435011" w:rsidRPr="00233C06" w:rsidRDefault="00AF2FCE" w:rsidP="00D44841">
      <w:pPr>
        <w:spacing w:after="0" w:line="240" w:lineRule="auto"/>
        <w:rPr>
          <w:color w:val="2E74B5" w:themeColor="accent5" w:themeShade="BF"/>
          <w:sz w:val="24"/>
          <w:szCs w:val="24"/>
          <w:lang w:val="en-US"/>
        </w:rPr>
      </w:pPr>
      <w:r w:rsidRPr="00384ACE">
        <w:rPr>
          <w:color w:val="2E74B5" w:themeColor="accent5" w:themeShade="BF"/>
          <w:kern w:val="0"/>
          <w:sz w:val="24"/>
          <w:szCs w:val="24"/>
          <w:lang w:val="en-US"/>
        </w:rPr>
        <w:t xml:space="preserve">An open letter in which the authors express </w:t>
      </w:r>
      <w:r w:rsidRPr="00384ACE">
        <w:rPr>
          <w:b/>
          <w:bCs/>
          <w:color w:val="2E74B5" w:themeColor="accent5" w:themeShade="BF"/>
          <w:kern w:val="0"/>
          <w:sz w:val="24"/>
          <w:szCs w:val="24"/>
          <w:lang w:val="en-US"/>
        </w:rPr>
        <w:t>hope that the Patent Office of the Republic of Poland will finally allow remote hybrid hearings</w:t>
      </w:r>
      <w:r w:rsidRPr="00384ACE">
        <w:rPr>
          <w:color w:val="2E74B5" w:themeColor="accent5" w:themeShade="BF"/>
          <w:kern w:val="0"/>
          <w:sz w:val="24"/>
          <w:szCs w:val="24"/>
          <w:lang w:val="en-US"/>
        </w:rPr>
        <w:t xml:space="preserve">, </w:t>
      </w:r>
      <w:proofErr w:type="gramStart"/>
      <w:r w:rsidRPr="00384ACE">
        <w:rPr>
          <w:color w:val="2E74B5" w:themeColor="accent5" w:themeShade="BF"/>
          <w:kern w:val="0"/>
          <w:sz w:val="24"/>
          <w:szCs w:val="24"/>
          <w:lang w:val="en-US"/>
        </w:rPr>
        <w:t>taking into account</w:t>
      </w:r>
      <w:proofErr w:type="gramEnd"/>
      <w:r w:rsidRPr="00384ACE">
        <w:rPr>
          <w:color w:val="2E74B5" w:themeColor="accent5" w:themeShade="BF"/>
          <w:kern w:val="0"/>
          <w:sz w:val="24"/>
          <w:szCs w:val="24"/>
          <w:lang w:val="en-US"/>
        </w:rPr>
        <w:t xml:space="preserve">, among others, </w:t>
      </w:r>
      <w:r w:rsidR="00D33DE6" w:rsidRPr="00384ACE">
        <w:rPr>
          <w:color w:val="2E74B5" w:themeColor="accent5" w:themeShade="BF"/>
          <w:kern w:val="0"/>
          <w:sz w:val="24"/>
          <w:szCs w:val="24"/>
          <w:lang w:val="en-US"/>
        </w:rPr>
        <w:t>“</w:t>
      </w:r>
      <w:r w:rsidRPr="00384ACE">
        <w:rPr>
          <w:b/>
          <w:bCs/>
          <w:i/>
          <w:iCs/>
          <w:color w:val="2E74B5" w:themeColor="accent5" w:themeShade="BF"/>
          <w:kern w:val="0"/>
          <w:sz w:val="24"/>
          <w:szCs w:val="24"/>
          <w:lang w:val="en-US"/>
        </w:rPr>
        <w:t>carbon footprint</w:t>
      </w:r>
      <w:r w:rsidR="00D33DE6" w:rsidRPr="00384ACE">
        <w:rPr>
          <w:b/>
          <w:bCs/>
          <w:i/>
          <w:iCs/>
          <w:color w:val="2E74B5" w:themeColor="accent5" w:themeShade="BF"/>
          <w:kern w:val="0"/>
          <w:sz w:val="24"/>
          <w:szCs w:val="24"/>
          <w:lang w:val="en-US"/>
        </w:rPr>
        <w:t>”</w:t>
      </w:r>
      <w:r w:rsidRPr="00384ACE">
        <w:rPr>
          <w:b/>
          <w:bCs/>
          <w:color w:val="2E74B5" w:themeColor="accent5" w:themeShade="BF"/>
          <w:kern w:val="0"/>
          <w:sz w:val="24"/>
          <w:szCs w:val="24"/>
          <w:lang w:val="en-US"/>
        </w:rPr>
        <w:t xml:space="preserve"> problem</w:t>
      </w:r>
      <w:r w:rsidRPr="00384ACE">
        <w:rPr>
          <w:color w:val="2E74B5" w:themeColor="accent5" w:themeShade="BF"/>
          <w:kern w:val="0"/>
          <w:sz w:val="24"/>
          <w:szCs w:val="24"/>
          <w:lang w:val="en-US"/>
        </w:rPr>
        <w:t>.</w:t>
      </w:r>
      <w:r w:rsidR="00CF2307" w:rsidRPr="00233C06">
        <w:rPr>
          <w:color w:val="2E74B5" w:themeColor="accent5" w:themeShade="BF"/>
          <w:lang w:val="en-US"/>
        </w:rPr>
        <w:br w:type="page"/>
      </w:r>
      <w:bookmarkStart w:id="80" w:name="_Hlk156478356"/>
    </w:p>
    <w:p w14:paraId="057100A2" w14:textId="12296939" w:rsidR="00AD6E93" w:rsidRPr="008F3813" w:rsidRDefault="00D15CE8" w:rsidP="00435011">
      <w:pPr>
        <w:rPr>
          <w:rFonts w:cstheme="minorHAnsi"/>
          <w:shd w:val="clear" w:color="auto" w:fill="FFFFFF"/>
          <w:lang w:val="en-US"/>
        </w:rPr>
      </w:pPr>
      <w:r>
        <w:rPr>
          <w:noProof/>
          <w:lang w:eastAsia="pl-PL"/>
        </w:rPr>
        <w:lastRenderedPageBreak/>
        <mc:AlternateContent>
          <mc:Choice Requires="wps">
            <w:drawing>
              <wp:anchor distT="0" distB="0" distL="114300" distR="114300" simplePos="0" relativeHeight="252158976" behindDoc="1" locked="0" layoutInCell="1" allowOverlap="1" wp14:anchorId="6A77A088" wp14:editId="4197E81E">
                <wp:simplePos x="0" y="0"/>
                <wp:positionH relativeFrom="column">
                  <wp:posOffset>-855617</wp:posOffset>
                </wp:positionH>
                <wp:positionV relativeFrom="paragraph">
                  <wp:posOffset>-892901</wp:posOffset>
                </wp:positionV>
                <wp:extent cx="8271794" cy="10727141"/>
                <wp:effectExtent l="0" t="0" r="15240" b="17145"/>
                <wp:wrapNone/>
                <wp:docPr id="1251470848" name="Prostokąt 1251470848"/>
                <wp:cNvGraphicFramePr/>
                <a:graphic xmlns:a="http://schemas.openxmlformats.org/drawingml/2006/main">
                  <a:graphicData uri="http://schemas.microsoft.com/office/word/2010/wordprocessingShape">
                    <wps:wsp>
                      <wps:cNvSpPr/>
                      <wps:spPr>
                        <a:xfrm>
                          <a:off x="0" y="0"/>
                          <a:ext cx="8271794" cy="10727141"/>
                        </a:xfrm>
                        <a:prstGeom prst="rect">
                          <a:avLst/>
                        </a:prstGeom>
                        <a:solidFill>
                          <a:srgbClr val="1E2D4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044E1B" w14:textId="77777777" w:rsidR="00156AF9" w:rsidRDefault="00156AF9" w:rsidP="00E3188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7A088" id="Prostokąt 1251470848" o:spid="_x0000_s1037" style="position:absolute;margin-left:-67.35pt;margin-top:-70.3pt;width:651.3pt;height:844.65pt;z-index:-25115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" fillcolor="#1e2d40" strokecolor="#1f3763 [1604]" strokeweight="1pt">
                <v:textbox>
                  <w:txbxContent>
                    <w:p w14:paraId="1E044E1B" w14:textId="77777777" w:rsidR="00156AF9" w:rsidRDefault="00156AF9" w:rsidP="00E31885"/>
                  </w:txbxContent>
                </v:textbox>
              </v:rect>
            </w:pict>
          </mc:Fallback>
        </mc:AlternateContent>
      </w:r>
    </w:p>
    <w:p w14:paraId="235263F4" w14:textId="02DC1280" w:rsidR="00AD6E93" w:rsidRPr="008F3813" w:rsidRDefault="00AD6E93" w:rsidP="00435011">
      <w:pPr>
        <w:rPr>
          <w:rFonts w:cstheme="minorHAnsi"/>
          <w:shd w:val="clear" w:color="auto" w:fill="FFFFFF"/>
          <w:lang w:val="en-US"/>
        </w:rPr>
      </w:pPr>
    </w:p>
    <w:p w14:paraId="5D7E8251" w14:textId="77777777" w:rsidR="00156AF9" w:rsidRPr="008F3813" w:rsidRDefault="00156AF9" w:rsidP="00435011">
      <w:pPr>
        <w:rPr>
          <w:rFonts w:cstheme="minorHAnsi"/>
          <w:shd w:val="clear" w:color="auto" w:fill="FFFFFF"/>
          <w:lang w:val="en-US"/>
        </w:rPr>
      </w:pPr>
    </w:p>
    <w:p w14:paraId="79C406CC" w14:textId="77777777" w:rsidR="00156AF9" w:rsidRPr="008F3813" w:rsidRDefault="00156AF9" w:rsidP="00435011">
      <w:pPr>
        <w:rPr>
          <w:rFonts w:cstheme="minorHAnsi"/>
          <w:shd w:val="clear" w:color="auto" w:fill="FFFFFF"/>
          <w:lang w:val="en-US"/>
        </w:rPr>
      </w:pPr>
    </w:p>
    <w:p w14:paraId="3CF5A592" w14:textId="77777777" w:rsidR="00156AF9" w:rsidRPr="008F3813" w:rsidRDefault="00156AF9" w:rsidP="00435011">
      <w:pPr>
        <w:rPr>
          <w:rFonts w:cstheme="minorHAnsi"/>
          <w:shd w:val="clear" w:color="auto" w:fill="FFFFFF"/>
          <w:lang w:val="en-US"/>
        </w:rPr>
      </w:pPr>
    </w:p>
    <w:p w14:paraId="718AA33C" w14:textId="77777777" w:rsidR="00156AF9" w:rsidRPr="008F3813" w:rsidRDefault="00156AF9" w:rsidP="00435011">
      <w:pPr>
        <w:rPr>
          <w:rFonts w:cstheme="minorHAnsi"/>
          <w:shd w:val="clear" w:color="auto" w:fill="FFFFFF"/>
          <w:lang w:val="en-US"/>
        </w:rPr>
      </w:pPr>
    </w:p>
    <w:p w14:paraId="5128E72E" w14:textId="77777777" w:rsidR="00156AF9" w:rsidRPr="008F3813" w:rsidRDefault="00156AF9" w:rsidP="00435011">
      <w:pPr>
        <w:rPr>
          <w:rFonts w:cstheme="minorHAnsi"/>
          <w:shd w:val="clear" w:color="auto" w:fill="FFFFFF"/>
          <w:lang w:val="en-US"/>
        </w:rPr>
      </w:pPr>
    </w:p>
    <w:p w14:paraId="24FF0E54" w14:textId="77777777" w:rsidR="00156AF9" w:rsidRPr="008F3813" w:rsidRDefault="00156AF9" w:rsidP="00435011">
      <w:pPr>
        <w:rPr>
          <w:rFonts w:cstheme="minorHAnsi"/>
          <w:shd w:val="clear" w:color="auto" w:fill="FFFFFF"/>
          <w:lang w:val="en-US"/>
        </w:rPr>
      </w:pPr>
    </w:p>
    <w:p w14:paraId="0009E25D" w14:textId="77777777" w:rsidR="00156AF9" w:rsidRPr="008F3813" w:rsidRDefault="00156AF9" w:rsidP="00435011">
      <w:pPr>
        <w:rPr>
          <w:rFonts w:cstheme="minorHAnsi"/>
          <w:shd w:val="clear" w:color="auto" w:fill="FFFFFF"/>
          <w:lang w:val="en-US"/>
        </w:rPr>
      </w:pPr>
    </w:p>
    <w:p w14:paraId="58A6CF9E" w14:textId="77777777" w:rsidR="00156AF9" w:rsidRPr="008F3813" w:rsidRDefault="00156AF9" w:rsidP="00435011">
      <w:pPr>
        <w:rPr>
          <w:rFonts w:cstheme="minorHAnsi"/>
          <w:shd w:val="clear" w:color="auto" w:fill="FFFFFF"/>
          <w:lang w:val="en-US"/>
        </w:rPr>
      </w:pPr>
    </w:p>
    <w:p w14:paraId="171175B2" w14:textId="77777777" w:rsidR="00156AF9" w:rsidRPr="008F3813" w:rsidRDefault="00156AF9" w:rsidP="00435011">
      <w:pPr>
        <w:rPr>
          <w:rFonts w:cstheme="minorHAnsi"/>
          <w:sz w:val="82"/>
          <w:szCs w:val="82"/>
          <w:shd w:val="clear" w:color="auto" w:fill="FFFFFF"/>
          <w:lang w:val="en-US"/>
        </w:rPr>
      </w:pPr>
    </w:p>
    <w:p w14:paraId="4825C339" w14:textId="35BADC8B" w:rsidR="00156AF9" w:rsidRPr="00361D89" w:rsidRDefault="00156AF9" w:rsidP="002B69EC">
      <w:pPr>
        <w:pStyle w:val="Nagwek1"/>
        <w:sectPr w:rsidR="00156AF9" w:rsidRPr="00361D89" w:rsidSect="00384ACE">
          <w:pgSz w:w="11906" w:h="16838" w:code="9"/>
          <w:pgMar w:top="1440" w:right="1077" w:bottom="1440" w:left="1418" w:header="0" w:footer="0" w:gutter="0"/>
          <w:cols w:space="708"/>
          <w:docGrid w:linePitch="360"/>
        </w:sectPr>
      </w:pPr>
      <w:bookmarkStart w:id="81" w:name="_Toc170117979"/>
      <w:proofErr w:type="gramStart"/>
      <w:r w:rsidRPr="00AD7053">
        <w:t xml:space="preserve">PRAWO </w:t>
      </w:r>
      <w:r w:rsidR="002B69EC">
        <w:t xml:space="preserve"> </w:t>
      </w:r>
      <w:r w:rsidR="009B3D0A">
        <w:t>-</w:t>
      </w:r>
      <w:proofErr w:type="gramEnd"/>
      <w:r w:rsidR="009B3D0A">
        <w:t xml:space="preserve"> </w:t>
      </w:r>
      <w:r w:rsidRPr="00AD7053">
        <w:t>CASE LAW</w:t>
      </w:r>
      <w:bookmarkEnd w:id="81"/>
      <w:r>
        <w:br/>
        <w:t xml:space="preserve"> </w:t>
      </w:r>
    </w:p>
    <w:p w14:paraId="6BA168E9" w14:textId="6E8F7928" w:rsidR="004E5533" w:rsidRPr="002D7F0E" w:rsidRDefault="00A66599" w:rsidP="00640327">
      <w:pPr>
        <w:spacing w:after="0"/>
        <w:jc w:val="both"/>
        <w:rPr>
          <w:rStyle w:val="Nagwek2Znak"/>
          <w:b w:val="0"/>
          <w:bCs w:val="0"/>
          <w:sz w:val="12"/>
          <w:szCs w:val="12"/>
        </w:rPr>
      </w:pPr>
      <w:bookmarkStart w:id="82" w:name="_Hlk158901668"/>
      <w:bookmarkEnd w:id="80"/>
      <w:r w:rsidRPr="004E5533">
        <w:rPr>
          <w:rStyle w:val="Nagwek2Znak"/>
          <w:noProof/>
          <w:lang w:eastAsia="pl-PL"/>
        </w:rPr>
        <w:lastRenderedPageBreak/>
        <w:drawing>
          <wp:anchor distT="0" distB="0" distL="114300" distR="114300" simplePos="0" relativeHeight="251869184" behindDoc="0" locked="0" layoutInCell="1" allowOverlap="1" wp14:anchorId="10AFAC5F" wp14:editId="440051CB">
            <wp:simplePos x="0" y="0"/>
            <wp:positionH relativeFrom="column">
              <wp:posOffset>8255</wp:posOffset>
            </wp:positionH>
            <wp:positionV relativeFrom="paragraph">
              <wp:posOffset>3810</wp:posOffset>
            </wp:positionV>
            <wp:extent cx="1980000" cy="1080000"/>
            <wp:effectExtent l="0" t="0" r="1270" b="6350"/>
            <wp:wrapThrough wrapText="bothSides">
              <wp:wrapPolygon edited="0">
                <wp:start x="0" y="0"/>
                <wp:lineTo x="0" y="21346"/>
                <wp:lineTo x="21406" y="21346"/>
                <wp:lineTo x="21406" y="0"/>
                <wp:lineTo x="0" y="0"/>
              </wp:wrapPolygon>
            </wp:wrapThrough>
            <wp:docPr id="944653582" name="Obraz 1" descr="Obraz zawierający tekst, oznakowanie, Czcionka, budynek&#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4653582" name="Obraz 1" descr="Obraz zawierający tekst, oznakowanie, Czcionka, budynek&#10;&#10;Opis wygenerowany automatyczni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5533">
        <w:rPr>
          <w:rStyle w:val="Nagwek2Znak"/>
          <w:noProof/>
          <w:lang w:eastAsia="pl-PL"/>
        </w:rPr>
        <mc:AlternateContent>
          <mc:Choice Requires="wps">
            <w:drawing>
              <wp:anchor distT="0" distB="0" distL="114300" distR="114300" simplePos="0" relativeHeight="251867136" behindDoc="0" locked="0" layoutInCell="1" allowOverlap="1" wp14:anchorId="4A1CCB6A" wp14:editId="67181C0C">
                <wp:simplePos x="0" y="0"/>
                <wp:positionH relativeFrom="margin">
                  <wp:posOffset>-98755</wp:posOffset>
                </wp:positionH>
                <wp:positionV relativeFrom="paragraph">
                  <wp:posOffset>-383540</wp:posOffset>
                </wp:positionV>
                <wp:extent cx="527050" cy="372745"/>
                <wp:effectExtent l="0" t="0" r="6350" b="8255"/>
                <wp:wrapNone/>
                <wp:docPr id="1251470887"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0C53FF09" w14:textId="5357021E" w:rsidR="00541DD6" w:rsidRPr="00142068" w:rsidRDefault="00CC6551" w:rsidP="00640327">
                            <w:pPr>
                              <w:pStyle w:val="NumeracjaRozdzial"/>
                            </w:pPr>
                            <w:r>
                              <w:t>1</w:t>
                            </w:r>
                            <w:r w:rsidR="00541DD6" w:rsidRPr="00142068">
                              <w:t>.</w:t>
                            </w:r>
                          </w:p>
                          <w:p w14:paraId="0D6BB8F7" w14:textId="77777777" w:rsidR="00541DD6" w:rsidRDefault="00541DD6" w:rsidP="00A66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1CCB6A" id="_x0000_s1038" type="#_x0000_t202" style="position:absolute;left:0;text-align:left;margin-left:-7.8pt;margin-top:-30.2pt;width:41.5pt;height:29.35pt;z-index:251867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OhVHuS8CAABbBAAADgAAAAAAAAAAAAAAAAAu&#10;AgAAZHJzL2Uyb0RvYy54bWxQSwECLQAUAAYACAAAACEAokroqeEAAAAJAQAADwAAAAAAAAAAAAAA&#10;AACJBAAAZHJzL2Rvd25yZXYueG1sUEsFBgAAAAAEAAQA8wAAAJcFAAAAAA==&#10;" fillcolor="white [3201]" stroked="f" strokeweight=".5pt">
                <v:textbox>
                  <w:txbxContent>
                    <w:p w14:paraId="0C53FF09" w14:textId="5357021E" w:rsidR="00541DD6" w:rsidRPr="00142068" w:rsidRDefault="00CC6551" w:rsidP="00640327">
                      <w:pPr>
                        <w:pStyle w:val="NumeracjaRozdzial"/>
                      </w:pPr>
                      <w:r>
                        <w:t>1</w:t>
                      </w:r>
                      <w:r w:rsidR="00541DD6" w:rsidRPr="00142068">
                        <w:t>.</w:t>
                      </w:r>
                    </w:p>
                    <w:p w14:paraId="0D6BB8F7" w14:textId="77777777" w:rsidR="00541DD6" w:rsidRDefault="00541DD6" w:rsidP="00A66599"/>
                  </w:txbxContent>
                </v:textbox>
                <w10:wrap anchorx="margin"/>
              </v:shape>
            </w:pict>
          </mc:Fallback>
        </mc:AlternateContent>
      </w:r>
      <w:r w:rsidR="004E5533" w:rsidRPr="004E5533">
        <w:rPr>
          <w:rStyle w:val="Nagwek2Znak"/>
          <w:sz w:val="20"/>
          <w:szCs w:val="20"/>
        </w:rPr>
        <w:t xml:space="preserve"> </w:t>
      </w:r>
    </w:p>
    <w:p w14:paraId="01B44021" w14:textId="720B0756" w:rsidR="002D7F0E" w:rsidRPr="0051049D" w:rsidRDefault="00A24040" w:rsidP="002D7F0E">
      <w:pPr>
        <w:spacing w:after="0" w:line="240" w:lineRule="auto"/>
        <w:rPr>
          <w:rFonts w:cstheme="minorHAnsi"/>
          <w:b/>
          <w:bCs/>
          <w:sz w:val="2"/>
          <w:szCs w:val="2"/>
        </w:rPr>
      </w:pPr>
      <w:bookmarkStart w:id="83" w:name="_Toc170117980"/>
      <w:r w:rsidRPr="00EF5B72">
        <w:rPr>
          <w:rStyle w:val="Nagwek2Znak"/>
        </w:rPr>
        <w:t xml:space="preserve">UCHWAŁA 7 </w:t>
      </w:r>
      <w:r w:rsidR="006206C7">
        <w:rPr>
          <w:rStyle w:val="Nagwek2Znak"/>
        </w:rPr>
        <w:t>Sędziów</w:t>
      </w:r>
      <w:bookmarkEnd w:id="83"/>
      <w:r w:rsidR="006206C7">
        <w:rPr>
          <w:rStyle w:val="Nagwek2Znak"/>
        </w:rPr>
        <w:t xml:space="preserve"> </w:t>
      </w:r>
      <w:r w:rsidR="00EF5B72" w:rsidRPr="00EF5B72">
        <w:rPr>
          <w:rFonts w:cstheme="minorHAnsi"/>
          <w:b/>
          <w:bCs/>
          <w:color w:val="000000"/>
          <w:sz w:val="24"/>
          <w:szCs w:val="24"/>
        </w:rPr>
        <w:t>Naczeln</w:t>
      </w:r>
      <w:r w:rsidR="006206C7">
        <w:rPr>
          <w:rFonts w:cstheme="minorHAnsi"/>
          <w:b/>
          <w:bCs/>
          <w:color w:val="000000"/>
          <w:sz w:val="24"/>
          <w:szCs w:val="24"/>
        </w:rPr>
        <w:t>ego</w:t>
      </w:r>
      <w:r w:rsidR="00EF5B72" w:rsidRPr="00EF5B72">
        <w:rPr>
          <w:rFonts w:cstheme="minorHAnsi"/>
          <w:b/>
          <w:bCs/>
          <w:color w:val="000000"/>
          <w:sz w:val="24"/>
          <w:szCs w:val="24"/>
        </w:rPr>
        <w:t xml:space="preserve"> Sąd</w:t>
      </w:r>
      <w:r w:rsidR="006206C7">
        <w:rPr>
          <w:rFonts w:cstheme="minorHAnsi"/>
          <w:b/>
          <w:bCs/>
          <w:color w:val="000000"/>
          <w:sz w:val="24"/>
          <w:szCs w:val="24"/>
        </w:rPr>
        <w:t>u</w:t>
      </w:r>
      <w:r w:rsidR="00EF5B72" w:rsidRPr="00EF5B72">
        <w:rPr>
          <w:rFonts w:cstheme="minorHAnsi"/>
          <w:b/>
          <w:bCs/>
          <w:color w:val="000000"/>
          <w:sz w:val="24"/>
          <w:szCs w:val="24"/>
        </w:rPr>
        <w:t xml:space="preserve"> Administracyjn</w:t>
      </w:r>
      <w:r w:rsidR="006206C7">
        <w:rPr>
          <w:rFonts w:cstheme="minorHAnsi"/>
          <w:b/>
          <w:bCs/>
          <w:color w:val="000000"/>
          <w:sz w:val="24"/>
          <w:szCs w:val="24"/>
        </w:rPr>
        <w:t>ego</w:t>
      </w:r>
      <w:r w:rsidR="00AE78BD">
        <w:rPr>
          <w:rFonts w:cstheme="minorHAnsi"/>
          <w:b/>
          <w:bCs/>
          <w:color w:val="000000"/>
          <w:sz w:val="24"/>
          <w:szCs w:val="24"/>
        </w:rPr>
        <w:t>,</w:t>
      </w:r>
      <w:r w:rsidR="00EF5B72" w:rsidRPr="00EF5B72">
        <w:rPr>
          <w:rFonts w:cstheme="minorHAnsi"/>
          <w:b/>
          <w:bCs/>
          <w:color w:val="000000"/>
          <w:sz w:val="24"/>
          <w:szCs w:val="24"/>
        </w:rPr>
        <w:t xml:space="preserve"> </w:t>
      </w:r>
      <w:r w:rsidR="00EF5B72" w:rsidRPr="00EF5B72">
        <w:rPr>
          <w:rFonts w:cstheme="minorHAnsi"/>
          <w:b/>
          <w:bCs/>
          <w:sz w:val="24"/>
          <w:szCs w:val="24"/>
        </w:rPr>
        <w:t>podj</w:t>
      </w:r>
      <w:r w:rsidR="006206C7">
        <w:rPr>
          <w:rFonts w:cstheme="minorHAnsi"/>
          <w:b/>
          <w:bCs/>
          <w:sz w:val="24"/>
          <w:szCs w:val="24"/>
        </w:rPr>
        <w:t>ęta</w:t>
      </w:r>
      <w:r w:rsidR="00EF5B72" w:rsidRPr="00EF5B72">
        <w:rPr>
          <w:rFonts w:cstheme="minorHAnsi"/>
          <w:b/>
          <w:bCs/>
          <w:sz w:val="24"/>
          <w:szCs w:val="24"/>
        </w:rPr>
        <w:t xml:space="preserve"> </w:t>
      </w:r>
      <w:r w:rsidR="00EF5B72" w:rsidRPr="00EF5B72">
        <w:rPr>
          <w:rFonts w:cstheme="minorHAnsi"/>
          <w:b/>
          <w:bCs/>
          <w:color w:val="000000"/>
          <w:sz w:val="24"/>
          <w:szCs w:val="24"/>
        </w:rPr>
        <w:t>dnia 8 października 2018 r</w:t>
      </w:r>
      <w:r w:rsidR="00EF5B72" w:rsidRPr="00EF5B72">
        <w:rPr>
          <w:rFonts w:cstheme="minorHAnsi"/>
          <w:b/>
          <w:bCs/>
          <w:sz w:val="24"/>
          <w:szCs w:val="24"/>
        </w:rPr>
        <w:t>.</w:t>
      </w:r>
      <w:r w:rsidR="00AE78BD">
        <w:rPr>
          <w:rFonts w:cstheme="minorHAnsi"/>
          <w:b/>
          <w:bCs/>
          <w:sz w:val="24"/>
          <w:szCs w:val="24"/>
        </w:rPr>
        <w:t>,</w:t>
      </w:r>
      <w:r w:rsidR="00EF5B72" w:rsidRPr="00EF5B72">
        <w:rPr>
          <w:rFonts w:cstheme="minorHAnsi"/>
          <w:b/>
          <w:bCs/>
          <w:sz w:val="24"/>
          <w:szCs w:val="24"/>
        </w:rPr>
        <w:t xml:space="preserve"> </w:t>
      </w:r>
      <w:r w:rsidR="00EF5B72" w:rsidRPr="00EF5B72">
        <w:rPr>
          <w:rStyle w:val="Nagwek2Znak"/>
        </w:rPr>
        <w:t>dotycząca udostępnieni</w:t>
      </w:r>
      <w:r w:rsidR="00AE78BD">
        <w:rPr>
          <w:rStyle w:val="Nagwek2Znak"/>
        </w:rPr>
        <w:t>a</w:t>
      </w:r>
      <w:r w:rsidR="00EF5B72" w:rsidRPr="00EF5B72">
        <w:rPr>
          <w:rStyle w:val="Nagwek2Znak"/>
        </w:rPr>
        <w:t xml:space="preserve"> akt i s</w:t>
      </w:r>
      <w:r w:rsidRPr="00EF5B72">
        <w:rPr>
          <w:rStyle w:val="Nagwek2Znak"/>
        </w:rPr>
        <w:t>porządzani</w:t>
      </w:r>
      <w:r w:rsidR="00EF5B72" w:rsidRPr="00EF5B72">
        <w:rPr>
          <w:rStyle w:val="Nagwek2Znak"/>
        </w:rPr>
        <w:t>a</w:t>
      </w:r>
      <w:r w:rsidRPr="00EF5B72">
        <w:rPr>
          <w:rStyle w:val="Nagwek2Znak"/>
        </w:rPr>
        <w:t xml:space="preserve"> </w:t>
      </w:r>
      <w:r w:rsidR="00A66599" w:rsidRPr="00EF5B72">
        <w:rPr>
          <w:rStyle w:val="Nagwek2Znak"/>
        </w:rPr>
        <w:t>przez organ kopii dokumentacji</w:t>
      </w:r>
      <w:r w:rsidR="002D7F0E">
        <w:rPr>
          <w:rStyle w:val="Nagwek2Znak"/>
        </w:rPr>
        <w:t xml:space="preserve"> </w:t>
      </w:r>
      <w:r w:rsidR="002D7F0E" w:rsidRPr="0051049D">
        <w:rPr>
          <w:rFonts w:cstheme="minorHAnsi"/>
          <w:b/>
          <w:bCs/>
          <w:sz w:val="24"/>
          <w:szCs w:val="24"/>
        </w:rPr>
        <w:t xml:space="preserve">- </w:t>
      </w:r>
      <w:r w:rsidR="002D7F0E">
        <w:rPr>
          <w:rFonts w:cstheme="minorHAnsi"/>
          <w:b/>
          <w:bCs/>
          <w:sz w:val="24"/>
          <w:szCs w:val="24"/>
        </w:rPr>
        <w:t xml:space="preserve">wytłuszczenia </w:t>
      </w:r>
      <w:r w:rsidR="00353DD9">
        <w:rPr>
          <w:rFonts w:cstheme="minorHAnsi"/>
          <w:b/>
          <w:bCs/>
          <w:sz w:val="24"/>
          <w:szCs w:val="24"/>
        </w:rPr>
        <w:t xml:space="preserve">i rozsunięcia </w:t>
      </w:r>
      <w:r w:rsidR="002D7F0E">
        <w:rPr>
          <w:rFonts w:cstheme="minorHAnsi"/>
          <w:b/>
          <w:bCs/>
          <w:sz w:val="24"/>
          <w:szCs w:val="24"/>
        </w:rPr>
        <w:t xml:space="preserve">fragmentów tekstu pochodzą od </w:t>
      </w:r>
      <w:r w:rsidR="002D7F0E" w:rsidRPr="0051049D">
        <w:rPr>
          <w:rFonts w:cstheme="minorHAnsi"/>
          <w:b/>
          <w:bCs/>
          <w:sz w:val="24"/>
          <w:szCs w:val="24"/>
        </w:rPr>
        <w:t xml:space="preserve">Redakcji: </w:t>
      </w:r>
    </w:p>
    <w:p w14:paraId="13E8BBBE" w14:textId="7B0CE7B5" w:rsidR="005B0CD2" w:rsidRPr="00EF5B72" w:rsidRDefault="00A66599" w:rsidP="00640327">
      <w:pPr>
        <w:spacing w:after="0"/>
        <w:jc w:val="both"/>
        <w:rPr>
          <w:rStyle w:val="Nagwek2Znak"/>
          <w:b w:val="0"/>
          <w:bCs w:val="0"/>
        </w:rPr>
      </w:pPr>
      <w:r w:rsidRPr="00EF5B72">
        <w:rPr>
          <w:rStyle w:val="Nagwek2Znak"/>
        </w:rPr>
        <w:t xml:space="preserve"> </w:t>
      </w:r>
    </w:p>
    <w:p w14:paraId="3DBBD1E7" w14:textId="614418CD" w:rsidR="002A4D6B" w:rsidRPr="006206C7" w:rsidRDefault="002A4D6B" w:rsidP="002A4D6B">
      <w:pPr>
        <w:rPr>
          <w:rFonts w:cstheme="minorHAnsi"/>
          <w:bCs/>
          <w:sz w:val="24"/>
          <w:szCs w:val="24"/>
        </w:rPr>
      </w:pPr>
    </w:p>
    <w:p w14:paraId="79C3C04E" w14:textId="77777777" w:rsidR="00F34079" w:rsidRDefault="00F34079" w:rsidP="00F34079">
      <w:pPr>
        <w:pStyle w:val="NormalnyWeb"/>
        <w:shd w:val="clear" w:color="auto" w:fill="FFFFFF"/>
        <w:spacing w:before="150" w:beforeAutospacing="0" w:after="0" w:afterAutospacing="0"/>
        <w:rPr>
          <w:rStyle w:val="warheader"/>
          <w:rFonts w:asciiTheme="minorHAnsi" w:hAnsiTheme="minorHAnsi" w:cstheme="minorHAnsi"/>
          <w:b/>
          <w:bCs/>
          <w:color w:val="000000"/>
          <w:sz w:val="22"/>
          <w:szCs w:val="22"/>
        </w:rPr>
      </w:pPr>
      <w:r w:rsidRPr="00EC4F25">
        <w:rPr>
          <w:rStyle w:val="warheader"/>
          <w:rFonts w:asciiTheme="minorHAnsi" w:hAnsiTheme="minorHAnsi" w:cstheme="minorHAnsi"/>
          <w:b/>
          <w:bCs/>
          <w:color w:val="000000"/>
          <w:sz w:val="22"/>
          <w:szCs w:val="22"/>
        </w:rPr>
        <w:t>I OPS 1/18 - Uchwała NSA</w:t>
      </w:r>
    </w:p>
    <w:p w14:paraId="660B8ECF" w14:textId="77777777" w:rsidR="00FA6806" w:rsidRPr="00FA6806" w:rsidRDefault="00FA6806" w:rsidP="00F34079">
      <w:pPr>
        <w:pStyle w:val="NormalnyWeb"/>
        <w:shd w:val="clear" w:color="auto" w:fill="FFFFFF"/>
        <w:spacing w:before="150" w:beforeAutospacing="0" w:after="0" w:afterAutospacing="0"/>
        <w:rPr>
          <w:rFonts w:asciiTheme="minorHAnsi" w:hAnsiTheme="minorHAnsi" w:cstheme="minorHAnsi"/>
          <w:color w:val="000000"/>
          <w:sz w:val="6"/>
          <w:szCs w:val="6"/>
        </w:rPr>
      </w:pPr>
    </w:p>
    <w:tbl>
      <w:tblPr>
        <w:tblW w:w="10271" w:type="dxa"/>
        <w:tblCellSpacing w:w="5" w:type="dxa"/>
        <w:tblBorders>
          <w:top w:val="single" w:sz="12" w:space="0" w:color="000000"/>
        </w:tblBorders>
        <w:shd w:val="clear" w:color="auto" w:fill="FFFFFF"/>
        <w:tblCellMar>
          <w:left w:w="0" w:type="dxa"/>
          <w:right w:w="0" w:type="dxa"/>
        </w:tblCellMar>
        <w:tblLook w:val="04A0" w:firstRow="1" w:lastRow="0" w:firstColumn="1" w:lastColumn="0" w:noHBand="0" w:noVBand="1"/>
      </w:tblPr>
      <w:tblGrid>
        <w:gridCol w:w="2204"/>
        <w:gridCol w:w="7002"/>
        <w:gridCol w:w="1065"/>
      </w:tblGrid>
      <w:tr w:rsidR="00F34079" w:rsidRPr="00EC4F25" w14:paraId="6FBB5B45"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7B1E81B9" w14:textId="77777777" w:rsidTr="00F45910">
              <w:trPr>
                <w:tblCellSpacing w:w="15" w:type="dxa"/>
              </w:trPr>
              <w:tc>
                <w:tcPr>
                  <w:tcW w:w="0" w:type="auto"/>
                  <w:shd w:val="clear" w:color="auto" w:fill="F4F4F4"/>
                  <w:hideMark/>
                </w:tcPr>
                <w:p w14:paraId="65B56632" w14:textId="77777777" w:rsidR="00F34079" w:rsidRPr="00033A4F" w:rsidRDefault="00F34079" w:rsidP="00033A4F">
                  <w:pPr>
                    <w:spacing w:after="0"/>
                    <w:rPr>
                      <w:rFonts w:cstheme="minorHAnsi"/>
                      <w:b/>
                      <w:bCs/>
                      <w:color w:val="000000"/>
                      <w:sz w:val="20"/>
                      <w:szCs w:val="20"/>
                    </w:rPr>
                  </w:pPr>
                  <w:bookmarkStart w:id="84" w:name="_Hlk159264356"/>
                  <w:r w:rsidRPr="00033A4F">
                    <w:rPr>
                      <w:rFonts w:cstheme="minorHAnsi"/>
                      <w:b/>
                      <w:bCs/>
                      <w:color w:val="000000"/>
                      <w:sz w:val="20"/>
                      <w:szCs w:val="20"/>
                    </w:rPr>
                    <w:t>Data orzeczenia</w:t>
                  </w:r>
                </w:p>
              </w:tc>
            </w:tr>
          </w:tbl>
          <w:p w14:paraId="5C63962F"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tbl>
            <w:tblPr>
              <w:tblW w:w="8007" w:type="dxa"/>
              <w:tblCellSpacing w:w="0" w:type="dxa"/>
              <w:tblCellMar>
                <w:left w:w="0" w:type="dxa"/>
                <w:right w:w="0" w:type="dxa"/>
              </w:tblCellMar>
              <w:tblLook w:val="04A0" w:firstRow="1" w:lastRow="0" w:firstColumn="1" w:lastColumn="0" w:noHBand="0" w:noVBand="1"/>
            </w:tblPr>
            <w:tblGrid>
              <w:gridCol w:w="4423"/>
              <w:gridCol w:w="3584"/>
            </w:tblGrid>
            <w:tr w:rsidR="00F34079" w:rsidRPr="00033A4F" w14:paraId="4C474331" w14:textId="77777777" w:rsidTr="00F45910">
              <w:trPr>
                <w:tblCellSpacing w:w="0" w:type="dxa"/>
              </w:trPr>
              <w:tc>
                <w:tcPr>
                  <w:tcW w:w="0" w:type="auto"/>
                  <w:hideMark/>
                </w:tcPr>
                <w:p w14:paraId="73856C34"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2018-10-08</w:t>
                  </w:r>
                </w:p>
              </w:tc>
              <w:tc>
                <w:tcPr>
                  <w:tcW w:w="3584" w:type="dxa"/>
                  <w:tcMar>
                    <w:top w:w="0" w:type="dxa"/>
                    <w:left w:w="0" w:type="dxa"/>
                    <w:bottom w:w="0" w:type="dxa"/>
                    <w:right w:w="75" w:type="dxa"/>
                  </w:tcMar>
                  <w:hideMark/>
                </w:tcPr>
                <w:p w14:paraId="6094ECA4" w14:textId="77777777" w:rsidR="00F34079" w:rsidRPr="00033A4F" w:rsidRDefault="00F34079" w:rsidP="00033A4F">
                  <w:pPr>
                    <w:spacing w:after="0"/>
                    <w:rPr>
                      <w:rFonts w:cstheme="minorHAnsi"/>
                      <w:i/>
                      <w:iCs/>
                      <w:color w:val="000000"/>
                      <w:sz w:val="20"/>
                      <w:szCs w:val="20"/>
                    </w:rPr>
                  </w:pPr>
                  <w:r w:rsidRPr="00033A4F">
                    <w:rPr>
                      <w:rFonts w:cstheme="minorHAnsi"/>
                      <w:i/>
                      <w:iCs/>
                      <w:color w:val="000000"/>
                      <w:sz w:val="20"/>
                      <w:szCs w:val="20"/>
                    </w:rPr>
                    <w:t xml:space="preserve">           orzeczenie prawomocne</w:t>
                  </w:r>
                </w:p>
              </w:tc>
            </w:tr>
          </w:tbl>
          <w:p w14:paraId="64E9930E" w14:textId="77777777" w:rsidR="00F34079" w:rsidRPr="00033A4F" w:rsidRDefault="00F34079" w:rsidP="00033A4F">
            <w:pPr>
              <w:spacing w:after="0"/>
              <w:rPr>
                <w:rFonts w:cstheme="minorHAnsi"/>
                <w:color w:val="000000"/>
                <w:sz w:val="20"/>
                <w:szCs w:val="20"/>
              </w:rPr>
            </w:pPr>
          </w:p>
        </w:tc>
      </w:tr>
      <w:tr w:rsidR="00F34079" w:rsidRPr="00EC4F25" w14:paraId="48D6C1F2"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5B1892FD" w14:textId="77777777" w:rsidTr="00F45910">
              <w:trPr>
                <w:tblCellSpacing w:w="15" w:type="dxa"/>
              </w:trPr>
              <w:tc>
                <w:tcPr>
                  <w:tcW w:w="0" w:type="auto"/>
                  <w:shd w:val="clear" w:color="auto" w:fill="F4F4F4"/>
                  <w:hideMark/>
                </w:tcPr>
                <w:p w14:paraId="01A96872"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Data wpływu</w:t>
                  </w:r>
                </w:p>
              </w:tc>
            </w:tr>
          </w:tbl>
          <w:p w14:paraId="58CBC8E1"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1CE6444B"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2018-03-15</w:t>
            </w:r>
          </w:p>
        </w:tc>
      </w:tr>
      <w:tr w:rsidR="00F34079" w:rsidRPr="00EC4F25" w14:paraId="15D8B611"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0044C87E" w14:textId="77777777" w:rsidTr="00F45910">
              <w:trPr>
                <w:tblCellSpacing w:w="15" w:type="dxa"/>
              </w:trPr>
              <w:tc>
                <w:tcPr>
                  <w:tcW w:w="0" w:type="auto"/>
                  <w:shd w:val="clear" w:color="auto" w:fill="F4F4F4"/>
                  <w:hideMark/>
                </w:tcPr>
                <w:p w14:paraId="71DB2C70"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Sąd</w:t>
                  </w:r>
                </w:p>
              </w:tc>
            </w:tr>
          </w:tbl>
          <w:p w14:paraId="69CC2A5D"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58823283"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Naczelny Sąd Administracyjny</w:t>
            </w:r>
          </w:p>
        </w:tc>
      </w:tr>
      <w:tr w:rsidR="00F34079" w:rsidRPr="00EC4F25" w14:paraId="57DBE912"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233279F8" w14:textId="77777777" w:rsidTr="00F45910">
              <w:trPr>
                <w:tblCellSpacing w:w="15" w:type="dxa"/>
              </w:trPr>
              <w:tc>
                <w:tcPr>
                  <w:tcW w:w="0" w:type="auto"/>
                  <w:shd w:val="clear" w:color="auto" w:fill="F4F4F4"/>
                  <w:hideMark/>
                </w:tcPr>
                <w:p w14:paraId="35CD61EC"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Sędziowie</w:t>
                  </w:r>
                </w:p>
              </w:tc>
            </w:tr>
          </w:tbl>
          <w:p w14:paraId="627DF3C3"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14FD636C"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Jacek Chlebny /przewodniczący/</w:t>
            </w:r>
            <w:r w:rsidRPr="00033A4F">
              <w:rPr>
                <w:rFonts w:cstheme="minorHAnsi"/>
                <w:color w:val="000000"/>
                <w:sz w:val="20"/>
                <w:szCs w:val="20"/>
              </w:rPr>
              <w:br/>
              <w:t xml:space="preserve">Marzenna </w:t>
            </w:r>
            <w:proofErr w:type="spellStart"/>
            <w:r w:rsidRPr="00033A4F">
              <w:rPr>
                <w:rFonts w:cstheme="minorHAnsi"/>
                <w:color w:val="000000"/>
                <w:sz w:val="20"/>
                <w:szCs w:val="20"/>
              </w:rPr>
              <w:t>Linska-Wawrzon</w:t>
            </w:r>
            <w:proofErr w:type="spellEnd"/>
            <w:r w:rsidRPr="00033A4F">
              <w:rPr>
                <w:rFonts w:cstheme="minorHAnsi"/>
                <w:color w:val="000000"/>
                <w:sz w:val="20"/>
                <w:szCs w:val="20"/>
              </w:rPr>
              <w:br/>
              <w:t>Aleksandra Łaskarzewska (sprawozdawca) /autor uzasadnienia/</w:t>
            </w:r>
            <w:r w:rsidRPr="00033A4F">
              <w:rPr>
                <w:rFonts w:cstheme="minorHAnsi"/>
                <w:color w:val="000000"/>
                <w:sz w:val="20"/>
                <w:szCs w:val="20"/>
              </w:rPr>
              <w:br/>
              <w:t>Barbara Adamiak</w:t>
            </w:r>
            <w:r w:rsidRPr="00033A4F">
              <w:rPr>
                <w:rFonts w:cstheme="minorHAnsi"/>
                <w:color w:val="000000"/>
                <w:sz w:val="20"/>
                <w:szCs w:val="20"/>
              </w:rPr>
              <w:br/>
              <w:t>Olga Żurawska-Matusiak</w:t>
            </w:r>
            <w:r w:rsidRPr="00033A4F">
              <w:rPr>
                <w:rFonts w:cstheme="minorHAnsi"/>
                <w:color w:val="000000"/>
                <w:sz w:val="20"/>
                <w:szCs w:val="20"/>
              </w:rPr>
              <w:br/>
              <w:t xml:space="preserve">Robert Sawuła /zdanie </w:t>
            </w:r>
            <w:proofErr w:type="spellStart"/>
            <w:r w:rsidRPr="00033A4F">
              <w:rPr>
                <w:rFonts w:cstheme="minorHAnsi"/>
                <w:color w:val="000000"/>
                <w:sz w:val="20"/>
                <w:szCs w:val="20"/>
              </w:rPr>
              <w:t>odrebne</w:t>
            </w:r>
            <w:proofErr w:type="spellEnd"/>
            <w:r w:rsidRPr="00033A4F">
              <w:rPr>
                <w:rFonts w:cstheme="minorHAnsi"/>
                <w:color w:val="000000"/>
                <w:sz w:val="20"/>
                <w:szCs w:val="20"/>
              </w:rPr>
              <w:t>/</w:t>
            </w:r>
            <w:r w:rsidRPr="00033A4F">
              <w:rPr>
                <w:rFonts w:cstheme="minorHAnsi"/>
                <w:color w:val="000000"/>
                <w:sz w:val="20"/>
                <w:szCs w:val="20"/>
              </w:rPr>
              <w:br/>
              <w:t>Zbigniew Ślusarczyk</w:t>
            </w:r>
          </w:p>
        </w:tc>
      </w:tr>
      <w:tr w:rsidR="00F34079" w:rsidRPr="00EC4F25" w14:paraId="51609E43"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6C5AA65B" w14:textId="77777777" w:rsidTr="00F45910">
              <w:trPr>
                <w:tblCellSpacing w:w="15" w:type="dxa"/>
              </w:trPr>
              <w:tc>
                <w:tcPr>
                  <w:tcW w:w="0" w:type="auto"/>
                  <w:shd w:val="clear" w:color="auto" w:fill="F4F4F4"/>
                  <w:hideMark/>
                </w:tcPr>
                <w:p w14:paraId="2A893247"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Symbol z opisem</w:t>
                  </w:r>
                </w:p>
              </w:tc>
            </w:tr>
          </w:tbl>
          <w:p w14:paraId="6CACE5B8"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3FF5BD01"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645 Sprawy nieobjęte symbolami podstawowymi 601644 oraz od 646-652</w:t>
            </w:r>
          </w:p>
        </w:tc>
      </w:tr>
      <w:tr w:rsidR="00F34079" w:rsidRPr="00EC4F25" w14:paraId="1E95FA0D"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754866AA" w14:textId="77777777" w:rsidTr="00F45910">
              <w:trPr>
                <w:tblCellSpacing w:w="15" w:type="dxa"/>
              </w:trPr>
              <w:tc>
                <w:tcPr>
                  <w:tcW w:w="0" w:type="auto"/>
                  <w:shd w:val="clear" w:color="auto" w:fill="F4F4F4"/>
                  <w:hideMark/>
                </w:tcPr>
                <w:p w14:paraId="02A45473"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Hasła tematyczne</w:t>
                  </w:r>
                </w:p>
              </w:tc>
            </w:tr>
          </w:tbl>
          <w:p w14:paraId="75976C03"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4D17A15B"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Administracyjne postępowanie</w:t>
            </w:r>
          </w:p>
        </w:tc>
      </w:tr>
      <w:tr w:rsidR="00F34079" w:rsidRPr="00EC4F25" w14:paraId="112026A4"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603B643D" w14:textId="77777777" w:rsidTr="00F45910">
              <w:trPr>
                <w:tblCellSpacing w:w="15" w:type="dxa"/>
              </w:trPr>
              <w:tc>
                <w:tcPr>
                  <w:tcW w:w="0" w:type="auto"/>
                  <w:shd w:val="clear" w:color="auto" w:fill="F4F4F4"/>
                  <w:hideMark/>
                </w:tcPr>
                <w:p w14:paraId="7AA67DF7"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Treść wyniku</w:t>
                  </w:r>
                </w:p>
              </w:tc>
            </w:tr>
          </w:tbl>
          <w:p w14:paraId="61816D92"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3D556C15" w14:textId="77777777" w:rsidR="00F34079" w:rsidRPr="00033A4F" w:rsidRDefault="00F34079" w:rsidP="00033A4F">
            <w:pPr>
              <w:spacing w:after="0"/>
              <w:rPr>
                <w:rFonts w:cstheme="minorHAnsi"/>
                <w:color w:val="000000"/>
                <w:sz w:val="20"/>
                <w:szCs w:val="20"/>
              </w:rPr>
            </w:pPr>
            <w:r w:rsidRPr="00033A4F">
              <w:rPr>
                <w:rFonts w:cstheme="minorHAnsi"/>
                <w:color w:val="000000"/>
                <w:sz w:val="20"/>
                <w:szCs w:val="20"/>
              </w:rPr>
              <w:t>Podjęto uchwałę</w:t>
            </w:r>
          </w:p>
        </w:tc>
      </w:tr>
      <w:tr w:rsidR="00F34079" w:rsidRPr="00EC4F25" w14:paraId="28627B1C" w14:textId="77777777" w:rsidTr="00F45910">
        <w:trPr>
          <w:tblCellSpacing w:w="5" w:type="dxa"/>
        </w:trPr>
        <w:tc>
          <w:tcPr>
            <w:tcW w:w="2189" w:type="dxa"/>
            <w:tcBorders>
              <w:top w:val="single" w:sz="6" w:space="0" w:color="EEEEEE"/>
              <w:left w:val="single" w:sz="6" w:space="0" w:color="C0C0C0"/>
            </w:tcBorders>
            <w:shd w:val="clear" w:color="auto" w:fill="F4F4F4"/>
            <w:tcMar>
              <w:top w:w="0" w:type="dxa"/>
              <w:left w:w="30" w:type="dxa"/>
              <w:bottom w:w="0" w:type="dxa"/>
              <w:right w:w="0" w:type="dxa"/>
            </w:tcMar>
            <w:hideMark/>
          </w:tcPr>
          <w:tbl>
            <w:tblPr>
              <w:tblW w:w="2144" w:type="dxa"/>
              <w:tblCellSpacing w:w="15" w:type="dxa"/>
              <w:shd w:val="clear" w:color="auto" w:fill="F4F4F4"/>
              <w:tblCellMar>
                <w:left w:w="0" w:type="dxa"/>
                <w:right w:w="0" w:type="dxa"/>
              </w:tblCellMar>
              <w:tblLook w:val="04A0" w:firstRow="1" w:lastRow="0" w:firstColumn="1" w:lastColumn="0" w:noHBand="0" w:noVBand="1"/>
            </w:tblPr>
            <w:tblGrid>
              <w:gridCol w:w="2144"/>
            </w:tblGrid>
            <w:tr w:rsidR="00F34079" w:rsidRPr="00033A4F" w14:paraId="0A1BD87E" w14:textId="77777777" w:rsidTr="00F45910">
              <w:trPr>
                <w:tblCellSpacing w:w="15" w:type="dxa"/>
              </w:trPr>
              <w:tc>
                <w:tcPr>
                  <w:tcW w:w="0" w:type="auto"/>
                  <w:shd w:val="clear" w:color="auto" w:fill="F4F4F4"/>
                  <w:hideMark/>
                </w:tcPr>
                <w:p w14:paraId="19772039" w14:textId="77777777" w:rsidR="00F34079" w:rsidRPr="00033A4F" w:rsidRDefault="00F34079" w:rsidP="00033A4F">
                  <w:pPr>
                    <w:spacing w:after="0"/>
                    <w:rPr>
                      <w:rFonts w:cstheme="minorHAnsi"/>
                      <w:b/>
                      <w:bCs/>
                      <w:color w:val="000000"/>
                      <w:sz w:val="20"/>
                      <w:szCs w:val="20"/>
                    </w:rPr>
                  </w:pPr>
                  <w:r w:rsidRPr="00033A4F">
                    <w:rPr>
                      <w:rFonts w:cstheme="minorHAnsi"/>
                      <w:b/>
                      <w:bCs/>
                      <w:color w:val="000000"/>
                      <w:sz w:val="20"/>
                      <w:szCs w:val="20"/>
                    </w:rPr>
                    <w:t>Powołane przepisy</w:t>
                  </w:r>
                </w:p>
              </w:tc>
            </w:tr>
          </w:tbl>
          <w:p w14:paraId="694D0C93" w14:textId="77777777" w:rsidR="00F34079" w:rsidRPr="00033A4F" w:rsidRDefault="00F34079" w:rsidP="00033A4F">
            <w:pPr>
              <w:spacing w:after="0"/>
              <w:rPr>
                <w:rFonts w:cstheme="minorHAnsi"/>
                <w:color w:val="000000"/>
                <w:sz w:val="20"/>
                <w:szCs w:val="20"/>
              </w:rPr>
            </w:pPr>
          </w:p>
        </w:tc>
        <w:tc>
          <w:tcPr>
            <w:tcW w:w="8052" w:type="dxa"/>
            <w:gridSpan w:val="2"/>
            <w:tcBorders>
              <w:top w:val="single" w:sz="6" w:space="0" w:color="EEEEEE"/>
              <w:left w:val="single" w:sz="6" w:space="0" w:color="C0C0C0"/>
            </w:tcBorders>
            <w:shd w:val="clear" w:color="auto" w:fill="F4F4F4"/>
            <w:tcMar>
              <w:top w:w="0" w:type="dxa"/>
              <w:left w:w="30" w:type="dxa"/>
              <w:bottom w:w="0" w:type="dxa"/>
              <w:right w:w="0" w:type="dxa"/>
            </w:tcMar>
            <w:hideMark/>
          </w:tcPr>
          <w:p w14:paraId="4BE84316" w14:textId="77777777" w:rsidR="00F34079" w:rsidRPr="00033A4F" w:rsidRDefault="00B82931" w:rsidP="00033A4F">
            <w:pPr>
              <w:spacing w:after="0"/>
              <w:rPr>
                <w:rFonts w:cstheme="minorHAnsi"/>
                <w:color w:val="000000"/>
                <w:sz w:val="20"/>
                <w:szCs w:val="20"/>
              </w:rPr>
            </w:pPr>
            <w:hyperlink r:id="rId106" w:tgtFrame="_blank" w:history="1">
              <w:r w:rsidR="00F34079" w:rsidRPr="00B34BC9">
                <w:rPr>
                  <w:rStyle w:val="Hipercze"/>
                  <w:rFonts w:cstheme="minorHAnsi"/>
                  <w:color w:val="2E74B5" w:themeColor="accent5" w:themeShade="BF"/>
                  <w:sz w:val="20"/>
                  <w:szCs w:val="20"/>
                </w:rPr>
                <w:t xml:space="preserve">Dz.U. 2017 </w:t>
              </w:r>
              <w:proofErr w:type="spellStart"/>
              <w:r w:rsidR="00F34079" w:rsidRPr="00B34BC9">
                <w:rPr>
                  <w:rStyle w:val="Hipercze"/>
                  <w:rFonts w:cstheme="minorHAnsi"/>
                  <w:color w:val="2E74B5" w:themeColor="accent5" w:themeShade="BF"/>
                  <w:sz w:val="20"/>
                  <w:szCs w:val="20"/>
                </w:rPr>
                <w:t>poz</w:t>
              </w:r>
              <w:proofErr w:type="spellEnd"/>
              <w:r w:rsidR="00F34079" w:rsidRPr="00B34BC9">
                <w:rPr>
                  <w:rStyle w:val="Hipercze"/>
                  <w:rFonts w:cstheme="minorHAnsi"/>
                  <w:color w:val="2E74B5" w:themeColor="accent5" w:themeShade="BF"/>
                  <w:sz w:val="20"/>
                  <w:szCs w:val="20"/>
                </w:rPr>
                <w:t xml:space="preserve"> 1257</w:t>
              </w:r>
            </w:hyperlink>
            <w:r w:rsidR="00F34079" w:rsidRPr="00033A4F">
              <w:rPr>
                <w:rFonts w:cstheme="minorHAnsi"/>
                <w:color w:val="000000"/>
                <w:sz w:val="20"/>
                <w:szCs w:val="20"/>
              </w:rPr>
              <w:t> art. 7, art. 8, art. 10 § 1, art. 12, art. 73 § 1 i 2, art. 262 § 1 pkt 2</w:t>
            </w:r>
            <w:r w:rsidR="00F34079" w:rsidRPr="00033A4F">
              <w:rPr>
                <w:rFonts w:cstheme="minorHAnsi"/>
                <w:color w:val="000000"/>
                <w:sz w:val="20"/>
                <w:szCs w:val="20"/>
              </w:rPr>
              <w:br/>
            </w:r>
            <w:r w:rsidR="00F34079" w:rsidRPr="00033A4F">
              <w:rPr>
                <w:rStyle w:val="nakt"/>
                <w:rFonts w:cstheme="minorHAnsi"/>
                <w:i/>
                <w:iCs/>
                <w:color w:val="008000"/>
                <w:sz w:val="20"/>
                <w:szCs w:val="20"/>
              </w:rPr>
              <w:t>Ustawa z dnia 14 czerwca 1960 r. Kodeks postępowania administracyjnego - tekst jednolity</w:t>
            </w:r>
          </w:p>
        </w:tc>
      </w:tr>
      <w:tr w:rsidR="00F34079" w:rsidRPr="00EC4F25" w14:paraId="2553DF19" w14:textId="77777777" w:rsidTr="009E76FD">
        <w:trPr>
          <w:gridAfter w:val="1"/>
          <w:wAfter w:w="1050" w:type="dxa"/>
          <w:tblCellSpacing w:w="5" w:type="dxa"/>
        </w:trPr>
        <w:tc>
          <w:tcPr>
            <w:tcW w:w="9191" w:type="dxa"/>
            <w:gridSpan w:val="2"/>
            <w:tcBorders>
              <w:top w:val="nil"/>
              <w:left w:val="single" w:sz="6" w:space="0" w:color="C0C0C0"/>
            </w:tcBorders>
            <w:shd w:val="clear" w:color="auto" w:fill="FFFFFF"/>
            <w:tcMar>
              <w:top w:w="0" w:type="dxa"/>
              <w:left w:w="30" w:type="dxa"/>
              <w:bottom w:w="0" w:type="dxa"/>
              <w:right w:w="0" w:type="dxa"/>
            </w:tcMar>
            <w:hideMark/>
          </w:tcPr>
          <w:p w14:paraId="3BBD4E29" w14:textId="77777777" w:rsidR="00033A4F" w:rsidRPr="00033A4F" w:rsidRDefault="00033A4F" w:rsidP="009E76FD">
            <w:pPr>
              <w:shd w:val="clear" w:color="auto" w:fill="FFFFFF"/>
              <w:spacing w:after="148"/>
              <w:jc w:val="center"/>
              <w:rPr>
                <w:rFonts w:cstheme="minorHAnsi"/>
                <w:b/>
                <w:bCs/>
                <w:caps/>
                <w:color w:val="000000"/>
                <w:sz w:val="14"/>
                <w:szCs w:val="14"/>
              </w:rPr>
            </w:pPr>
          </w:p>
          <w:p w14:paraId="6519AC06" w14:textId="4AD72BEF" w:rsidR="00F34079" w:rsidRPr="005B0CD2" w:rsidRDefault="00F34079" w:rsidP="009E76FD">
            <w:pPr>
              <w:shd w:val="clear" w:color="auto" w:fill="FFFFFF"/>
              <w:spacing w:after="148"/>
              <w:jc w:val="center"/>
              <w:rPr>
                <w:rFonts w:cstheme="minorHAnsi"/>
                <w:b/>
                <w:bCs/>
                <w:caps/>
                <w:color w:val="000000"/>
                <w:sz w:val="24"/>
                <w:szCs w:val="24"/>
              </w:rPr>
            </w:pPr>
            <w:r w:rsidRPr="005B0CD2">
              <w:rPr>
                <w:rFonts w:cstheme="minorHAnsi"/>
                <w:b/>
                <w:bCs/>
                <w:caps/>
                <w:color w:val="000000"/>
                <w:sz w:val="24"/>
                <w:szCs w:val="24"/>
              </w:rPr>
              <w:t>SENTENCJA</w:t>
            </w:r>
          </w:p>
          <w:p w14:paraId="4D2B7AB5" w14:textId="77777777" w:rsidR="003E653E"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0847B9">
              <w:rPr>
                <w:rFonts w:asciiTheme="minorHAnsi" w:hAnsiTheme="minorHAnsi" w:cstheme="minorHAnsi"/>
                <w:b/>
                <w:bCs/>
                <w:color w:val="000000"/>
              </w:rPr>
              <w:t>Uchwała Naczelnego Sądu Administracyjnego</w:t>
            </w:r>
            <w:r w:rsidRPr="005B0CD2">
              <w:rPr>
                <w:rFonts w:asciiTheme="minorHAnsi" w:hAnsiTheme="minorHAnsi" w:cstheme="minorHAnsi"/>
                <w:color w:val="000000"/>
              </w:rPr>
              <w:t xml:space="preserve"> Warszawa, dnia 8 października 2018 r. Naczelny Sąd Administracyjny w składzie: Przewodniczący: Sędzia NSA Jacek Chlebny Sędziowie NSA: Aleksandra Łaskarzewska (sprawozdawca), Marzenna </w:t>
            </w:r>
            <w:proofErr w:type="spellStart"/>
            <w:r w:rsidRPr="005B0CD2">
              <w:rPr>
                <w:rFonts w:asciiTheme="minorHAnsi" w:hAnsiTheme="minorHAnsi" w:cstheme="minorHAnsi"/>
                <w:color w:val="000000"/>
              </w:rPr>
              <w:t>Linska-Wawrzon</w:t>
            </w:r>
            <w:proofErr w:type="spellEnd"/>
            <w:r w:rsidRPr="005B0CD2">
              <w:rPr>
                <w:rFonts w:asciiTheme="minorHAnsi" w:hAnsiTheme="minorHAnsi" w:cstheme="minorHAnsi"/>
                <w:color w:val="000000"/>
              </w:rPr>
              <w:t xml:space="preserve"> (</w:t>
            </w:r>
            <w:proofErr w:type="spellStart"/>
            <w:r w:rsidRPr="005B0CD2">
              <w:rPr>
                <w:rFonts w:asciiTheme="minorHAnsi" w:hAnsiTheme="minorHAnsi" w:cstheme="minorHAnsi"/>
                <w:color w:val="000000"/>
              </w:rPr>
              <w:t>współsprawozdawca</w:t>
            </w:r>
            <w:proofErr w:type="spellEnd"/>
            <w:r w:rsidRPr="005B0CD2">
              <w:rPr>
                <w:rFonts w:asciiTheme="minorHAnsi" w:hAnsiTheme="minorHAnsi" w:cstheme="minorHAnsi"/>
                <w:color w:val="000000"/>
              </w:rPr>
              <w:t xml:space="preserve">), Barbara Adamiak, Robert Sawuła, Zbigniew Ślusarczyk, Olga Żurawska-Matusiak, Protokolant starszy asystent sędziego Anna Siwonia-Rybak, </w:t>
            </w:r>
            <w:r w:rsidRPr="002D7F0E">
              <w:rPr>
                <w:rFonts w:asciiTheme="minorHAnsi" w:hAnsiTheme="minorHAnsi" w:cstheme="minorHAnsi"/>
                <w:b/>
                <w:bCs/>
                <w:color w:val="000000"/>
              </w:rPr>
              <w:t xml:space="preserve">przy udziale prokuratora Prokuratury Krajowej </w:t>
            </w:r>
            <w:r w:rsidR="002D7F0E" w:rsidRPr="002D7F0E">
              <w:rPr>
                <w:rFonts w:asciiTheme="minorHAnsi" w:hAnsiTheme="minorHAnsi" w:cstheme="minorHAnsi"/>
                <w:b/>
                <w:bCs/>
                <w:color w:val="000000"/>
              </w:rPr>
              <w:t>-</w:t>
            </w:r>
            <w:r w:rsidRPr="002D7F0E">
              <w:rPr>
                <w:rFonts w:asciiTheme="minorHAnsi" w:hAnsiTheme="minorHAnsi" w:cstheme="minorHAnsi"/>
                <w:b/>
                <w:bCs/>
                <w:color w:val="000000"/>
              </w:rPr>
              <w:t xml:space="preserve"> R. J.</w:t>
            </w:r>
            <w:r w:rsidRPr="005B0CD2">
              <w:rPr>
                <w:rFonts w:asciiTheme="minorHAnsi" w:hAnsiTheme="minorHAnsi" w:cstheme="minorHAnsi"/>
                <w:color w:val="000000"/>
              </w:rPr>
              <w:t xml:space="preserve"> </w:t>
            </w:r>
            <w:r w:rsidRPr="000847B9">
              <w:rPr>
                <w:rFonts w:asciiTheme="minorHAnsi" w:hAnsiTheme="minorHAnsi" w:cstheme="minorHAnsi"/>
                <w:b/>
                <w:bCs/>
                <w:color w:val="000000"/>
              </w:rPr>
              <w:t>po rozpoznaniu</w:t>
            </w:r>
            <w:r w:rsidRPr="005B0CD2">
              <w:rPr>
                <w:rFonts w:asciiTheme="minorHAnsi" w:hAnsiTheme="minorHAnsi" w:cstheme="minorHAnsi"/>
                <w:color w:val="000000"/>
              </w:rPr>
              <w:t xml:space="preserve"> w dniu 8 października 2018 r. na posiedzeniu jawnym w Izbie </w:t>
            </w:r>
            <w:proofErr w:type="spellStart"/>
            <w:r w:rsidRPr="005B0CD2">
              <w:rPr>
                <w:rFonts w:asciiTheme="minorHAnsi" w:hAnsiTheme="minorHAnsi" w:cstheme="minorHAnsi"/>
                <w:color w:val="000000"/>
              </w:rPr>
              <w:t>Ogólnoadministracyjnej</w:t>
            </w:r>
            <w:proofErr w:type="spellEnd"/>
            <w:r w:rsidRPr="005B0CD2">
              <w:rPr>
                <w:rFonts w:asciiTheme="minorHAnsi" w:hAnsiTheme="minorHAnsi" w:cstheme="minorHAnsi"/>
                <w:color w:val="000000"/>
              </w:rPr>
              <w:t xml:space="preserve"> </w:t>
            </w:r>
            <w:r w:rsidRPr="000847B9">
              <w:rPr>
                <w:rFonts w:asciiTheme="minorHAnsi" w:hAnsiTheme="minorHAnsi" w:cstheme="minorHAnsi"/>
                <w:b/>
                <w:bCs/>
                <w:color w:val="000000"/>
              </w:rPr>
              <w:t>wniosku Rzecznika Praw Obywatelskich</w:t>
            </w:r>
            <w:r w:rsidRPr="005B0CD2">
              <w:rPr>
                <w:rFonts w:asciiTheme="minorHAnsi" w:hAnsiTheme="minorHAnsi" w:cstheme="minorHAnsi"/>
                <w:color w:val="000000"/>
              </w:rPr>
              <w:t xml:space="preserve"> z dnia 14 marca 2018 r., nr IV. 7006.2016.ZA o podjęcie przez skład siedmiu sędziów Naczelnego Sądu Administracyjnego, na podstawie art. 264 § 2 w związku z art. 15 § 1 pkt 2 ustawy z dnia 30 sierpnia 2002 r. - Prawo o postępowaniu przed sądami administracyjnymi (tekst jedn. Dz. U. z 2018, poz. 1302 ze zm.), </w:t>
            </w:r>
            <w:r w:rsidRPr="000847B9">
              <w:rPr>
                <w:rFonts w:asciiTheme="minorHAnsi" w:hAnsiTheme="minorHAnsi" w:cstheme="minorHAnsi"/>
                <w:b/>
                <w:bCs/>
                <w:color w:val="000000"/>
              </w:rPr>
              <w:t>uchwały mającej na celu wyjaśnienie</w:t>
            </w:r>
            <w:r w:rsidRPr="005B0CD2">
              <w:rPr>
                <w:rFonts w:asciiTheme="minorHAnsi" w:hAnsiTheme="minorHAnsi" w:cstheme="minorHAnsi"/>
                <w:color w:val="000000"/>
              </w:rPr>
              <w:t>: "</w:t>
            </w:r>
            <w:r w:rsidRPr="000847B9">
              <w:rPr>
                <w:rFonts w:asciiTheme="minorHAnsi" w:hAnsiTheme="minorHAnsi" w:cstheme="minorHAnsi"/>
                <w:b/>
                <w:bCs/>
                <w:i/>
                <w:color w:val="000000"/>
              </w:rPr>
              <w:t xml:space="preserve">Czy w ramach udostępniania akt </w:t>
            </w:r>
            <w:r w:rsidRPr="000847B9">
              <w:rPr>
                <w:rFonts w:asciiTheme="minorHAnsi" w:hAnsiTheme="minorHAnsi" w:cstheme="minorHAnsi"/>
                <w:i/>
                <w:color w:val="000000"/>
              </w:rPr>
              <w:t>stronie, na podstawie</w:t>
            </w:r>
            <w:r w:rsidRPr="000847B9">
              <w:rPr>
                <w:rFonts w:asciiTheme="minorHAnsi" w:hAnsiTheme="minorHAnsi" w:cstheme="minorHAnsi"/>
                <w:b/>
                <w:bCs/>
                <w:i/>
                <w:color w:val="000000"/>
              </w:rPr>
              <w:t xml:space="preserve"> art. 73 § 1 </w:t>
            </w:r>
            <w:r w:rsidRPr="000847B9">
              <w:rPr>
                <w:rFonts w:asciiTheme="minorHAnsi" w:hAnsiTheme="minorHAnsi" w:cstheme="minorHAnsi"/>
                <w:i/>
                <w:color w:val="000000"/>
              </w:rPr>
              <w:t>ustawy z dnia 14 czerwca 1960 r.</w:t>
            </w:r>
            <w:r w:rsidRPr="000847B9">
              <w:rPr>
                <w:rFonts w:asciiTheme="minorHAnsi" w:hAnsiTheme="minorHAnsi" w:cstheme="minorHAnsi"/>
                <w:b/>
                <w:bCs/>
                <w:i/>
                <w:color w:val="000000"/>
              </w:rPr>
              <w:t xml:space="preserve"> Kodeks postępowania administracyjnego </w:t>
            </w:r>
            <w:r w:rsidRPr="000847B9">
              <w:rPr>
                <w:rFonts w:asciiTheme="minorHAnsi" w:hAnsiTheme="minorHAnsi" w:cstheme="minorHAnsi"/>
                <w:i/>
                <w:color w:val="000000"/>
              </w:rPr>
              <w:t>(tekst jedn. Dz. U. z 2017 r., poz. 1257 ze zm.)</w:t>
            </w:r>
            <w:r w:rsidRPr="000847B9">
              <w:rPr>
                <w:rFonts w:asciiTheme="minorHAnsi" w:hAnsiTheme="minorHAnsi" w:cstheme="minorHAnsi"/>
                <w:b/>
                <w:bCs/>
                <w:i/>
                <w:color w:val="000000"/>
              </w:rPr>
              <w:t xml:space="preserve"> mieści się sporządzenie przez organ, w sposób wynikający z posiadanych możliwości technicznych i organizacyjnych, na wniosek strony, kopii dokumentacji zgromadzonej w aktach sprawy?</w:t>
            </w:r>
            <w:r w:rsidRPr="005B0CD2">
              <w:rPr>
                <w:rFonts w:asciiTheme="minorHAnsi" w:hAnsiTheme="minorHAnsi" w:cstheme="minorHAnsi"/>
                <w:color w:val="000000"/>
              </w:rPr>
              <w:t xml:space="preserve">" </w:t>
            </w:r>
            <w:r w:rsidRPr="003E653E">
              <w:rPr>
                <w:rFonts w:asciiTheme="minorHAnsi" w:hAnsiTheme="minorHAnsi" w:cstheme="minorHAnsi"/>
                <w:b/>
                <w:bCs/>
                <w:color w:val="000000"/>
              </w:rPr>
              <w:t xml:space="preserve">podjął </w:t>
            </w:r>
            <w:r w:rsidRPr="00D611AB">
              <w:rPr>
                <w:rFonts w:asciiTheme="minorHAnsi" w:hAnsiTheme="minorHAnsi" w:cstheme="minorHAnsi"/>
                <w:color w:val="000000"/>
              </w:rPr>
              <w:t>następującą</w:t>
            </w:r>
            <w:r w:rsidRPr="003E653E">
              <w:rPr>
                <w:rFonts w:asciiTheme="minorHAnsi" w:hAnsiTheme="minorHAnsi" w:cstheme="minorHAnsi"/>
                <w:b/>
                <w:bCs/>
                <w:color w:val="000000"/>
              </w:rPr>
              <w:t xml:space="preserve"> uchwałę</w:t>
            </w:r>
            <w:r w:rsidRPr="005B0CD2">
              <w:rPr>
                <w:rFonts w:asciiTheme="minorHAnsi" w:hAnsiTheme="minorHAnsi" w:cstheme="minorHAnsi"/>
                <w:color w:val="000000"/>
              </w:rPr>
              <w:t xml:space="preserve">: </w:t>
            </w:r>
          </w:p>
          <w:p w14:paraId="1D389EE0" w14:textId="77777777" w:rsidR="003E653E" w:rsidRDefault="003E653E" w:rsidP="00F45910">
            <w:pPr>
              <w:pStyle w:val="NormalnyWeb"/>
              <w:spacing w:before="0" w:beforeAutospacing="0" w:after="111" w:afterAutospacing="0" w:line="360" w:lineRule="atLeast"/>
              <w:jc w:val="both"/>
              <w:rPr>
                <w:rFonts w:asciiTheme="minorHAnsi" w:hAnsiTheme="minorHAnsi" w:cstheme="minorHAnsi"/>
                <w:color w:val="000000"/>
              </w:rPr>
            </w:pPr>
          </w:p>
          <w:p w14:paraId="24E94DA1" w14:textId="180F478D"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353DD9">
              <w:rPr>
                <w:rFonts w:asciiTheme="minorHAnsi" w:hAnsiTheme="minorHAnsi" w:cstheme="minorHAnsi"/>
                <w:b/>
                <w:bCs/>
                <w:color w:val="000000"/>
                <w:spacing w:val="60"/>
              </w:rPr>
              <w:t>W ramach udostępnienia akt stronie</w:t>
            </w:r>
            <w:r w:rsidRPr="005B0CD2">
              <w:rPr>
                <w:rFonts w:asciiTheme="minorHAnsi" w:hAnsiTheme="minorHAnsi" w:cstheme="minorHAnsi"/>
                <w:color w:val="000000"/>
              </w:rPr>
              <w:t xml:space="preserve"> na podstawie </w:t>
            </w:r>
            <w:r w:rsidRPr="00A527DD">
              <w:rPr>
                <w:rFonts w:asciiTheme="minorHAnsi" w:hAnsiTheme="minorHAnsi" w:cstheme="minorHAnsi"/>
                <w:b/>
                <w:bCs/>
                <w:color w:val="000000"/>
              </w:rPr>
              <w:t>art. 73 § 1</w:t>
            </w:r>
            <w:r w:rsidRPr="005B0CD2">
              <w:rPr>
                <w:rFonts w:asciiTheme="minorHAnsi" w:hAnsiTheme="minorHAnsi" w:cstheme="minorHAnsi"/>
                <w:color w:val="000000"/>
              </w:rPr>
              <w:t xml:space="preserve"> ustawy z dnia 14 czerwca 1960 r. </w:t>
            </w:r>
            <w:r w:rsidRPr="00A527DD">
              <w:rPr>
                <w:rFonts w:asciiTheme="minorHAnsi" w:hAnsiTheme="minorHAnsi" w:cstheme="minorHAnsi"/>
                <w:b/>
                <w:bCs/>
                <w:color w:val="000000"/>
              </w:rPr>
              <w:t>Kodeks postępowania administracyjnego</w:t>
            </w:r>
            <w:r w:rsidRPr="005B0CD2">
              <w:rPr>
                <w:rFonts w:asciiTheme="minorHAnsi" w:hAnsiTheme="minorHAnsi" w:cstheme="minorHAnsi"/>
                <w:color w:val="000000"/>
              </w:rPr>
              <w:t xml:space="preserve"> (tekst jedn. Dz. U. z 2017 r., poz. 1257 ze zm.) </w:t>
            </w:r>
            <w:r w:rsidRPr="00353DD9">
              <w:rPr>
                <w:rFonts w:asciiTheme="minorHAnsi" w:hAnsiTheme="minorHAnsi" w:cstheme="minorHAnsi"/>
                <w:b/>
                <w:bCs/>
                <w:color w:val="000000"/>
                <w:spacing w:val="60"/>
              </w:rPr>
              <w:t>mieści się sporządzenie przez organ</w:t>
            </w:r>
            <w:r w:rsidRPr="003E653E">
              <w:rPr>
                <w:rFonts w:asciiTheme="minorHAnsi" w:hAnsiTheme="minorHAnsi" w:cstheme="minorHAnsi"/>
                <w:b/>
                <w:bCs/>
                <w:color w:val="000000"/>
              </w:rPr>
              <w:t xml:space="preserve">, w sposób wynikający z jego możliwości technicznych i organizacyjnych, na wniosek strony, </w:t>
            </w:r>
            <w:r w:rsidRPr="00353DD9">
              <w:rPr>
                <w:rFonts w:asciiTheme="minorHAnsi" w:hAnsiTheme="minorHAnsi" w:cstheme="minorHAnsi"/>
                <w:b/>
                <w:bCs/>
                <w:color w:val="000000"/>
                <w:spacing w:val="60"/>
              </w:rPr>
              <w:t>kopii dokumentacji zgromadzonej w aktach sprawy</w:t>
            </w:r>
            <w:r w:rsidRPr="003E653E">
              <w:rPr>
                <w:rFonts w:asciiTheme="minorHAnsi" w:hAnsiTheme="minorHAnsi" w:cstheme="minorHAnsi"/>
                <w:b/>
                <w:bCs/>
                <w:color w:val="000000"/>
              </w:rPr>
              <w:t>. C.V.S</w:t>
            </w:r>
            <w:r w:rsidRPr="005B0CD2">
              <w:rPr>
                <w:rFonts w:asciiTheme="minorHAnsi" w:hAnsiTheme="minorHAnsi" w:cstheme="minorHAnsi"/>
                <w:color w:val="000000"/>
              </w:rPr>
              <w:t>.</w:t>
            </w:r>
          </w:p>
        </w:tc>
      </w:tr>
      <w:bookmarkEnd w:id="84"/>
      <w:tr w:rsidR="00F34079" w:rsidRPr="00EC4F25" w14:paraId="0EE6EE5C" w14:textId="77777777" w:rsidTr="005B0CD2">
        <w:trPr>
          <w:gridAfter w:val="1"/>
          <w:wAfter w:w="1050" w:type="dxa"/>
          <w:tblCellSpacing w:w="5" w:type="dxa"/>
        </w:trPr>
        <w:tc>
          <w:tcPr>
            <w:tcW w:w="9191" w:type="dxa"/>
            <w:gridSpan w:val="2"/>
            <w:tcBorders>
              <w:top w:val="nil"/>
              <w:left w:val="single" w:sz="4" w:space="0" w:color="auto"/>
            </w:tcBorders>
            <w:shd w:val="clear" w:color="auto" w:fill="FFFFFF"/>
            <w:tcMar>
              <w:top w:w="0" w:type="dxa"/>
              <w:left w:w="30" w:type="dxa"/>
              <w:bottom w:w="0" w:type="dxa"/>
              <w:right w:w="0" w:type="dxa"/>
            </w:tcMar>
            <w:hideMark/>
          </w:tcPr>
          <w:p w14:paraId="0B4756BC" w14:textId="77777777" w:rsidR="00033A4F" w:rsidRDefault="00033A4F" w:rsidP="009E76FD">
            <w:pPr>
              <w:shd w:val="clear" w:color="auto" w:fill="FFFFFF"/>
              <w:spacing w:after="148"/>
              <w:jc w:val="center"/>
              <w:rPr>
                <w:rFonts w:cstheme="minorHAnsi"/>
                <w:b/>
                <w:bCs/>
                <w:caps/>
                <w:color w:val="000000"/>
                <w:sz w:val="2"/>
                <w:szCs w:val="2"/>
              </w:rPr>
            </w:pPr>
          </w:p>
          <w:p w14:paraId="389C5619" w14:textId="77777777" w:rsidR="001C726E" w:rsidRDefault="001C726E" w:rsidP="009E76FD">
            <w:pPr>
              <w:shd w:val="clear" w:color="auto" w:fill="FFFFFF"/>
              <w:spacing w:after="148"/>
              <w:jc w:val="center"/>
              <w:rPr>
                <w:rFonts w:cstheme="minorHAnsi"/>
                <w:b/>
                <w:bCs/>
                <w:caps/>
                <w:color w:val="000000"/>
                <w:sz w:val="2"/>
                <w:szCs w:val="2"/>
              </w:rPr>
            </w:pPr>
          </w:p>
          <w:p w14:paraId="1DA2921C" w14:textId="0500D065" w:rsidR="00F34079" w:rsidRPr="005B0CD2" w:rsidRDefault="00F34079" w:rsidP="009E76FD">
            <w:pPr>
              <w:shd w:val="clear" w:color="auto" w:fill="FFFFFF"/>
              <w:spacing w:after="148"/>
              <w:jc w:val="center"/>
              <w:rPr>
                <w:rFonts w:cstheme="minorHAnsi"/>
                <w:b/>
                <w:bCs/>
                <w:caps/>
                <w:color w:val="000000"/>
                <w:sz w:val="24"/>
                <w:szCs w:val="24"/>
              </w:rPr>
            </w:pPr>
            <w:r w:rsidRPr="005B0CD2">
              <w:rPr>
                <w:rFonts w:cstheme="minorHAnsi"/>
                <w:b/>
                <w:bCs/>
                <w:caps/>
                <w:color w:val="000000"/>
                <w:sz w:val="24"/>
                <w:szCs w:val="24"/>
              </w:rPr>
              <w:t>UZASADNIENIE</w:t>
            </w:r>
          </w:p>
          <w:p w14:paraId="00CBEF5A" w14:textId="0EE9FEB9"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i/>
                <w:color w:val="000000"/>
              </w:rPr>
            </w:pPr>
            <w:r w:rsidRPr="007B236D">
              <w:rPr>
                <w:rFonts w:asciiTheme="minorHAnsi" w:hAnsiTheme="minorHAnsi" w:cstheme="minorHAnsi"/>
                <w:b/>
                <w:bCs/>
                <w:color w:val="000000"/>
              </w:rPr>
              <w:t>Rzecznik Praw Obywatelskich powołując się</w:t>
            </w:r>
            <w:r w:rsidRPr="005B0CD2">
              <w:rPr>
                <w:rFonts w:asciiTheme="minorHAnsi" w:hAnsiTheme="minorHAnsi" w:cstheme="minorHAnsi"/>
                <w:color w:val="000000"/>
              </w:rPr>
              <w:t xml:space="preserve"> na </w:t>
            </w:r>
            <w:r w:rsidRPr="007B236D">
              <w:rPr>
                <w:rFonts w:asciiTheme="minorHAnsi" w:hAnsiTheme="minorHAnsi" w:cstheme="minorHAnsi"/>
                <w:b/>
                <w:bCs/>
                <w:color w:val="000000"/>
              </w:rPr>
              <w:t>art. 264 § 2</w:t>
            </w:r>
            <w:r w:rsidRPr="005B0CD2">
              <w:rPr>
                <w:rFonts w:asciiTheme="minorHAnsi" w:hAnsiTheme="minorHAnsi" w:cstheme="minorHAnsi"/>
                <w:color w:val="000000"/>
              </w:rPr>
              <w:t xml:space="preserve"> w związku z </w:t>
            </w:r>
            <w:r w:rsidRPr="007B236D">
              <w:rPr>
                <w:rFonts w:asciiTheme="minorHAnsi" w:hAnsiTheme="minorHAnsi" w:cstheme="minorHAnsi"/>
                <w:b/>
                <w:bCs/>
                <w:color w:val="000000"/>
              </w:rPr>
              <w:t>art. 15 § 1 pkt 2</w:t>
            </w:r>
            <w:r w:rsidRPr="005B0CD2">
              <w:rPr>
                <w:rFonts w:asciiTheme="minorHAnsi" w:hAnsiTheme="minorHAnsi" w:cstheme="minorHAnsi"/>
                <w:color w:val="000000"/>
              </w:rPr>
              <w:t xml:space="preserve"> ustawy z dnia 30 sierpnia 2002</w:t>
            </w:r>
            <w:r w:rsidR="00AF7CA8">
              <w:rPr>
                <w:rFonts w:asciiTheme="minorHAnsi" w:hAnsiTheme="minorHAnsi" w:cstheme="minorHAnsi"/>
                <w:color w:val="000000"/>
              </w:rPr>
              <w:t xml:space="preserve"> </w:t>
            </w:r>
            <w:r w:rsidRPr="005B0CD2">
              <w:rPr>
                <w:rFonts w:asciiTheme="minorHAnsi" w:hAnsiTheme="minorHAnsi" w:cstheme="minorHAnsi"/>
                <w:color w:val="000000"/>
              </w:rPr>
              <w:t xml:space="preserve">r. </w:t>
            </w:r>
            <w:r w:rsidR="007B236D">
              <w:rPr>
                <w:rFonts w:asciiTheme="minorHAnsi" w:hAnsiTheme="minorHAnsi" w:cstheme="minorHAnsi"/>
                <w:color w:val="000000"/>
              </w:rPr>
              <w:t>-</w:t>
            </w:r>
            <w:r w:rsidRPr="005B0CD2">
              <w:rPr>
                <w:rFonts w:asciiTheme="minorHAnsi" w:hAnsiTheme="minorHAnsi" w:cstheme="minorHAnsi"/>
                <w:color w:val="000000"/>
              </w:rPr>
              <w:t xml:space="preserve"> </w:t>
            </w:r>
            <w:r w:rsidRPr="007B236D">
              <w:rPr>
                <w:rFonts w:asciiTheme="minorHAnsi" w:hAnsiTheme="minorHAnsi" w:cstheme="minorHAnsi"/>
                <w:b/>
                <w:bCs/>
                <w:color w:val="000000"/>
              </w:rPr>
              <w:t>Prawo o postępowaniu przed sądami administracyjnymi</w:t>
            </w:r>
            <w:r w:rsidRPr="005B0CD2">
              <w:rPr>
                <w:rFonts w:asciiTheme="minorHAnsi" w:hAnsiTheme="minorHAnsi" w:cstheme="minorHAnsi"/>
                <w:color w:val="000000"/>
              </w:rPr>
              <w:t xml:space="preserve"> (tekst jedn. Dz. U z 2018 r., poz.1302 ze zm.; dalej jako </w:t>
            </w:r>
            <w:r w:rsidRPr="007B236D">
              <w:rPr>
                <w:rFonts w:asciiTheme="minorHAnsi" w:hAnsiTheme="minorHAnsi" w:cstheme="minorHAnsi"/>
                <w:b/>
                <w:bCs/>
                <w:color w:val="000000"/>
              </w:rPr>
              <w:t>P.p.s.a</w:t>
            </w:r>
            <w:r w:rsidRPr="005B0CD2">
              <w:rPr>
                <w:rFonts w:asciiTheme="minorHAnsi" w:hAnsiTheme="minorHAnsi" w:cstheme="minorHAnsi"/>
                <w:color w:val="000000"/>
              </w:rPr>
              <w:t xml:space="preserve">.) </w:t>
            </w:r>
            <w:r w:rsidRPr="007B236D">
              <w:rPr>
                <w:rFonts w:asciiTheme="minorHAnsi" w:hAnsiTheme="minorHAnsi" w:cstheme="minorHAnsi"/>
                <w:b/>
                <w:bCs/>
                <w:color w:val="000000"/>
              </w:rPr>
              <w:t>wniósł o rozstrzygnięcie przez Naczelny Sąd</w:t>
            </w:r>
            <w:r w:rsidRPr="005B0CD2">
              <w:rPr>
                <w:rFonts w:asciiTheme="minorHAnsi" w:hAnsiTheme="minorHAnsi" w:cstheme="minorHAnsi"/>
                <w:color w:val="000000"/>
              </w:rPr>
              <w:t xml:space="preserve"> </w:t>
            </w:r>
            <w:r w:rsidRPr="007B236D">
              <w:rPr>
                <w:rFonts w:asciiTheme="minorHAnsi" w:hAnsiTheme="minorHAnsi" w:cstheme="minorHAnsi"/>
                <w:b/>
                <w:bCs/>
                <w:color w:val="000000"/>
              </w:rPr>
              <w:t>Administracyjny</w:t>
            </w:r>
            <w:r w:rsidRPr="005B0CD2">
              <w:rPr>
                <w:rFonts w:asciiTheme="minorHAnsi" w:hAnsiTheme="minorHAnsi" w:cstheme="minorHAnsi"/>
                <w:color w:val="000000"/>
              </w:rPr>
              <w:t xml:space="preserve"> następującego zagadnienia prawnego: "</w:t>
            </w:r>
            <w:r w:rsidRPr="007B236D">
              <w:rPr>
                <w:rFonts w:asciiTheme="minorHAnsi" w:hAnsiTheme="minorHAnsi" w:cstheme="minorHAnsi"/>
                <w:b/>
                <w:bCs/>
                <w:i/>
                <w:color w:val="000000"/>
              </w:rPr>
              <w:t>Czy w ramach udostępnienia akt stronie na podstawie art. 73 §</w:t>
            </w:r>
            <w:r w:rsidR="00A66599" w:rsidRPr="007B236D">
              <w:rPr>
                <w:rFonts w:asciiTheme="minorHAnsi" w:hAnsiTheme="minorHAnsi" w:cstheme="minorHAnsi"/>
                <w:b/>
                <w:bCs/>
                <w:i/>
                <w:color w:val="000000"/>
              </w:rPr>
              <w:t xml:space="preserve"> </w:t>
            </w:r>
            <w:r w:rsidRPr="007B236D">
              <w:rPr>
                <w:rFonts w:asciiTheme="minorHAnsi" w:hAnsiTheme="minorHAnsi" w:cstheme="minorHAnsi"/>
                <w:b/>
                <w:bCs/>
                <w:i/>
                <w:color w:val="000000"/>
              </w:rPr>
              <w:t xml:space="preserve">1 </w:t>
            </w:r>
            <w:r w:rsidRPr="007B236D">
              <w:rPr>
                <w:rFonts w:asciiTheme="minorHAnsi" w:hAnsiTheme="minorHAnsi" w:cstheme="minorHAnsi"/>
                <w:i/>
                <w:color w:val="000000"/>
              </w:rPr>
              <w:t>ustawy z dnia 14 czerwca 1960 r.</w:t>
            </w:r>
            <w:r w:rsidRPr="007B236D">
              <w:rPr>
                <w:rFonts w:asciiTheme="minorHAnsi" w:hAnsiTheme="minorHAnsi" w:cstheme="minorHAnsi"/>
                <w:b/>
                <w:bCs/>
                <w:i/>
                <w:color w:val="000000"/>
              </w:rPr>
              <w:t xml:space="preserve"> Kodeks postępowania administracyjnego </w:t>
            </w:r>
            <w:r w:rsidRPr="007B236D">
              <w:rPr>
                <w:rFonts w:asciiTheme="minorHAnsi" w:hAnsiTheme="minorHAnsi" w:cstheme="minorHAnsi"/>
                <w:i/>
                <w:color w:val="000000"/>
              </w:rPr>
              <w:t>mieści się</w:t>
            </w:r>
            <w:r w:rsidRPr="007B236D">
              <w:rPr>
                <w:rFonts w:asciiTheme="minorHAnsi" w:hAnsiTheme="minorHAnsi" w:cstheme="minorHAnsi"/>
                <w:b/>
                <w:bCs/>
                <w:i/>
                <w:color w:val="000000"/>
              </w:rPr>
              <w:t xml:space="preserve"> sporządzenie przez organ </w:t>
            </w:r>
            <w:r w:rsidRPr="007B236D">
              <w:rPr>
                <w:rFonts w:asciiTheme="minorHAnsi" w:hAnsiTheme="minorHAnsi" w:cstheme="minorHAnsi"/>
                <w:i/>
                <w:color w:val="000000"/>
              </w:rPr>
              <w:t>w sposób wynikający z posiadanych możliwości technicznych i organizacyjnych,</w:t>
            </w:r>
            <w:r w:rsidRPr="007B236D">
              <w:rPr>
                <w:rFonts w:asciiTheme="minorHAnsi" w:hAnsiTheme="minorHAnsi" w:cstheme="minorHAnsi"/>
                <w:b/>
                <w:bCs/>
                <w:i/>
                <w:color w:val="000000"/>
              </w:rPr>
              <w:t xml:space="preserve"> na wniosek strony</w:t>
            </w:r>
            <w:r w:rsidRPr="007B236D">
              <w:rPr>
                <w:rFonts w:asciiTheme="minorHAnsi" w:hAnsiTheme="minorHAnsi" w:cstheme="minorHAnsi"/>
                <w:i/>
                <w:color w:val="000000"/>
              </w:rPr>
              <w:t>,</w:t>
            </w:r>
            <w:r w:rsidRPr="007B236D">
              <w:rPr>
                <w:rFonts w:asciiTheme="minorHAnsi" w:hAnsiTheme="minorHAnsi" w:cstheme="minorHAnsi"/>
                <w:b/>
                <w:bCs/>
                <w:i/>
                <w:color w:val="000000"/>
              </w:rPr>
              <w:t xml:space="preserve"> kopii dokumentacji zgromadzonej w aktach sprawy?</w:t>
            </w:r>
            <w:r w:rsidRPr="005B0CD2">
              <w:rPr>
                <w:rFonts w:asciiTheme="minorHAnsi" w:hAnsiTheme="minorHAnsi" w:cstheme="minorHAnsi"/>
                <w:i/>
                <w:color w:val="000000"/>
              </w:rPr>
              <w:t>".</w:t>
            </w:r>
          </w:p>
          <w:p w14:paraId="2AAA057F"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Uzasadniając wniosek </w:t>
            </w:r>
            <w:r w:rsidRPr="007B236D">
              <w:rPr>
                <w:rFonts w:asciiTheme="minorHAnsi" w:hAnsiTheme="minorHAnsi" w:cstheme="minorHAnsi"/>
                <w:b/>
                <w:bCs/>
                <w:color w:val="000000"/>
              </w:rPr>
              <w:t>Rzecznik Praw Obywatelskich wskazał, że w orzecznictwie sądów administracyjnych ujawniła się rozbieżność</w:t>
            </w:r>
            <w:r w:rsidRPr="005B0CD2">
              <w:rPr>
                <w:rFonts w:asciiTheme="minorHAnsi" w:hAnsiTheme="minorHAnsi" w:cstheme="minorHAnsi"/>
                <w:color w:val="000000"/>
              </w:rPr>
              <w:t xml:space="preserve"> w stosowaniu przepisu </w:t>
            </w:r>
            <w:r w:rsidRPr="007B236D">
              <w:rPr>
                <w:rFonts w:asciiTheme="minorHAnsi" w:hAnsiTheme="minorHAnsi" w:cstheme="minorHAnsi"/>
                <w:b/>
                <w:bCs/>
                <w:color w:val="000000"/>
              </w:rPr>
              <w:t>art. 73 § 1</w:t>
            </w:r>
            <w:r w:rsidRPr="005B0CD2">
              <w:rPr>
                <w:rFonts w:asciiTheme="minorHAnsi" w:hAnsiTheme="minorHAnsi" w:cstheme="minorHAnsi"/>
                <w:color w:val="000000"/>
              </w:rPr>
              <w:t xml:space="preserve"> ustawy z dnia 14 czerwca 1960 r. </w:t>
            </w:r>
            <w:r w:rsidRPr="007B236D">
              <w:rPr>
                <w:rFonts w:asciiTheme="minorHAnsi" w:hAnsiTheme="minorHAnsi" w:cstheme="minorHAnsi"/>
                <w:b/>
                <w:bCs/>
                <w:color w:val="000000"/>
              </w:rPr>
              <w:t>Kodeks postępowania administracyjnego</w:t>
            </w:r>
            <w:r w:rsidRPr="005B0CD2">
              <w:rPr>
                <w:rFonts w:asciiTheme="minorHAnsi" w:hAnsiTheme="minorHAnsi" w:cstheme="minorHAnsi"/>
                <w:color w:val="000000"/>
              </w:rPr>
              <w:t xml:space="preserve"> (tekst jedn. Dz. U. z 2017 r., poz. 1257 ze zm.; dalej jako </w:t>
            </w:r>
            <w:r w:rsidRPr="007B236D">
              <w:rPr>
                <w:rFonts w:asciiTheme="minorHAnsi" w:hAnsiTheme="minorHAnsi" w:cstheme="minorHAnsi"/>
                <w:b/>
                <w:bCs/>
                <w:color w:val="000000"/>
              </w:rPr>
              <w:t>k.p.a.</w:t>
            </w:r>
            <w:r w:rsidRPr="005B0CD2">
              <w:rPr>
                <w:rFonts w:asciiTheme="minorHAnsi" w:hAnsiTheme="minorHAnsi" w:cstheme="minorHAnsi"/>
                <w:color w:val="000000"/>
              </w:rPr>
              <w:t>) na tle zakresu prawa strony do wglądu w akta sprawy i sporządzania z nich notatek, kopii lub odpisów.</w:t>
            </w:r>
          </w:p>
          <w:p w14:paraId="57A19CA6"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Kwestia sposobu udostępniania akt postępowania administracyjnego nie jest szerzej ujęta w piśmiennictwie prawniczym, doktryna postępowania administracyjnego z reguły ogranicza się do konkluzji, że wobec braku regulacji ustawodawcy w tym zakresie, to organ decyduje w jaki sposób udostępnia akta postępowania.</w:t>
            </w:r>
          </w:p>
          <w:p w14:paraId="6E036488"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Orzecznictwo sądów administracyjnych na tle tego zagadnienia jest niejednolite, jakkolwiek można wyróżnić w nim </w:t>
            </w:r>
            <w:r w:rsidRPr="007B236D">
              <w:rPr>
                <w:rFonts w:asciiTheme="minorHAnsi" w:hAnsiTheme="minorHAnsi" w:cstheme="minorHAnsi"/>
                <w:b/>
                <w:bCs/>
                <w:color w:val="000000"/>
              </w:rPr>
              <w:t>dwie odmienne linie orzecznicze</w:t>
            </w:r>
            <w:r w:rsidRPr="005B0CD2">
              <w:rPr>
                <w:rFonts w:asciiTheme="minorHAnsi" w:hAnsiTheme="minorHAnsi" w:cstheme="minorHAnsi"/>
                <w:color w:val="000000"/>
              </w:rPr>
              <w:t xml:space="preserve"> co do możności realizacji przez stronę takiego uprawnienia.</w:t>
            </w:r>
          </w:p>
          <w:p w14:paraId="13349DDC"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i/>
                <w:color w:val="000000"/>
              </w:rPr>
            </w:pPr>
            <w:r w:rsidRPr="007B236D">
              <w:rPr>
                <w:rFonts w:asciiTheme="minorHAnsi" w:hAnsiTheme="minorHAnsi" w:cstheme="minorHAnsi"/>
                <w:b/>
                <w:bCs/>
                <w:color w:val="000000"/>
              </w:rPr>
              <w:t>Według pierwszej</w:t>
            </w:r>
            <w:r w:rsidRPr="005B0CD2">
              <w:rPr>
                <w:rFonts w:asciiTheme="minorHAnsi" w:hAnsiTheme="minorHAnsi" w:cstheme="minorHAnsi"/>
                <w:color w:val="000000"/>
              </w:rPr>
              <w:t xml:space="preserve"> z nich, dominującej w orzecznictwie, </w:t>
            </w:r>
            <w:r w:rsidRPr="007B236D">
              <w:rPr>
                <w:rFonts w:asciiTheme="minorHAnsi" w:hAnsiTheme="minorHAnsi" w:cstheme="minorHAnsi"/>
                <w:b/>
                <w:bCs/>
                <w:color w:val="000000"/>
              </w:rPr>
              <w:t>art. 73 § 1 k.p.a. nie nakłada na organ prowadzący postępowanie obowiązku sporządzania kopii</w:t>
            </w:r>
            <w:r w:rsidRPr="005B0CD2">
              <w:rPr>
                <w:rFonts w:asciiTheme="minorHAnsi" w:hAnsiTheme="minorHAnsi" w:cstheme="minorHAnsi"/>
                <w:color w:val="000000"/>
              </w:rPr>
              <w:t xml:space="preserve"> dokumentacji sprawy, gdyż zgodnie z językowym brzmieniem tego przepisu czynności w postaci sporządzania notatek, kopii lub odpisów należą do strony, a </w:t>
            </w:r>
            <w:r w:rsidRPr="007B236D">
              <w:rPr>
                <w:rFonts w:asciiTheme="minorHAnsi" w:hAnsiTheme="minorHAnsi" w:cstheme="minorHAnsi"/>
                <w:b/>
                <w:bCs/>
                <w:color w:val="000000"/>
              </w:rPr>
              <w:t>sporządzenie kopii na żądanie strony jest możliwe jedynie w przypadku wykazania przez stronę ważnego interesu</w:t>
            </w:r>
            <w:r w:rsidRPr="005B0CD2">
              <w:rPr>
                <w:rFonts w:asciiTheme="minorHAnsi" w:hAnsiTheme="minorHAnsi" w:cstheme="minorHAnsi"/>
                <w:color w:val="000000"/>
              </w:rPr>
              <w:t xml:space="preserve">, zgodnie z </w:t>
            </w:r>
            <w:r w:rsidRPr="007B236D">
              <w:rPr>
                <w:rFonts w:asciiTheme="minorHAnsi" w:hAnsiTheme="minorHAnsi" w:cstheme="minorHAnsi"/>
                <w:b/>
                <w:bCs/>
                <w:color w:val="000000"/>
              </w:rPr>
              <w:t>art. 73 § 2 k.p.a</w:t>
            </w:r>
            <w:r w:rsidRPr="005B0CD2">
              <w:rPr>
                <w:rFonts w:asciiTheme="minorHAnsi" w:hAnsiTheme="minorHAnsi" w:cstheme="minorHAnsi"/>
                <w:color w:val="000000"/>
              </w:rPr>
              <w:t>. Stanowisko takie wyrażone zostało w uzasadnieniu wyroku Naczelnego Sądu Administracyjnego z dnia 5 lipca 2005 r., sygn. akt GSK 898/04 (wszystkie wyroki publikowane w Centralnej Bazie Orzeczeń Sądów Administracyjnych, http://orzeczenia.nsa.gov.pl), w którym sąd stwierdził, że "</w:t>
            </w:r>
            <w:r w:rsidRPr="005B0CD2">
              <w:rPr>
                <w:rFonts w:asciiTheme="minorHAnsi" w:hAnsiTheme="minorHAnsi" w:cstheme="minorHAnsi"/>
                <w:i/>
                <w:color w:val="000000"/>
              </w:rPr>
              <w:t xml:space="preserve">skoro </w:t>
            </w:r>
            <w:r w:rsidRPr="005B0CD2">
              <w:rPr>
                <w:rFonts w:asciiTheme="minorHAnsi" w:hAnsiTheme="minorHAnsi" w:cstheme="minorHAnsi"/>
                <w:i/>
                <w:color w:val="000000"/>
              </w:rPr>
              <w:lastRenderedPageBreak/>
              <w:t>strona ma prawo sporządzać notatki lub odpisy, to tym samym brak jest podstaw do odmowy sporządzenia tychże pism za pomocą kserokopiarki, jak i innych nowoczesnych urządzeń. Nie oznacza to jednak, że strona postępowania może żądać, aby takie kserokopie wykonał i dostarczył sam organ, gdyż sporządzanie notatek czy odpisów z akt postępowania ustawodawca pozostawił stronie, niezależnie od rodzaju użytych do tego środków technicznych".</w:t>
            </w:r>
          </w:p>
          <w:p w14:paraId="6498BC7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Ta teza odwołująca się do literalnej wykładni tekstu przepisów </w:t>
            </w:r>
            <w:r w:rsidRPr="00A527DD">
              <w:rPr>
                <w:rFonts w:asciiTheme="minorHAnsi" w:hAnsiTheme="minorHAnsi" w:cstheme="minorHAnsi"/>
                <w:b/>
                <w:bCs/>
                <w:color w:val="000000"/>
              </w:rPr>
              <w:t>art. 73 § 1 k.p.a</w:t>
            </w:r>
            <w:r w:rsidRPr="005B0CD2">
              <w:rPr>
                <w:rFonts w:asciiTheme="minorHAnsi" w:hAnsiTheme="minorHAnsi" w:cstheme="minorHAnsi"/>
                <w:color w:val="000000"/>
              </w:rPr>
              <w:t>. jest naczelnym argumentem za uznaniem przez składy sądów administracyjnych opowiadających się za tą linią, iż strona postępowania nie może żądać, aby kserokopie dokumentów znajdujących się w aktach sprawy wykonywał i dostarczał sam organ administracji. W wyroku Wojewódzkiego Sądu Administracyjnego w Warszawie z dnia 11 stycznia 2017 r. (sygn. akt IV SA/</w:t>
            </w:r>
            <w:proofErr w:type="spellStart"/>
            <w:r w:rsidRPr="005B0CD2">
              <w:rPr>
                <w:rFonts w:asciiTheme="minorHAnsi" w:hAnsiTheme="minorHAnsi" w:cstheme="minorHAnsi"/>
                <w:color w:val="000000"/>
              </w:rPr>
              <w:t>Wa</w:t>
            </w:r>
            <w:proofErr w:type="spellEnd"/>
            <w:r w:rsidRPr="005B0CD2">
              <w:rPr>
                <w:rFonts w:asciiTheme="minorHAnsi" w:hAnsiTheme="minorHAnsi" w:cstheme="minorHAnsi"/>
                <w:color w:val="000000"/>
              </w:rPr>
              <w:t xml:space="preserve"> 1890/16) przywołuje się na poparcie tego poglądu także treść </w:t>
            </w:r>
            <w:r w:rsidRPr="00A527DD">
              <w:rPr>
                <w:rFonts w:asciiTheme="minorHAnsi" w:hAnsiTheme="minorHAnsi" w:cstheme="minorHAnsi"/>
                <w:b/>
                <w:bCs/>
                <w:color w:val="000000"/>
              </w:rPr>
              <w:t>art. 73 § 1a k.p.a</w:t>
            </w:r>
            <w:r w:rsidRPr="005B0CD2">
              <w:rPr>
                <w:rFonts w:asciiTheme="minorHAnsi" w:hAnsiTheme="minorHAnsi" w:cstheme="minorHAnsi"/>
                <w:color w:val="000000"/>
              </w:rPr>
              <w:t xml:space="preserve">. stanowiącą o realizacji uprawnień z </w:t>
            </w:r>
            <w:r w:rsidRPr="00A527DD">
              <w:rPr>
                <w:rFonts w:asciiTheme="minorHAnsi" w:hAnsiTheme="minorHAnsi" w:cstheme="minorHAnsi"/>
                <w:b/>
                <w:bCs/>
                <w:color w:val="000000"/>
              </w:rPr>
              <w:t>art. 73 § 1 k.p.a</w:t>
            </w:r>
            <w:r w:rsidRPr="005B0CD2">
              <w:rPr>
                <w:rFonts w:asciiTheme="minorHAnsi" w:hAnsiTheme="minorHAnsi" w:cstheme="minorHAnsi"/>
                <w:color w:val="000000"/>
              </w:rPr>
              <w:t>. w lokalu organu administracji i w obecności pracownika tego organu. W konkluzji sąd stwierdza, że brak jest zatem podstaw prawnych do domagania się przez stronę wydania akt poza siedzibę organu.</w:t>
            </w:r>
          </w:p>
          <w:p w14:paraId="5283F0C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Bardzo często w tej linii orzeczniczej podkreśla się, za wyrokiem Naczelnego Sądu Administracyjnego z dnia 29 marca 2001 r. (sygn. akt II SA 2580/00), że poprzez pozostawienie sporządzania notatek czy odpisów z akt postępowania stronie przepis ten wyraźnie rozgraniczył obowiązki organu administracji, który umożliwia stronom przeglądanie akt i sporządzanie z nich notatek i odpisów, od uprawnień strony w postaci przeglądania akt oraz sporządzania notatek i odpisów. Na uzasadnienie tego stanowiska przywołuje się również treść </w:t>
            </w:r>
            <w:r w:rsidRPr="00A527DD">
              <w:rPr>
                <w:rFonts w:asciiTheme="minorHAnsi" w:hAnsiTheme="minorHAnsi" w:cstheme="minorHAnsi"/>
                <w:b/>
                <w:bCs/>
                <w:color w:val="000000"/>
              </w:rPr>
              <w:t>art. 73 § 2 k.p.a</w:t>
            </w:r>
            <w:r w:rsidRPr="005B0CD2">
              <w:rPr>
                <w:rFonts w:asciiTheme="minorHAnsi" w:hAnsiTheme="minorHAnsi" w:cstheme="minorHAnsi"/>
                <w:color w:val="000000"/>
              </w:rPr>
              <w:t>., zgodnie z którym strona postępowania może domagać się jedynie wydania jej z akt sprawy uwierzytelnionych odpisów, ale tylko wówczas, gdy uzasadni to swoim własnym interesem.</w:t>
            </w:r>
          </w:p>
          <w:p w14:paraId="2AB82B2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Odwołania do tych tez zostały przedstawione w szeregu orzeczeń sądów administracyjnych (zob. wyroki NSA: z dnia 22 stycznia 2016 r., sygn. akt II OSK 1249/14; z dnia 20 maja 2014 r., sygn. akt II OSK 2997/12; z dnia 13 lutego 2014 r., sygn. akt I OSK 1772/12; z dnia 13 lutego 2014 r., sygn. akt I OSK 1806/12; z dnia 21 października 2011 r., sygn. akt II OSK 1462/10; z dnia 12 października 2010 r., sygn. akt II OSK 104/10; wyrok WSA w Warszawie: z dnia 27 kwietnia 2006 r., sygn. akt II SA/</w:t>
            </w:r>
            <w:proofErr w:type="spellStart"/>
            <w:r w:rsidRPr="005B0CD2">
              <w:rPr>
                <w:rFonts w:asciiTheme="minorHAnsi" w:hAnsiTheme="minorHAnsi" w:cstheme="minorHAnsi"/>
                <w:color w:val="000000"/>
              </w:rPr>
              <w:t>Wa</w:t>
            </w:r>
            <w:proofErr w:type="spellEnd"/>
            <w:r w:rsidRPr="005B0CD2">
              <w:rPr>
                <w:rFonts w:asciiTheme="minorHAnsi" w:hAnsiTheme="minorHAnsi" w:cstheme="minorHAnsi"/>
                <w:color w:val="000000"/>
              </w:rPr>
              <w:t xml:space="preserve"> 1734/05; z dnia 24 listopada 2011 r., sygn. akt II SA/</w:t>
            </w:r>
            <w:proofErr w:type="spellStart"/>
            <w:r w:rsidRPr="005B0CD2">
              <w:rPr>
                <w:rFonts w:asciiTheme="minorHAnsi" w:hAnsiTheme="minorHAnsi" w:cstheme="minorHAnsi"/>
                <w:color w:val="000000"/>
              </w:rPr>
              <w:t>Wa</w:t>
            </w:r>
            <w:proofErr w:type="spellEnd"/>
            <w:r w:rsidRPr="005B0CD2">
              <w:rPr>
                <w:rFonts w:asciiTheme="minorHAnsi" w:hAnsiTheme="minorHAnsi" w:cstheme="minorHAnsi"/>
                <w:color w:val="000000"/>
              </w:rPr>
              <w:t xml:space="preserve"> 1665/11; wyrok WSA w Rzeszowie z dnia 22 września 2017 r., sygn. akt II SA/</w:t>
            </w:r>
            <w:proofErr w:type="spellStart"/>
            <w:r w:rsidRPr="005B0CD2">
              <w:rPr>
                <w:rFonts w:asciiTheme="minorHAnsi" w:hAnsiTheme="minorHAnsi" w:cstheme="minorHAnsi"/>
                <w:color w:val="000000"/>
              </w:rPr>
              <w:t>Rz</w:t>
            </w:r>
            <w:proofErr w:type="spellEnd"/>
            <w:r w:rsidRPr="005B0CD2">
              <w:rPr>
                <w:rFonts w:asciiTheme="minorHAnsi" w:hAnsiTheme="minorHAnsi" w:cstheme="minorHAnsi"/>
                <w:color w:val="000000"/>
              </w:rPr>
              <w:t xml:space="preserve"> 723/17; wyrok WSA we Wrocławiu z dnia 27 września 2017 r., </w:t>
            </w:r>
            <w:proofErr w:type="spellStart"/>
            <w:r w:rsidRPr="005B0CD2">
              <w:rPr>
                <w:rFonts w:asciiTheme="minorHAnsi" w:hAnsiTheme="minorHAnsi" w:cstheme="minorHAnsi"/>
                <w:color w:val="000000"/>
              </w:rPr>
              <w:t>sygn</w:t>
            </w:r>
            <w:proofErr w:type="spellEnd"/>
            <w:r w:rsidRPr="005B0CD2">
              <w:rPr>
                <w:rFonts w:asciiTheme="minorHAnsi" w:hAnsiTheme="minorHAnsi" w:cstheme="minorHAnsi"/>
                <w:color w:val="000000"/>
              </w:rPr>
              <w:t>, akt II SA/</w:t>
            </w:r>
            <w:proofErr w:type="spellStart"/>
            <w:r w:rsidRPr="005B0CD2">
              <w:rPr>
                <w:rFonts w:asciiTheme="minorHAnsi" w:hAnsiTheme="minorHAnsi" w:cstheme="minorHAnsi"/>
                <w:color w:val="000000"/>
              </w:rPr>
              <w:t>Wr</w:t>
            </w:r>
            <w:proofErr w:type="spellEnd"/>
            <w:r w:rsidRPr="005B0CD2">
              <w:rPr>
                <w:rFonts w:asciiTheme="minorHAnsi" w:hAnsiTheme="minorHAnsi" w:cstheme="minorHAnsi"/>
                <w:color w:val="000000"/>
              </w:rPr>
              <w:t xml:space="preserve"> 399/17; wyrok WSA we Wrocławiu z dnia 20 kwietnia 2017 r., sygn. akt II SA/</w:t>
            </w:r>
            <w:proofErr w:type="spellStart"/>
            <w:r w:rsidRPr="005B0CD2">
              <w:rPr>
                <w:rFonts w:asciiTheme="minorHAnsi" w:hAnsiTheme="minorHAnsi" w:cstheme="minorHAnsi"/>
                <w:color w:val="000000"/>
              </w:rPr>
              <w:t>Wr</w:t>
            </w:r>
            <w:proofErr w:type="spellEnd"/>
            <w:r w:rsidRPr="005B0CD2">
              <w:rPr>
                <w:rFonts w:asciiTheme="minorHAnsi" w:hAnsiTheme="minorHAnsi" w:cstheme="minorHAnsi"/>
                <w:color w:val="000000"/>
              </w:rPr>
              <w:t xml:space="preserve"> 78/17; wyrok WSA w Olsztynie z dnia 5 sierpnia 2008 r., sygn. akt II SA/Ol 332/08; wyrok WSA w Poznaniu z dnia 16 lipca 2009 r., sygn. akt IV SA/Po 228/09).</w:t>
            </w:r>
          </w:p>
          <w:p w14:paraId="765C477D" w14:textId="17AA6C5B"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tej linii orzeczniczej podkreślano także, że </w:t>
            </w:r>
            <w:r w:rsidRPr="005B0CD2">
              <w:rPr>
                <w:rFonts w:asciiTheme="minorHAnsi" w:hAnsiTheme="minorHAnsi" w:cstheme="minorHAnsi"/>
                <w:i/>
                <w:color w:val="000000"/>
              </w:rPr>
              <w:t xml:space="preserve">"pomimo postępu technicznego w dziedzinie kopiowania ustawodawca nie wprowadził do k.p.a. prawa do domagania się przez stronę </w:t>
            </w:r>
            <w:r w:rsidRPr="005B0CD2">
              <w:rPr>
                <w:rFonts w:asciiTheme="minorHAnsi" w:hAnsiTheme="minorHAnsi" w:cstheme="minorHAnsi"/>
                <w:i/>
                <w:color w:val="000000"/>
              </w:rPr>
              <w:lastRenderedPageBreak/>
              <w:t>sporządzenia przez organ kopii, wybranych dokumentów z akt sprawy lub kopii całych akt sprawy i jednocześnie nie nałożył na organ administracji publicznej tego rodzaju obowiązku i to pomimo zmian dokonywanych w przepisach kodeksu postępowania administracyjnego.</w:t>
            </w:r>
            <w:r w:rsidR="00EF5683" w:rsidRPr="005B0CD2">
              <w:rPr>
                <w:rFonts w:asciiTheme="minorHAnsi" w:hAnsiTheme="minorHAnsi" w:cstheme="minorHAnsi"/>
                <w:i/>
                <w:color w:val="000000"/>
              </w:rPr>
              <w:t>”</w:t>
            </w:r>
          </w:p>
          <w:p w14:paraId="4D2F7BD3"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7B236D">
              <w:rPr>
                <w:rFonts w:asciiTheme="minorHAnsi" w:hAnsiTheme="minorHAnsi" w:cstheme="minorHAnsi"/>
                <w:b/>
                <w:bCs/>
                <w:color w:val="000000"/>
              </w:rPr>
              <w:t>Rzecznik Praw Obywatelskich podkreślił, że w orzecznictwie istnieje jednak także inna linia orzecznicza</w:t>
            </w:r>
            <w:r w:rsidRPr="005B0CD2">
              <w:rPr>
                <w:rFonts w:asciiTheme="minorHAnsi" w:hAnsiTheme="minorHAnsi" w:cstheme="minorHAnsi"/>
                <w:color w:val="000000"/>
              </w:rPr>
              <w:t xml:space="preserve">, która mniej rygorystycznie podchodzi do tekstu ustawy, podkreślając za to </w:t>
            </w:r>
            <w:r w:rsidRPr="007B236D">
              <w:rPr>
                <w:rFonts w:asciiTheme="minorHAnsi" w:hAnsiTheme="minorHAnsi" w:cstheme="minorHAnsi"/>
                <w:b/>
                <w:bCs/>
                <w:color w:val="000000"/>
              </w:rPr>
              <w:t>konieczność wykładni systemowej uwzględniającej w pełni normy konstytucyjne i ogólne zasady prawa administracyjnego, w tym zasadę prawa strony do czynnego udziału w postępowaniu</w:t>
            </w:r>
            <w:r w:rsidRPr="005B0CD2">
              <w:rPr>
                <w:rFonts w:asciiTheme="minorHAnsi" w:hAnsiTheme="minorHAnsi" w:cstheme="minorHAnsi"/>
                <w:color w:val="000000"/>
              </w:rPr>
              <w:t xml:space="preserve">. Zwrócono uwagę na postanowienie z 19 stycznia 2010 r., sygn. akt II OSK 2043/09, w którym Naczelny Sąd Administracyjny wskazał, iż </w:t>
            </w:r>
            <w:r w:rsidRPr="007F12E1">
              <w:rPr>
                <w:rFonts w:asciiTheme="minorHAnsi" w:hAnsiTheme="minorHAnsi" w:cstheme="minorHAnsi"/>
                <w:b/>
                <w:bCs/>
                <w:color w:val="000000"/>
              </w:rPr>
              <w:t>sporządzenie kopii pisma z akt sprawy za pomocą kserokopiarki zaliczyć należy do pojęcia udostępniania akt w rozumieniu art. 73 § 1 k.p.a</w:t>
            </w:r>
            <w:r w:rsidRPr="005B0CD2">
              <w:rPr>
                <w:rFonts w:asciiTheme="minorHAnsi" w:hAnsiTheme="minorHAnsi" w:cstheme="minorHAnsi"/>
                <w:color w:val="000000"/>
              </w:rPr>
              <w:t xml:space="preserve">. Powyższa regulacja </w:t>
            </w:r>
            <w:r w:rsidRPr="007F12E1">
              <w:rPr>
                <w:rFonts w:asciiTheme="minorHAnsi" w:hAnsiTheme="minorHAnsi" w:cstheme="minorHAnsi"/>
                <w:b/>
                <w:bCs/>
                <w:color w:val="000000"/>
              </w:rPr>
              <w:t>ma</w:t>
            </w:r>
            <w:r w:rsidRPr="005B0CD2">
              <w:rPr>
                <w:rFonts w:asciiTheme="minorHAnsi" w:hAnsiTheme="minorHAnsi" w:cstheme="minorHAnsi"/>
                <w:color w:val="000000"/>
              </w:rPr>
              <w:t xml:space="preserve"> bowiem za zadanie </w:t>
            </w:r>
            <w:r w:rsidRPr="007F12E1">
              <w:rPr>
                <w:rFonts w:asciiTheme="minorHAnsi" w:hAnsiTheme="minorHAnsi" w:cstheme="minorHAnsi"/>
                <w:b/>
                <w:bCs/>
                <w:color w:val="000000"/>
              </w:rPr>
              <w:t>zapewnić rzeczywiste funkcjonowanie zasady jawności postępowania wobec strony</w:t>
            </w:r>
            <w:r w:rsidRPr="005B0CD2">
              <w:rPr>
                <w:rFonts w:asciiTheme="minorHAnsi" w:hAnsiTheme="minorHAnsi" w:cstheme="minorHAnsi"/>
                <w:color w:val="000000"/>
              </w:rPr>
              <w:t xml:space="preserve">, a na tej zasadzie </w:t>
            </w:r>
            <w:r w:rsidRPr="007F12E1">
              <w:rPr>
                <w:rFonts w:asciiTheme="minorHAnsi" w:hAnsiTheme="minorHAnsi" w:cstheme="minorHAnsi"/>
                <w:color w:val="000000"/>
              </w:rPr>
              <w:t>opiera się konstrukcja</w:t>
            </w:r>
            <w:r w:rsidRPr="007F12E1">
              <w:rPr>
                <w:rFonts w:asciiTheme="minorHAnsi" w:hAnsiTheme="minorHAnsi" w:cstheme="minorHAnsi"/>
                <w:b/>
                <w:bCs/>
                <w:color w:val="000000"/>
              </w:rPr>
              <w:t xml:space="preserve"> zasady czynnego udziału strony</w:t>
            </w:r>
            <w:r w:rsidRPr="005B0CD2">
              <w:rPr>
                <w:rFonts w:asciiTheme="minorHAnsi" w:hAnsiTheme="minorHAnsi" w:cstheme="minorHAnsi"/>
                <w:color w:val="000000"/>
              </w:rPr>
              <w:t xml:space="preserve">, co z kolei </w:t>
            </w:r>
            <w:r w:rsidRPr="007F12E1">
              <w:rPr>
                <w:rFonts w:asciiTheme="minorHAnsi" w:hAnsiTheme="minorHAnsi" w:cstheme="minorHAnsi"/>
                <w:b/>
                <w:bCs/>
                <w:color w:val="000000"/>
              </w:rPr>
              <w:t>służy realizacji zasad prawdy obiektywnej i pogłębiania zaufania obywateli do organów państwa</w:t>
            </w:r>
            <w:r w:rsidRPr="005B0CD2">
              <w:rPr>
                <w:rFonts w:asciiTheme="minorHAnsi" w:hAnsiTheme="minorHAnsi" w:cstheme="minorHAnsi"/>
                <w:color w:val="000000"/>
              </w:rPr>
              <w:t>.</w:t>
            </w:r>
          </w:p>
          <w:p w14:paraId="31AE1968"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Pogląd ten został rozwinięty w wyroku z dnia 16 lipca 2015 r., sygn. akt II OSK 3043/13, w którym </w:t>
            </w:r>
            <w:r w:rsidRPr="00AF7CA8">
              <w:rPr>
                <w:rFonts w:asciiTheme="minorHAnsi" w:hAnsiTheme="minorHAnsi" w:cstheme="minorHAnsi"/>
                <w:b/>
                <w:bCs/>
                <w:color w:val="000000"/>
              </w:rPr>
              <w:t>Naczelny Sąd Administracyjny zaakcentował przewidziany przez ustawodawcę obowiązek współdziałania organu przy wykonywaniu przez stronę uprawnień</w:t>
            </w:r>
            <w:r w:rsidRPr="005B0CD2">
              <w:rPr>
                <w:rFonts w:asciiTheme="minorHAnsi" w:hAnsiTheme="minorHAnsi" w:cstheme="minorHAnsi"/>
                <w:color w:val="000000"/>
              </w:rPr>
              <w:t xml:space="preserve"> przewidzianych w </w:t>
            </w:r>
            <w:r w:rsidRPr="00A527DD">
              <w:rPr>
                <w:rFonts w:asciiTheme="minorHAnsi" w:hAnsiTheme="minorHAnsi" w:cstheme="minorHAnsi"/>
                <w:b/>
                <w:bCs/>
                <w:color w:val="000000"/>
              </w:rPr>
              <w:t>art. 73 § 1 k.p.a</w:t>
            </w:r>
            <w:r w:rsidRPr="005B0CD2">
              <w:rPr>
                <w:rFonts w:asciiTheme="minorHAnsi" w:hAnsiTheme="minorHAnsi" w:cstheme="minorHAnsi"/>
                <w:color w:val="000000"/>
              </w:rPr>
              <w:t xml:space="preserve">., co może w </w:t>
            </w:r>
            <w:r w:rsidRPr="00AF7CA8">
              <w:rPr>
                <w:rFonts w:asciiTheme="minorHAnsi" w:hAnsiTheme="minorHAnsi" w:cstheme="minorHAnsi"/>
                <w:b/>
                <w:bCs/>
                <w:color w:val="000000"/>
              </w:rPr>
              <w:t>realiach konkretnej sprawy oznaczać nie tylko powinność wykonania kserokopii żądanych przez stronę dokumentów</w:t>
            </w:r>
            <w:r w:rsidRPr="005B0CD2">
              <w:rPr>
                <w:rFonts w:asciiTheme="minorHAnsi" w:hAnsiTheme="minorHAnsi" w:cstheme="minorHAnsi"/>
                <w:color w:val="000000"/>
              </w:rPr>
              <w:t xml:space="preserve">, za zwrotem związanych z tym kosztów, </w:t>
            </w:r>
            <w:r w:rsidRPr="00AF7CA8">
              <w:rPr>
                <w:rFonts w:asciiTheme="minorHAnsi" w:hAnsiTheme="minorHAnsi" w:cstheme="minorHAnsi"/>
                <w:b/>
                <w:bCs/>
                <w:color w:val="000000"/>
              </w:rPr>
              <w:t>ale również ich doręczenie</w:t>
            </w:r>
            <w:r w:rsidRPr="005B0CD2">
              <w:rPr>
                <w:rFonts w:asciiTheme="minorHAnsi" w:hAnsiTheme="minorHAnsi" w:cstheme="minorHAnsi"/>
                <w:color w:val="000000"/>
              </w:rPr>
              <w:t xml:space="preserve">. Ewentualna odmowa uwzględnienia wniosku strony mogłaby nastąpić tylko wtedy, gdyby organ wykazał konkretne utrudnienia wynikające z braku potrzebnego sprzętu lub dużej ilości dokumentów przewidzianych do kopiowania. </w:t>
            </w:r>
            <w:r w:rsidRPr="00EA4960">
              <w:rPr>
                <w:rFonts w:asciiTheme="minorHAnsi" w:hAnsiTheme="minorHAnsi" w:cstheme="minorHAnsi"/>
                <w:b/>
                <w:bCs/>
                <w:color w:val="000000"/>
              </w:rPr>
              <w:t>Konstytucyjne prawo strony dostępu do akt sprawy należy</w:t>
            </w:r>
            <w:r w:rsidRPr="005B0CD2">
              <w:rPr>
                <w:rFonts w:asciiTheme="minorHAnsi" w:hAnsiTheme="minorHAnsi" w:cstheme="minorHAnsi"/>
                <w:color w:val="000000"/>
              </w:rPr>
              <w:t xml:space="preserve"> bowiem, w ocenie Sądu, </w:t>
            </w:r>
            <w:r w:rsidRPr="00EA4960">
              <w:rPr>
                <w:rFonts w:asciiTheme="minorHAnsi" w:hAnsiTheme="minorHAnsi" w:cstheme="minorHAnsi"/>
                <w:b/>
                <w:bCs/>
                <w:color w:val="000000"/>
              </w:rPr>
              <w:t>rozumieć szeroko</w:t>
            </w:r>
            <w:r w:rsidRPr="005B0CD2">
              <w:rPr>
                <w:rFonts w:asciiTheme="minorHAnsi" w:hAnsiTheme="minorHAnsi" w:cstheme="minorHAnsi"/>
                <w:color w:val="000000"/>
              </w:rPr>
              <w:t xml:space="preserve">, nie tylko jako prawo wglądu w akta, prawo sporządzania notatek, odpisów i kopii, ale </w:t>
            </w:r>
            <w:r w:rsidRPr="00EA4960">
              <w:rPr>
                <w:rFonts w:asciiTheme="minorHAnsi" w:hAnsiTheme="minorHAnsi" w:cstheme="minorHAnsi"/>
                <w:b/>
                <w:bCs/>
                <w:color w:val="000000"/>
              </w:rPr>
              <w:t>także prawo żądania kserokopii dokumentów z akt sprawy</w:t>
            </w:r>
            <w:r w:rsidRPr="005B0CD2">
              <w:rPr>
                <w:rFonts w:asciiTheme="minorHAnsi" w:hAnsiTheme="minorHAnsi" w:cstheme="minorHAnsi"/>
                <w:color w:val="000000"/>
              </w:rPr>
              <w:t xml:space="preserve">, przy czym ich sporządzenie i doręczenie przez organ może być warunkowane poniesieniem kosztów przez stronę. </w:t>
            </w:r>
            <w:r w:rsidRPr="00E67235">
              <w:rPr>
                <w:rFonts w:asciiTheme="minorHAnsi" w:hAnsiTheme="minorHAnsi" w:cstheme="minorHAnsi"/>
                <w:b/>
                <w:bCs/>
                <w:color w:val="000000"/>
              </w:rPr>
              <w:t>Podobnie</w:t>
            </w:r>
            <w:r w:rsidRPr="005B0CD2">
              <w:rPr>
                <w:rFonts w:asciiTheme="minorHAnsi" w:hAnsiTheme="minorHAnsi" w:cstheme="minorHAnsi"/>
                <w:color w:val="000000"/>
              </w:rPr>
              <w:t xml:space="preserve"> wypowiedział się </w:t>
            </w:r>
            <w:r w:rsidRPr="00EA4960">
              <w:rPr>
                <w:rFonts w:asciiTheme="minorHAnsi" w:hAnsiTheme="minorHAnsi" w:cstheme="minorHAnsi"/>
                <w:b/>
                <w:bCs/>
                <w:color w:val="000000"/>
              </w:rPr>
              <w:t>Naczelny Sąd Administracyjny</w:t>
            </w:r>
            <w:r w:rsidRPr="005B0CD2">
              <w:rPr>
                <w:rFonts w:asciiTheme="minorHAnsi" w:hAnsiTheme="minorHAnsi" w:cstheme="minorHAnsi"/>
                <w:color w:val="000000"/>
              </w:rPr>
              <w:t xml:space="preserve"> już w wyroku z dnia 8 kwietnia 1998 r., sygn. akt I SA/Gd 1657/97 stwierdzając, że </w:t>
            </w:r>
            <w:r w:rsidRPr="00E67235">
              <w:rPr>
                <w:rFonts w:asciiTheme="minorHAnsi" w:hAnsiTheme="minorHAnsi" w:cstheme="minorHAnsi"/>
                <w:b/>
                <w:bCs/>
                <w:color w:val="000000"/>
              </w:rPr>
              <w:t>skoro strona ma prawo sporządzać notatki</w:t>
            </w:r>
            <w:r w:rsidRPr="005B0CD2">
              <w:rPr>
                <w:rFonts w:asciiTheme="minorHAnsi" w:hAnsiTheme="minorHAnsi" w:cstheme="minorHAnsi"/>
                <w:color w:val="000000"/>
              </w:rPr>
              <w:t xml:space="preserve"> </w:t>
            </w:r>
            <w:r w:rsidRPr="00E67235">
              <w:rPr>
                <w:rFonts w:asciiTheme="minorHAnsi" w:hAnsiTheme="minorHAnsi" w:cstheme="minorHAnsi"/>
                <w:b/>
                <w:bCs/>
                <w:color w:val="000000"/>
              </w:rPr>
              <w:t>lub odpisy</w:t>
            </w:r>
            <w:r w:rsidRPr="005B0CD2">
              <w:rPr>
                <w:rFonts w:asciiTheme="minorHAnsi" w:hAnsiTheme="minorHAnsi" w:cstheme="minorHAnsi"/>
                <w:color w:val="000000"/>
              </w:rPr>
              <w:t xml:space="preserve"> z wszelkich pism znajdujących się w aktach sprawy, to tym samym </w:t>
            </w:r>
            <w:r w:rsidRPr="00E67235">
              <w:rPr>
                <w:rFonts w:asciiTheme="minorHAnsi" w:hAnsiTheme="minorHAnsi" w:cstheme="minorHAnsi"/>
                <w:b/>
                <w:bCs/>
                <w:color w:val="000000"/>
              </w:rPr>
              <w:t>brak jest podstaw prawnych do odmowy sporządzenia kopii tychże pism za pomocą kserokopiarki</w:t>
            </w:r>
            <w:r w:rsidRPr="005B0CD2">
              <w:rPr>
                <w:rFonts w:asciiTheme="minorHAnsi" w:hAnsiTheme="minorHAnsi" w:cstheme="minorHAnsi"/>
                <w:color w:val="000000"/>
              </w:rPr>
              <w:t xml:space="preserve">. Problem może jedynie sprowadzać się do ustalenia odpłatności za powyższe. W orzeczeniu tym, podobnie jak w szeregu innych orzeczeń składających się na omawianą linię orzeczniczą, sąd odróżnia wydanie przez organ nieuwierzytelnionych kopii na podstawie </w:t>
            </w:r>
            <w:r w:rsidRPr="00A527DD">
              <w:rPr>
                <w:rFonts w:asciiTheme="minorHAnsi" w:hAnsiTheme="minorHAnsi" w:cstheme="minorHAnsi"/>
                <w:b/>
                <w:bCs/>
                <w:color w:val="000000"/>
              </w:rPr>
              <w:t>art. 73 § 1 k.p.a</w:t>
            </w:r>
            <w:r w:rsidRPr="005B0CD2">
              <w:rPr>
                <w:rFonts w:asciiTheme="minorHAnsi" w:hAnsiTheme="minorHAnsi" w:cstheme="minorHAnsi"/>
                <w:color w:val="000000"/>
              </w:rPr>
              <w:t xml:space="preserve">. od wydawanie uwierzytelnionych odpisów pism w oparciu o </w:t>
            </w:r>
            <w:r w:rsidRPr="00A527DD">
              <w:rPr>
                <w:rFonts w:asciiTheme="minorHAnsi" w:hAnsiTheme="minorHAnsi" w:cstheme="minorHAnsi"/>
                <w:b/>
                <w:bCs/>
                <w:color w:val="000000"/>
              </w:rPr>
              <w:t>art. 73 § 2 k.p.a</w:t>
            </w:r>
            <w:r w:rsidRPr="005B0CD2">
              <w:rPr>
                <w:rFonts w:asciiTheme="minorHAnsi" w:hAnsiTheme="minorHAnsi" w:cstheme="minorHAnsi"/>
                <w:color w:val="000000"/>
              </w:rPr>
              <w:t>. Jedynie to drugie uwarunkowane jest wykazaniem ważnego interesu strony i pozostaje pod kontrolą organu, gdyż poprzez uwierzytelnienie powstają nowe dokumenty, które mogą być wykorzystane poza prowadzonym postępowaniem.</w:t>
            </w:r>
          </w:p>
          <w:p w14:paraId="7F1176C1"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lastRenderedPageBreak/>
              <w:t xml:space="preserve">W wyroku Wojewódzkiego Sądu Administracyjnego w Olsztynie z dnia 19 grudnia 2007 r., sygn. akt II SA/Ol 1008/07 trafnie zauważono, że za taką wykładnią </w:t>
            </w:r>
            <w:r w:rsidRPr="00A527DD">
              <w:rPr>
                <w:rFonts w:asciiTheme="minorHAnsi" w:hAnsiTheme="minorHAnsi" w:cstheme="minorHAnsi"/>
                <w:b/>
                <w:bCs/>
                <w:color w:val="000000"/>
              </w:rPr>
              <w:t xml:space="preserve">art. 73 § 1 </w:t>
            </w:r>
            <w:proofErr w:type="spellStart"/>
            <w:r w:rsidRPr="00A527DD">
              <w:rPr>
                <w:rFonts w:asciiTheme="minorHAnsi" w:hAnsiTheme="minorHAnsi" w:cstheme="minorHAnsi"/>
                <w:b/>
                <w:bCs/>
                <w:color w:val="000000"/>
              </w:rPr>
              <w:t>k.p.a</w:t>
            </w:r>
            <w:proofErr w:type="spellEnd"/>
            <w:r w:rsidRPr="005B0CD2">
              <w:rPr>
                <w:rFonts w:asciiTheme="minorHAnsi" w:hAnsiTheme="minorHAnsi" w:cstheme="minorHAnsi"/>
                <w:color w:val="000000"/>
              </w:rPr>
              <w:t xml:space="preserve">, która obciąża organ koniecznością zabezpieczenia stronie możliwości wykonania odpisów dokumentów, przemawia także przepis </w:t>
            </w:r>
            <w:r w:rsidRPr="00A527DD">
              <w:rPr>
                <w:rFonts w:asciiTheme="minorHAnsi" w:hAnsiTheme="minorHAnsi" w:cstheme="minorHAnsi"/>
                <w:b/>
                <w:bCs/>
                <w:color w:val="000000"/>
              </w:rPr>
              <w:t>art. 8 k.p.a</w:t>
            </w:r>
            <w:r w:rsidRPr="005B0CD2">
              <w:rPr>
                <w:rFonts w:asciiTheme="minorHAnsi" w:hAnsiTheme="minorHAnsi" w:cstheme="minorHAnsi"/>
                <w:color w:val="000000"/>
              </w:rPr>
              <w:t>., który stanowi, iż organy administracji publicznej obowiązane są prowadzić postępowanie w taki sposób, aby pogłębiać zaufanie obywateli do organów Państwa oraz świadomość i kulturę prawną obywateli.</w:t>
            </w:r>
          </w:p>
          <w:p w14:paraId="5C05D15C"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Z kolei w wyroku z dnia 22 października 2008 r., sygn. akt II OSK 1270/07 Naczelny Sąd Administracyjny stwierdził, że z </w:t>
            </w:r>
            <w:r w:rsidRPr="00A527DD">
              <w:rPr>
                <w:rFonts w:asciiTheme="minorHAnsi" w:hAnsiTheme="minorHAnsi" w:cstheme="minorHAnsi"/>
                <w:b/>
                <w:bCs/>
                <w:color w:val="000000"/>
              </w:rPr>
              <w:t>art. 73 § 1 k.p.a</w:t>
            </w:r>
            <w:r w:rsidRPr="005B0CD2">
              <w:rPr>
                <w:rFonts w:asciiTheme="minorHAnsi" w:hAnsiTheme="minorHAnsi" w:cstheme="minorHAnsi"/>
                <w:color w:val="000000"/>
              </w:rPr>
              <w:t>. (w ówczesnym brzmieniu) nie wynika, by sporządzanie odpisów musiało przyjmować formę osobistego ich dokonywania w formie rękopisu czy za pomocą innych własnych urządzeń. Uprawnienie do przeglądania akt jest przypisane stronie, językowa wykładnia nie uprawnia jednak do interpretacji zmierzającej do wyłączenia możliwości sporządzania - na wniosek strony i na jej koszt - odpisów dokumentów znajdujących się w aktach sprawy. Prawo strony do przeglądania akt sprawy i utrwalania na własny użytek informacji zawartych w aktach sprawy, nie tylko w związku z jej czynnym udziałem w postępowaniu, ale także w związku z szeroko rozumianą zasadą jawności działania administracji publicznej, musi być rozumiane szeroko. Takie zaś rozumienie procesowych uprawnień strony sprawia, że powołany przepis nie może być rozumiany jako wyłączający możliwość domagania się sporządzenia kopii dokumentów za pomocą kserokopiarki (podobnie wyrok NSA z dnia 14 września 2010 r., sygn. akt II OSK 1676/10).</w:t>
            </w:r>
          </w:p>
          <w:p w14:paraId="663D8B04"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Pogląd o szerokim zakresie prawa dostępu do akt sprawy został sformułowany i obszernie uzasadniony w wyroku Wojewódzkiego Sądu Administracyjnego w Białymstoku z dnia 21 sierpnia 2014 r., sygn. akt II SAB/Bk 24/14. Sąd dokonał w nim wykładni </w:t>
            </w:r>
            <w:r w:rsidRPr="00A527DD">
              <w:rPr>
                <w:rFonts w:asciiTheme="minorHAnsi" w:hAnsiTheme="minorHAnsi" w:cstheme="minorHAnsi"/>
                <w:b/>
                <w:bCs/>
                <w:color w:val="000000"/>
              </w:rPr>
              <w:t>art. 73 k.p.a</w:t>
            </w:r>
            <w:r w:rsidRPr="005B0CD2">
              <w:rPr>
                <w:rFonts w:asciiTheme="minorHAnsi" w:hAnsiTheme="minorHAnsi" w:cstheme="minorHAnsi"/>
                <w:color w:val="000000"/>
              </w:rPr>
              <w:t xml:space="preserve">. poprzez odwołanie do prawa dostępu do akt, gwarantowanego każdemu przez </w:t>
            </w:r>
            <w:r w:rsidRPr="008942B6">
              <w:rPr>
                <w:rFonts w:asciiTheme="minorHAnsi" w:hAnsiTheme="minorHAnsi" w:cstheme="minorHAnsi"/>
                <w:b/>
                <w:bCs/>
                <w:color w:val="000000"/>
              </w:rPr>
              <w:t>art. 51 ust. 3 Konstytucji RP</w:t>
            </w:r>
            <w:r w:rsidRPr="005B0CD2">
              <w:rPr>
                <w:rFonts w:asciiTheme="minorHAnsi" w:hAnsiTheme="minorHAnsi" w:cstheme="minorHAnsi"/>
                <w:color w:val="000000"/>
              </w:rPr>
              <w:t xml:space="preserve"> i stanowiącego zgodnie z orzecznictwem Trybunału Konstytucyjnego </w:t>
            </w:r>
            <w:r w:rsidRPr="008942B6">
              <w:rPr>
                <w:rFonts w:asciiTheme="minorHAnsi" w:hAnsiTheme="minorHAnsi" w:cstheme="minorHAnsi"/>
                <w:b/>
                <w:bCs/>
                <w:color w:val="000000"/>
              </w:rPr>
              <w:t>jeden z istotnych elementów zasady państwa prawnego</w:t>
            </w:r>
            <w:r w:rsidRPr="005B0CD2">
              <w:rPr>
                <w:rFonts w:asciiTheme="minorHAnsi" w:hAnsiTheme="minorHAnsi" w:cstheme="minorHAnsi"/>
                <w:color w:val="000000"/>
              </w:rPr>
              <w:t xml:space="preserve">, wyrażonej w </w:t>
            </w:r>
            <w:r w:rsidRPr="008942B6">
              <w:rPr>
                <w:rFonts w:asciiTheme="minorHAnsi" w:hAnsiTheme="minorHAnsi" w:cstheme="minorHAnsi"/>
                <w:b/>
                <w:bCs/>
                <w:color w:val="000000"/>
              </w:rPr>
              <w:t>art. 2 Konstytucji</w:t>
            </w:r>
            <w:r w:rsidRPr="005B0CD2">
              <w:rPr>
                <w:rFonts w:asciiTheme="minorHAnsi" w:hAnsiTheme="minorHAnsi" w:cstheme="minorHAnsi"/>
                <w:color w:val="000000"/>
              </w:rPr>
              <w:t xml:space="preserve"> (wyrok TK z dnia 27 czerwca 2008 r. sygn. K 51/07, OTK - A 2008, Nr 5, poz. 87). Sąd w oparciu o przepisy konstytucyjne i stanowisko doktryny wywiódł, że realizacja prawa strony dostępu do akt sprawy przewidzianego </w:t>
            </w:r>
            <w:r w:rsidRPr="00A527DD">
              <w:rPr>
                <w:rFonts w:asciiTheme="minorHAnsi" w:hAnsiTheme="minorHAnsi" w:cstheme="minorHAnsi"/>
                <w:b/>
                <w:bCs/>
                <w:color w:val="000000"/>
              </w:rPr>
              <w:t>art. 73 k.p.a</w:t>
            </w:r>
            <w:r w:rsidRPr="005B0CD2">
              <w:rPr>
                <w:rFonts w:asciiTheme="minorHAnsi" w:hAnsiTheme="minorHAnsi" w:cstheme="minorHAnsi"/>
                <w:color w:val="000000"/>
              </w:rPr>
              <w:t xml:space="preserve">. i związanego z tym prawem obowiązku organu umożliwienia stronie tego dostępu, obejmuje także obowiązek organu wydania na żądanie strony kserokopii dokumentów z akt sprawy. </w:t>
            </w:r>
            <w:r w:rsidRPr="00A5344A">
              <w:rPr>
                <w:rFonts w:asciiTheme="minorHAnsi" w:hAnsiTheme="minorHAnsi" w:cstheme="minorHAnsi"/>
                <w:b/>
                <w:bCs/>
                <w:color w:val="000000"/>
              </w:rPr>
              <w:t>Pozyskiwanie z akt kopii</w:t>
            </w:r>
            <w:r w:rsidRPr="005B0CD2">
              <w:rPr>
                <w:rFonts w:asciiTheme="minorHAnsi" w:hAnsiTheme="minorHAnsi" w:cstheme="minorHAnsi"/>
                <w:color w:val="000000"/>
              </w:rPr>
              <w:t xml:space="preserve"> dokumentu </w:t>
            </w:r>
            <w:r w:rsidRPr="00A5344A">
              <w:rPr>
                <w:rFonts w:asciiTheme="minorHAnsi" w:hAnsiTheme="minorHAnsi" w:cstheme="minorHAnsi"/>
                <w:b/>
                <w:bCs/>
                <w:color w:val="000000"/>
              </w:rPr>
              <w:t>może polegać na sporządzeniu kopii przez stronę</w:t>
            </w:r>
            <w:r w:rsidRPr="005B0CD2">
              <w:rPr>
                <w:rFonts w:asciiTheme="minorHAnsi" w:hAnsiTheme="minorHAnsi" w:cstheme="minorHAnsi"/>
                <w:color w:val="000000"/>
              </w:rPr>
              <w:t xml:space="preserve"> w obecności pracownika organu </w:t>
            </w:r>
            <w:r w:rsidRPr="00A5344A">
              <w:rPr>
                <w:rFonts w:asciiTheme="minorHAnsi" w:hAnsiTheme="minorHAnsi" w:cstheme="minorHAnsi"/>
                <w:b/>
                <w:bCs/>
                <w:color w:val="000000"/>
              </w:rPr>
              <w:t>albo</w:t>
            </w:r>
            <w:r w:rsidRPr="005B0CD2">
              <w:rPr>
                <w:rFonts w:asciiTheme="minorHAnsi" w:hAnsiTheme="minorHAnsi" w:cstheme="minorHAnsi"/>
                <w:color w:val="000000"/>
              </w:rPr>
              <w:t xml:space="preserve"> sporządzeniu kopii samodzielnie </w:t>
            </w:r>
            <w:r w:rsidRPr="00A5344A">
              <w:rPr>
                <w:rFonts w:asciiTheme="minorHAnsi" w:hAnsiTheme="minorHAnsi" w:cstheme="minorHAnsi"/>
                <w:b/>
                <w:bCs/>
                <w:color w:val="000000"/>
              </w:rPr>
              <w:t>przez pracownika organu i doręczenie jej stronie</w:t>
            </w:r>
            <w:r w:rsidRPr="005B0CD2">
              <w:rPr>
                <w:rFonts w:asciiTheme="minorHAnsi" w:hAnsiTheme="minorHAnsi" w:cstheme="minorHAnsi"/>
                <w:color w:val="000000"/>
              </w:rPr>
              <w:t xml:space="preserve">, z ewentualnym obciążeniem strony kosztami sporządzenia kopii dokumentu i przesyłki. </w:t>
            </w:r>
            <w:r w:rsidRPr="00A5344A">
              <w:rPr>
                <w:rFonts w:asciiTheme="minorHAnsi" w:hAnsiTheme="minorHAnsi" w:cstheme="minorHAnsi"/>
                <w:b/>
                <w:bCs/>
                <w:color w:val="000000"/>
              </w:rPr>
              <w:t>Celem art. 73 k.p.a. jest bowiem zapewnienie rzeczywistego funkcjonowania zasady jawności postępowania wobec strony</w:t>
            </w:r>
            <w:r w:rsidRPr="005B0CD2">
              <w:rPr>
                <w:rFonts w:asciiTheme="minorHAnsi" w:hAnsiTheme="minorHAnsi" w:cstheme="minorHAnsi"/>
                <w:color w:val="000000"/>
              </w:rPr>
              <w:t>.</w:t>
            </w:r>
          </w:p>
          <w:p w14:paraId="620AF510"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Na zmiany technologiczne powodujące powszechne posługiwanie się wydrukami i kserokopiami wypierające posługiwanie się w obrocie prawnym ręcznymi kopiami lub </w:t>
            </w:r>
            <w:r w:rsidRPr="005B0CD2">
              <w:rPr>
                <w:rFonts w:asciiTheme="minorHAnsi" w:hAnsiTheme="minorHAnsi" w:cstheme="minorHAnsi"/>
                <w:color w:val="000000"/>
              </w:rPr>
              <w:lastRenderedPageBreak/>
              <w:t>notatkami zwrócił uwagę Wojewódzki Sąd Administracyjny w Łodzi w wyroku z dnia 3 grudnia 2015 r., sygn. akt II SA/</w:t>
            </w:r>
            <w:proofErr w:type="spellStart"/>
            <w:r w:rsidRPr="005B0CD2">
              <w:rPr>
                <w:rFonts w:asciiTheme="minorHAnsi" w:hAnsiTheme="minorHAnsi" w:cstheme="minorHAnsi"/>
                <w:color w:val="000000"/>
              </w:rPr>
              <w:t>Łd</w:t>
            </w:r>
            <w:proofErr w:type="spellEnd"/>
            <w:r w:rsidRPr="005B0CD2">
              <w:rPr>
                <w:rFonts w:asciiTheme="minorHAnsi" w:hAnsiTheme="minorHAnsi" w:cstheme="minorHAnsi"/>
                <w:color w:val="000000"/>
              </w:rPr>
              <w:t xml:space="preserve"> 889/15. Sąd pokreślił, iż przepis </w:t>
            </w:r>
            <w:r w:rsidRPr="00A527DD">
              <w:rPr>
                <w:rFonts w:asciiTheme="minorHAnsi" w:hAnsiTheme="minorHAnsi" w:cstheme="minorHAnsi"/>
                <w:b/>
                <w:bCs/>
                <w:color w:val="000000"/>
              </w:rPr>
              <w:t>art. 73 § 1 k.p.a</w:t>
            </w:r>
            <w:r w:rsidRPr="005B0CD2">
              <w:rPr>
                <w:rFonts w:asciiTheme="minorHAnsi" w:hAnsiTheme="minorHAnsi" w:cstheme="minorHAnsi"/>
                <w:color w:val="000000"/>
              </w:rPr>
              <w:t>. należy tak odczytywać, by odpowiadał on nie tylko postępowi technologicznemu, ale również powszechnej praktyce utrwalonej już zarówno w stosunkach społecznych, jak i w procedurach prawnych nowoczesnego państwa demokratycznego. Pamiętać należy, że w postępowaniu administracyjnym obowiązuje zasada pisemności, zgodnie z którą sprawy należy załatwiać w formie pisemnej (</w:t>
            </w:r>
            <w:r w:rsidRPr="00A527DD">
              <w:rPr>
                <w:rFonts w:asciiTheme="minorHAnsi" w:hAnsiTheme="minorHAnsi" w:cstheme="minorHAnsi"/>
                <w:b/>
                <w:bCs/>
                <w:color w:val="000000"/>
              </w:rPr>
              <w:t>art. 14 § 1 k.p.a</w:t>
            </w:r>
            <w:r w:rsidRPr="005B0CD2">
              <w:rPr>
                <w:rFonts w:asciiTheme="minorHAnsi" w:hAnsiTheme="minorHAnsi" w:cstheme="minorHAnsi"/>
                <w:color w:val="000000"/>
              </w:rPr>
              <w:t xml:space="preserve">.). Bezsprzecznie dominującym i powszechnym sposobem realizowania ww. zasady pisemności jest obecnie sporządzanie pism w formie elektronicznej - na komputerze, a następnie ich drukowanie. Organ musi mieć na uwadze, że pisma sporządzane odręcznie zostały w zasadzie zastąpione przez pisma drukowane maszynowo, a i ta forma stopniowo będzie wypierana przez coraz częściej stosowany obieg dokumentów - w tym urzędowych - w formie elektronicznej. Obecnie w każdym organie administracji są urządzenia kopiujące, bez których wykonywanie obowiązków przez pracowników organów administracji byłoby praktycznie niemożliwe, a z pewnością bardzo utrudnione. Kserokopiarka jest w zasadzie podstawowym elementem wyposażenia każdego biura, kancelarii, urzędu. Trudno jest zatem sobie wyobrazić, by strony postępowania odręcznie przepisywały akta administracyjne zgromadzone w sprawie, podczas gdy wykonanie kopii w takiej sytuacji nie stanowi żadnego problemu. Nie można również oczekiwać, że strona będzie przychodzić do organu z własną kopiarką. Wreszcie podkreślenia wymaga, że </w:t>
            </w:r>
            <w:r w:rsidRPr="005B0CD2">
              <w:rPr>
                <w:rFonts w:asciiTheme="minorHAnsi" w:hAnsiTheme="minorHAnsi" w:cstheme="minorHAnsi"/>
                <w:i/>
                <w:color w:val="000000"/>
              </w:rPr>
              <w:t>"zwykła"</w:t>
            </w:r>
            <w:r w:rsidRPr="005B0CD2">
              <w:rPr>
                <w:rFonts w:asciiTheme="minorHAnsi" w:hAnsiTheme="minorHAnsi" w:cstheme="minorHAnsi"/>
                <w:color w:val="000000"/>
              </w:rPr>
              <w:t xml:space="preserve"> kopia dokumentów wcale nie oznacza, że zostały wytworzone nowe dokumenty. Kopia tego rodzaju ma niewielką wartość dowodową i może w zasadzie służyć wyłącznie na własne potrzeby strony. Zdaniem tego sądu administracyjnego odmowa wydania kopii dokumentów z akt sprawy może być uzasadniona wyłącznie w sytuacji, gdy strona w sposób oczywisty i świadomy nadużywa prawa wynikającego z </w:t>
            </w:r>
            <w:r w:rsidRPr="00A527DD">
              <w:rPr>
                <w:rFonts w:asciiTheme="minorHAnsi" w:hAnsiTheme="minorHAnsi" w:cstheme="minorHAnsi"/>
                <w:b/>
                <w:bCs/>
                <w:color w:val="000000"/>
              </w:rPr>
              <w:t>art. 73 § 1 k.p.a</w:t>
            </w:r>
            <w:r w:rsidRPr="005B0CD2">
              <w:rPr>
                <w:rFonts w:asciiTheme="minorHAnsi" w:hAnsiTheme="minorHAnsi" w:cstheme="minorHAnsi"/>
                <w:color w:val="000000"/>
              </w:rPr>
              <w:t xml:space="preserve">. W ocenie Rzecznika Praw Obywatelskich istniejące wątpliwości w orzecznictwie wynikające z istnienia dwóch wyżej opisanych linii orzeczniczych należałoby rozstrzygnąć opowiadając się za słusznością tej linii orzeczniczej powstałej na podstawie </w:t>
            </w:r>
            <w:r w:rsidRPr="00A527DD">
              <w:rPr>
                <w:rFonts w:asciiTheme="minorHAnsi" w:hAnsiTheme="minorHAnsi" w:cstheme="minorHAnsi"/>
                <w:b/>
                <w:bCs/>
                <w:color w:val="000000"/>
              </w:rPr>
              <w:t>art. 73 § 1 k.p.a</w:t>
            </w:r>
            <w:r w:rsidRPr="005B0CD2">
              <w:rPr>
                <w:rFonts w:asciiTheme="minorHAnsi" w:hAnsiTheme="minorHAnsi" w:cstheme="minorHAnsi"/>
                <w:color w:val="000000"/>
              </w:rPr>
              <w:t>., zgodnie z którą dopuszczalne jest sporządzenie przez organ kserokopii dokumentów znajdujących się w aktach sprawy, w ramach posiadanych możliwości technicznych i organizacyjnych urzędu, w tym także za zwrotem przez wnoszącego kosztów sporządzenia kopii.</w:t>
            </w:r>
          </w:p>
          <w:p w14:paraId="5968542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8942B6">
              <w:rPr>
                <w:rFonts w:asciiTheme="minorHAnsi" w:hAnsiTheme="minorHAnsi" w:cstheme="minorHAnsi"/>
                <w:b/>
                <w:bCs/>
                <w:color w:val="000000"/>
              </w:rPr>
              <w:t>Rzecznik Praw Obywatelskich</w:t>
            </w:r>
            <w:r w:rsidRPr="005B0CD2">
              <w:rPr>
                <w:rFonts w:asciiTheme="minorHAnsi" w:hAnsiTheme="minorHAnsi" w:cstheme="minorHAnsi"/>
                <w:color w:val="000000"/>
              </w:rPr>
              <w:t xml:space="preserve"> wskazał, iż </w:t>
            </w:r>
            <w:r w:rsidRPr="008942B6">
              <w:rPr>
                <w:rFonts w:asciiTheme="minorHAnsi" w:hAnsiTheme="minorHAnsi" w:cstheme="minorHAnsi"/>
                <w:b/>
                <w:bCs/>
                <w:color w:val="000000"/>
              </w:rPr>
              <w:t>prawo dostępu strony</w:t>
            </w:r>
            <w:r w:rsidRPr="005B0CD2">
              <w:rPr>
                <w:rFonts w:asciiTheme="minorHAnsi" w:hAnsiTheme="minorHAnsi" w:cstheme="minorHAnsi"/>
                <w:color w:val="000000"/>
              </w:rPr>
              <w:t xml:space="preserve"> do akt sprawy w przedstawionym powyżej rozumieniu ma swoje podstawy nie tylko w </w:t>
            </w:r>
            <w:r w:rsidRPr="008942B6">
              <w:rPr>
                <w:rFonts w:asciiTheme="minorHAnsi" w:hAnsiTheme="minorHAnsi" w:cstheme="minorHAnsi"/>
                <w:b/>
                <w:bCs/>
                <w:color w:val="000000"/>
              </w:rPr>
              <w:t>art. 73 ust. 1 i 2 k.p.a</w:t>
            </w:r>
            <w:r w:rsidRPr="005B0CD2">
              <w:rPr>
                <w:rFonts w:asciiTheme="minorHAnsi" w:hAnsiTheme="minorHAnsi" w:cstheme="minorHAnsi"/>
                <w:color w:val="000000"/>
              </w:rPr>
              <w:t xml:space="preserve">. oraz szeregu zasad ogólnych postępowania administracyjnego, ale przede wszystkim </w:t>
            </w:r>
            <w:r w:rsidRPr="008942B6">
              <w:rPr>
                <w:rFonts w:asciiTheme="minorHAnsi" w:hAnsiTheme="minorHAnsi" w:cstheme="minorHAnsi"/>
                <w:b/>
                <w:bCs/>
                <w:color w:val="000000"/>
              </w:rPr>
              <w:t>zakotwiczone jest w przysługującym każdemu konstytucyjnym prawie dostępu do dotyczących go urzędowych dokumentów</w:t>
            </w:r>
            <w:r w:rsidRPr="005B0CD2">
              <w:rPr>
                <w:rFonts w:asciiTheme="minorHAnsi" w:hAnsiTheme="minorHAnsi" w:cstheme="minorHAnsi"/>
                <w:color w:val="000000"/>
              </w:rPr>
              <w:t xml:space="preserve">, sformułowanym w </w:t>
            </w:r>
            <w:r w:rsidRPr="008942B6">
              <w:rPr>
                <w:rFonts w:asciiTheme="minorHAnsi" w:hAnsiTheme="minorHAnsi" w:cstheme="minorHAnsi"/>
                <w:b/>
                <w:bCs/>
                <w:color w:val="000000"/>
              </w:rPr>
              <w:t>art. 51 ust. 3 Konstytucji</w:t>
            </w:r>
            <w:r w:rsidRPr="005B0CD2">
              <w:rPr>
                <w:rFonts w:asciiTheme="minorHAnsi" w:hAnsiTheme="minorHAnsi" w:cstheme="minorHAnsi"/>
                <w:color w:val="000000"/>
              </w:rPr>
              <w:t xml:space="preserve">. W tej normie konstytucyjnej zawarte jest także zastrzeżenie, iż wszelkie ograniczenia tego prawa mogą być wprowadzane jedynie w drodze ustawowej. Na gruncie Konstytucji zasadą jest więc prawo dostępu do urzędowych dokumentów, którego niezbędnym elementem jest </w:t>
            </w:r>
            <w:r w:rsidRPr="005B0CD2">
              <w:rPr>
                <w:rFonts w:asciiTheme="minorHAnsi" w:hAnsiTheme="minorHAnsi" w:cstheme="minorHAnsi"/>
                <w:color w:val="000000"/>
              </w:rPr>
              <w:lastRenderedPageBreak/>
              <w:t xml:space="preserve">uprawnienie do utrwalania formy i treści tych dokumentów na materialnych nośnikach. W prawie tym inkorporowane jest oczywiście także uprawnienie stron postępowania administracyjnego do wglądu w dokumentację sprawy ich dotyczącej. Rzecznik Praw Obywatelskich odwołał się również do dorobku orzecznictwa Trybunału Konstytucyjnego, w którym podkreślono także, iż dostęp do akt sprawy przez strony postępowań jest jednym ze standardów sprawiedliwego postępowania administracyjnego, które stanowią istotny element zasady państwa prawnego, wyrażonej w </w:t>
            </w:r>
            <w:r w:rsidRPr="00A527DD">
              <w:rPr>
                <w:rFonts w:asciiTheme="minorHAnsi" w:hAnsiTheme="minorHAnsi" w:cstheme="minorHAnsi"/>
                <w:b/>
                <w:bCs/>
                <w:color w:val="000000"/>
              </w:rPr>
              <w:t>art. 2 Konstytucji</w:t>
            </w:r>
            <w:r w:rsidRPr="005B0CD2">
              <w:rPr>
                <w:rFonts w:asciiTheme="minorHAnsi" w:hAnsiTheme="minorHAnsi" w:cstheme="minorHAnsi"/>
                <w:color w:val="000000"/>
              </w:rPr>
              <w:t xml:space="preserve"> (zob. wyrok TK z dnia 27 czerwca 2008 r. sygn. K 51/07, OTK-A 2008, Nr 5, poz. 87). W ocenie Rzecznika, słuszna jest więc ta linia orzecznicza sądów administracyjnych, która podkreśla konieczność dążenia do rzeczywistego zapewnienia w postępowaniu administracyjnym konstytucyjnego prawa dostępu do dokumentów (zob. wyrok NSA w Warszawie z dnia 13 maja 2014 r., sygn. akt II OSK 1602/13, wyrok WSA w Bydgoszczy z dnia 27 maja 2015 r., sygn. akt II SA/</w:t>
            </w:r>
            <w:proofErr w:type="spellStart"/>
            <w:r w:rsidRPr="005B0CD2">
              <w:rPr>
                <w:rFonts w:asciiTheme="minorHAnsi" w:hAnsiTheme="minorHAnsi" w:cstheme="minorHAnsi"/>
                <w:color w:val="000000"/>
              </w:rPr>
              <w:t>Bd</w:t>
            </w:r>
            <w:proofErr w:type="spellEnd"/>
            <w:r w:rsidRPr="005B0CD2">
              <w:rPr>
                <w:rFonts w:asciiTheme="minorHAnsi" w:hAnsiTheme="minorHAnsi" w:cstheme="minorHAnsi"/>
                <w:color w:val="000000"/>
              </w:rPr>
              <w:t xml:space="preserve"> 216/15, wyrok WSA we Wrocławiu z dnia 21 czerwca 2016 r., sygn. akt II SA/</w:t>
            </w:r>
            <w:proofErr w:type="spellStart"/>
            <w:r w:rsidRPr="005B0CD2">
              <w:rPr>
                <w:rFonts w:asciiTheme="minorHAnsi" w:hAnsiTheme="minorHAnsi" w:cstheme="minorHAnsi"/>
                <w:color w:val="000000"/>
              </w:rPr>
              <w:t>Wr</w:t>
            </w:r>
            <w:proofErr w:type="spellEnd"/>
            <w:r w:rsidRPr="005B0CD2">
              <w:rPr>
                <w:rFonts w:asciiTheme="minorHAnsi" w:hAnsiTheme="minorHAnsi" w:cstheme="minorHAnsi"/>
                <w:color w:val="000000"/>
              </w:rPr>
              <w:t xml:space="preserve"> 148/16).</w:t>
            </w:r>
          </w:p>
          <w:p w14:paraId="127076B8"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Bardzo istotne w tym kontekście jest także wskazane wyżej postrzeganie prawa do sporządzania odpisów, notatek i kopii akt sprawy w ramach idei sprawiedliwego postępowania administracyjnego, stanowiącego jeden z istotnych elementów konstytucyjnej zasady państwa prawnego. Idea ta jest wyrażana przez szereg przepisów określających zasady postępowania administracyjnego, które muszą być uwzględniane przy wykładni przepisów określających konkretne uprawnienia procesowe. Dostrzegane jest to w orzecznictwie sądów administracyjnych, m.in. w II OSK 2043/09 i II SA/Kr 1028/13, w których akcentuje się kompleksowe wzajemne powiązanie takich zasad jak jawność postępowania, dążenie do uzyskania prawdy obiektywnej, zaufanie do państwa i stanowionego przez nie prawa, czynny udział stron w postępowaniu. Urzeczywistnienie tych zasad wymaga zapewnienia stronie możności sporządzania odpisów, notatek i kopii akt sprawy, a więc utrwalenia na własne potrzeby materiałów postępowania (tak wskazywane postanowienie). Nie można bowiem mówić o realnym udziale strony w postępowaniu, o czym stanowi </w:t>
            </w:r>
            <w:r w:rsidRPr="00A527DD">
              <w:rPr>
                <w:rFonts w:asciiTheme="minorHAnsi" w:hAnsiTheme="minorHAnsi" w:cstheme="minorHAnsi"/>
                <w:b/>
                <w:bCs/>
                <w:color w:val="000000"/>
              </w:rPr>
              <w:t>art. 10 k.p.a</w:t>
            </w:r>
            <w:r w:rsidRPr="005B0CD2">
              <w:rPr>
                <w:rFonts w:asciiTheme="minorHAnsi" w:hAnsiTheme="minorHAnsi" w:cstheme="minorHAnsi"/>
                <w:color w:val="000000"/>
              </w:rPr>
              <w:t>. zobowiązujący do zapewnienia wszystkim podmiotom, którym przysługuje status strony, możności wypowiedzenia się co do zebranych dowodów i materiałów oraz zgłoszonych żądań, bez utrwalenia - chociażby właśnie w tym celu - dokumentów zgromadzonych w aktach sprawy. Brak gwarancji urzeczywistniających zasadę udziału strony w postępowaniu utrudnia z kolei osiągnięcie celu postępowania administracyjnego, jakim jest załatwienie sprawy po wszechstronnym wyjaśnieniu wszystkich jej okoliczności faktycznych, z uwzględnieniem także słusznego interesu strony (</w:t>
            </w:r>
            <w:r w:rsidRPr="00830CCD">
              <w:rPr>
                <w:rFonts w:asciiTheme="minorHAnsi" w:hAnsiTheme="minorHAnsi" w:cstheme="minorHAnsi"/>
                <w:b/>
                <w:bCs/>
                <w:color w:val="000000"/>
              </w:rPr>
              <w:t>art. 7 k.p.a</w:t>
            </w:r>
            <w:r w:rsidRPr="005B0CD2">
              <w:rPr>
                <w:rFonts w:asciiTheme="minorHAnsi" w:hAnsiTheme="minorHAnsi" w:cstheme="minorHAnsi"/>
                <w:color w:val="000000"/>
              </w:rPr>
              <w:t xml:space="preserve">.). </w:t>
            </w:r>
            <w:r w:rsidRPr="00830CCD">
              <w:rPr>
                <w:rFonts w:asciiTheme="minorHAnsi" w:hAnsiTheme="minorHAnsi" w:cstheme="minorHAnsi"/>
                <w:b/>
                <w:bCs/>
                <w:color w:val="000000"/>
              </w:rPr>
              <w:t>Nieuzasadniona odmowa sporządzenia kopii dokumentacji sprawy</w:t>
            </w:r>
            <w:r w:rsidRPr="005B0CD2">
              <w:rPr>
                <w:rFonts w:asciiTheme="minorHAnsi" w:hAnsiTheme="minorHAnsi" w:cstheme="minorHAnsi"/>
                <w:color w:val="000000"/>
              </w:rPr>
              <w:t xml:space="preserve">, jak słusznie dostrzegł sąd w sprawie II OSK 3043/13, </w:t>
            </w:r>
            <w:r w:rsidRPr="00830CCD">
              <w:rPr>
                <w:rFonts w:asciiTheme="minorHAnsi" w:hAnsiTheme="minorHAnsi" w:cstheme="minorHAnsi"/>
                <w:b/>
                <w:bCs/>
                <w:color w:val="000000"/>
              </w:rPr>
              <w:t>jest nieuprawnionym formalizmem</w:t>
            </w:r>
            <w:r w:rsidRPr="005B0CD2">
              <w:rPr>
                <w:rFonts w:asciiTheme="minorHAnsi" w:hAnsiTheme="minorHAnsi" w:cstheme="minorHAnsi"/>
                <w:color w:val="000000"/>
              </w:rPr>
              <w:t xml:space="preserve">, który może prowadzić do </w:t>
            </w:r>
            <w:r w:rsidRPr="00830CCD">
              <w:rPr>
                <w:rFonts w:asciiTheme="minorHAnsi" w:hAnsiTheme="minorHAnsi" w:cstheme="minorHAnsi"/>
                <w:b/>
                <w:bCs/>
                <w:color w:val="000000"/>
              </w:rPr>
              <w:t xml:space="preserve">naruszenia </w:t>
            </w:r>
            <w:r w:rsidRPr="00830CCD">
              <w:rPr>
                <w:rFonts w:asciiTheme="minorHAnsi" w:hAnsiTheme="minorHAnsi" w:cstheme="minorHAnsi"/>
                <w:color w:val="000000"/>
              </w:rPr>
              <w:t>wyrażonej w</w:t>
            </w:r>
            <w:r w:rsidRPr="00830CCD">
              <w:rPr>
                <w:rFonts w:asciiTheme="minorHAnsi" w:hAnsiTheme="minorHAnsi" w:cstheme="minorHAnsi"/>
                <w:b/>
                <w:bCs/>
                <w:color w:val="000000"/>
              </w:rPr>
              <w:t xml:space="preserve"> art. 8 k.p.a. zasady prowadzenia postępowanie w sposób budzący zaufanie jego uczestników do władzy publicznej</w:t>
            </w:r>
            <w:r w:rsidRPr="005B0CD2">
              <w:rPr>
                <w:rFonts w:asciiTheme="minorHAnsi" w:hAnsiTheme="minorHAnsi" w:cstheme="minorHAnsi"/>
                <w:color w:val="000000"/>
              </w:rPr>
              <w:t xml:space="preserve">, a wobec dopuszczalności zaskarżenia takiego rozstrzygnięcia </w:t>
            </w:r>
            <w:r w:rsidRPr="00830CCD">
              <w:rPr>
                <w:rFonts w:asciiTheme="minorHAnsi" w:hAnsiTheme="minorHAnsi" w:cstheme="minorHAnsi"/>
                <w:b/>
                <w:bCs/>
                <w:color w:val="000000"/>
              </w:rPr>
              <w:t xml:space="preserve">naruszać również art. </w:t>
            </w:r>
            <w:r w:rsidRPr="00830CCD">
              <w:rPr>
                <w:rFonts w:asciiTheme="minorHAnsi" w:hAnsiTheme="minorHAnsi" w:cstheme="minorHAnsi"/>
                <w:b/>
                <w:bCs/>
                <w:color w:val="000000"/>
              </w:rPr>
              <w:lastRenderedPageBreak/>
              <w:t>12 k.p.a. nakazujący organom administracji działanie w sprawie wnikliwie i szybko</w:t>
            </w:r>
            <w:r w:rsidRPr="005B0CD2">
              <w:rPr>
                <w:rFonts w:asciiTheme="minorHAnsi" w:hAnsiTheme="minorHAnsi" w:cstheme="minorHAnsi"/>
                <w:color w:val="000000"/>
              </w:rPr>
              <w:t>, posługując się możliwie najprostszymi środkami prowadzącymi do jej załatwienia.</w:t>
            </w:r>
          </w:p>
          <w:p w14:paraId="7F872690"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W przytoczonych orzeczeniach, wydanych w sprawach: II SA/Kr 1028/13, II SA/</w:t>
            </w:r>
            <w:proofErr w:type="spellStart"/>
            <w:r w:rsidRPr="005B0CD2">
              <w:rPr>
                <w:rFonts w:asciiTheme="minorHAnsi" w:hAnsiTheme="minorHAnsi" w:cstheme="minorHAnsi"/>
                <w:color w:val="000000"/>
              </w:rPr>
              <w:t>Łd</w:t>
            </w:r>
            <w:proofErr w:type="spellEnd"/>
            <w:r w:rsidRPr="005B0CD2">
              <w:rPr>
                <w:rFonts w:asciiTheme="minorHAnsi" w:hAnsiTheme="minorHAnsi" w:cstheme="minorHAnsi"/>
                <w:color w:val="000000"/>
              </w:rPr>
              <w:t xml:space="preserve"> 1193/12 oraz II SAB/Bk 24/14 trafnie, w ocenie Rzecznika, zwraca się uwagę na konieczność rozpatrywania roli przepisu </w:t>
            </w:r>
            <w:r w:rsidRPr="00A527DD">
              <w:rPr>
                <w:rFonts w:asciiTheme="minorHAnsi" w:hAnsiTheme="minorHAnsi" w:cstheme="minorHAnsi"/>
                <w:b/>
                <w:bCs/>
                <w:color w:val="000000"/>
              </w:rPr>
              <w:t>art. 73 § 1 i 2 k.p.a</w:t>
            </w:r>
            <w:r w:rsidRPr="005B0CD2">
              <w:rPr>
                <w:rFonts w:asciiTheme="minorHAnsi" w:hAnsiTheme="minorHAnsi" w:cstheme="minorHAnsi"/>
                <w:color w:val="000000"/>
              </w:rPr>
              <w:t xml:space="preserve">. na tle całego systemu prawa, w tym norm konstytucyjnych, zasad ogólnych postępowania administracyjnego i celowości ich ustanowienia. Rzecznik wskazał, iż za taką wykładnią przemawia także treść dodanego, nowelizacją z dnia 3 grudnia 2010 r., do </w:t>
            </w:r>
            <w:r w:rsidRPr="00A527DD">
              <w:rPr>
                <w:rFonts w:asciiTheme="minorHAnsi" w:hAnsiTheme="minorHAnsi" w:cstheme="minorHAnsi"/>
                <w:b/>
                <w:bCs/>
                <w:color w:val="000000"/>
              </w:rPr>
              <w:t>art. 73 k.p.a</w:t>
            </w:r>
            <w:r w:rsidRPr="005B0CD2">
              <w:rPr>
                <w:rFonts w:asciiTheme="minorHAnsi" w:hAnsiTheme="minorHAnsi" w:cstheme="minorHAnsi"/>
                <w:color w:val="000000"/>
              </w:rPr>
              <w:t xml:space="preserve">. paragrafu 1a, zgodnie z którym czynności określone w </w:t>
            </w:r>
            <w:r w:rsidRPr="00A527DD">
              <w:rPr>
                <w:rFonts w:asciiTheme="minorHAnsi" w:hAnsiTheme="minorHAnsi" w:cstheme="minorHAnsi"/>
                <w:b/>
                <w:bCs/>
                <w:color w:val="000000"/>
              </w:rPr>
              <w:t>art. 73 § 1</w:t>
            </w:r>
            <w:r w:rsidRPr="005B0CD2">
              <w:rPr>
                <w:rFonts w:asciiTheme="minorHAnsi" w:hAnsiTheme="minorHAnsi" w:cstheme="minorHAnsi"/>
                <w:color w:val="000000"/>
              </w:rPr>
              <w:t xml:space="preserve"> (przeglądanie akt i sporządzanie z nich notatek, kopii i odpisów) są dokonywane w lokalu organu administracji publicznej w obecności pracownika tego organu. Z przepisu tego wynika wręcz zakaz udostępniania akt sprawy poza lokalem organu i podczas nieobecności pracownika tego organu (z wyjątkiem przekazania akt w ramach pomocy prawnej innemu organowi administracji publicznej), co czyni bardzo utrudnionym samodzielne (lub za pośrednictwem podmiotu trzeciego) sporządzenie kopii dokumentacji sprawy za pomocą urządzeń kserograficznych.</w:t>
            </w:r>
          </w:p>
          <w:p w14:paraId="7EDF6B94"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O zasadności przyjęcia takiej wykładni przesądzają również, jak wskazano w sprawie o sygnaturze I OSK 385/09 sytuacje wyjątkowe, gdy strona jest w stanie wykluczającym samodzielnie sporządzenie odpisów. Do takiej argumentacji sądy administracyjne odwoływały się w takich sytuacjach szczególnych i wyjątkowych, jak zły stan zdrowia czy pobyt w zakładzie karnym (zob. wyrok NSA z dnia 11 maja 2010 r. sygn. akt I OSK 693/10, a także wyrok NSA z dnia 1 grudnia 2010 r. sygn. akt I OSK 385/09, wyrok WSA w Warszawie z dnia 24 marca 2014 r., sygn. akt II SA/</w:t>
            </w:r>
            <w:proofErr w:type="spellStart"/>
            <w:r w:rsidRPr="005B0CD2">
              <w:rPr>
                <w:rFonts w:asciiTheme="minorHAnsi" w:hAnsiTheme="minorHAnsi" w:cstheme="minorHAnsi"/>
                <w:color w:val="000000"/>
              </w:rPr>
              <w:t>Wa</w:t>
            </w:r>
            <w:proofErr w:type="spellEnd"/>
            <w:r w:rsidRPr="005B0CD2">
              <w:rPr>
                <w:rFonts w:asciiTheme="minorHAnsi" w:hAnsiTheme="minorHAnsi" w:cstheme="minorHAnsi"/>
                <w:color w:val="000000"/>
              </w:rPr>
              <w:t xml:space="preserve"> 1545/13; wyrok WSA w Warszawie z dnia 17 września 2010 r., sygn. akt II SA/</w:t>
            </w:r>
            <w:proofErr w:type="spellStart"/>
            <w:r w:rsidRPr="005B0CD2">
              <w:rPr>
                <w:rFonts w:asciiTheme="minorHAnsi" w:hAnsiTheme="minorHAnsi" w:cstheme="minorHAnsi"/>
                <w:color w:val="000000"/>
              </w:rPr>
              <w:t>Wa</w:t>
            </w:r>
            <w:proofErr w:type="spellEnd"/>
            <w:r w:rsidRPr="005B0CD2">
              <w:rPr>
                <w:rFonts w:asciiTheme="minorHAnsi" w:hAnsiTheme="minorHAnsi" w:cstheme="minorHAnsi"/>
                <w:color w:val="000000"/>
              </w:rPr>
              <w:t xml:space="preserve"> 1130/09).</w:t>
            </w:r>
          </w:p>
          <w:p w14:paraId="5C2F03FA"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W ocenie Rzecznika, rację należy przyznać tej argumentacji, która kładzie nacisk na uwzględnianie w procesie wykładni zmian technologicznych, które nastąpiły od momentu uchwalenia przepisów Kodeksu postępowania administracyjnego. W ciągu tego czasu powszechnie dostępne stały się rozmaite urządzenia kopiujące, pozwalające stosunkowo szybko sporządzać kopie dokumentów, które są standardowym wyposażeniem urzędów administracji publicznej. Bardzo trafnie, zdaniem Rzecznika, o konieczności dostosowania wykładni przepisów do postępu technologicznego wypowiedział się Wojewódzki Sąd Administracyjny w Warszawie w wyroku z dnia 6 grudnia 2016 r. sygn. akt VI SA/</w:t>
            </w:r>
            <w:proofErr w:type="spellStart"/>
            <w:r w:rsidRPr="005B0CD2">
              <w:rPr>
                <w:rFonts w:asciiTheme="minorHAnsi" w:hAnsiTheme="minorHAnsi" w:cstheme="minorHAnsi"/>
                <w:color w:val="000000"/>
              </w:rPr>
              <w:t>Wa</w:t>
            </w:r>
            <w:proofErr w:type="spellEnd"/>
            <w:r w:rsidRPr="005B0CD2">
              <w:rPr>
                <w:rFonts w:asciiTheme="minorHAnsi" w:hAnsiTheme="minorHAnsi" w:cstheme="minorHAnsi"/>
                <w:color w:val="000000"/>
              </w:rPr>
              <w:t xml:space="preserve"> 1921/16. Zdaniem Rzecznika Praw Obywatelskich w świetle argumentacji systemowej, odwołującej się do przepisów konstytucyjnych i ogólnych zasad postępowania administracyjnego strona musi mieć możliwość utrwalenia na własne potrzeby materiałów postępowania, które toczy się z jej udziałem. Jeżeli nie jest ona jednak w stanie dokonać takiego utrwalenia za pomocą własnych urządzeń, gdyż ich nie posiada albo nie potrafi się nimi posługiwać, to organ administracji - posiadający możliwość - powinien sporządzić dla strony takie kserokopie. Posiadanie </w:t>
            </w:r>
            <w:r w:rsidRPr="005B0CD2">
              <w:rPr>
                <w:rFonts w:asciiTheme="minorHAnsi" w:hAnsiTheme="minorHAnsi" w:cstheme="minorHAnsi"/>
                <w:color w:val="000000"/>
              </w:rPr>
              <w:lastRenderedPageBreak/>
              <w:t xml:space="preserve">odpowiednich urządzeń kopiujących i umiejętność posługiwania się nimi, co chociażby w przypadku osób starszych nie może być uznawane za pewnik, nie może być barierą w korzystaniu z przyznanych stronom postępowania administracyjnego uprawnień, prowadząc do różnicowania ich sytuacji procesowej ze względu na posiadane kompetencje technologiczne. Nie można także uznać, że możność utrwalenia materiałów postępowania na potrzeby, strony zabezpiecza w odpowiednim stopniu uprawnienie do otrzymania uwierzytelnionych odpisów z akt sprawy na podstawie </w:t>
            </w:r>
            <w:r w:rsidRPr="00A527DD">
              <w:rPr>
                <w:rFonts w:asciiTheme="minorHAnsi" w:hAnsiTheme="minorHAnsi" w:cstheme="minorHAnsi"/>
                <w:b/>
                <w:bCs/>
                <w:color w:val="000000"/>
              </w:rPr>
              <w:t>art. 73 § 2 k.p.a</w:t>
            </w:r>
            <w:r w:rsidRPr="005B0CD2">
              <w:rPr>
                <w:rFonts w:asciiTheme="minorHAnsi" w:hAnsiTheme="minorHAnsi" w:cstheme="minorHAnsi"/>
                <w:color w:val="000000"/>
              </w:rPr>
              <w:t>. Możność korzystania z tego uprawnienia limitowana jest bowiem "</w:t>
            </w:r>
            <w:r w:rsidRPr="005B0CD2">
              <w:rPr>
                <w:rFonts w:asciiTheme="minorHAnsi" w:hAnsiTheme="minorHAnsi" w:cstheme="minorHAnsi"/>
                <w:i/>
                <w:color w:val="000000"/>
              </w:rPr>
              <w:t>ważnym interesem strony</w:t>
            </w:r>
            <w:r w:rsidRPr="005B0CD2">
              <w:rPr>
                <w:rFonts w:asciiTheme="minorHAnsi" w:hAnsiTheme="minorHAnsi" w:cstheme="minorHAnsi"/>
                <w:color w:val="000000"/>
              </w:rPr>
              <w:t>" stanowiącym przesłanką wydania stronie uwierzytelnionych odpisów z akt sprawy.</w:t>
            </w:r>
          </w:p>
          <w:p w14:paraId="12B8675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W pierwszej kolejności trzeba bowiem wskazać, że ustawodawca dosyć znacznie zawęził możność korzystania z tego uprawnienia przez użycie kwantyfikatora "</w:t>
            </w:r>
            <w:r w:rsidRPr="005B0CD2">
              <w:rPr>
                <w:rFonts w:asciiTheme="minorHAnsi" w:hAnsiTheme="minorHAnsi" w:cstheme="minorHAnsi"/>
                <w:i/>
                <w:color w:val="000000"/>
              </w:rPr>
              <w:t>ważnego</w:t>
            </w:r>
            <w:r w:rsidRPr="005B0CD2">
              <w:rPr>
                <w:rFonts w:asciiTheme="minorHAnsi" w:hAnsiTheme="minorHAnsi" w:cstheme="minorHAnsi"/>
                <w:color w:val="000000"/>
              </w:rPr>
              <w:t>" w odniesieniu do interesu strony. W orzecznictwie na tle tego sformułowania wywiedziono pogląd, że jest to zamysł ustawodawcy świadczący o wyjątkowym charakterze wydawania uwierzytelnionych odpisów z akt, wymagający wykazania nie jakiegokolwiek, lecz "</w:t>
            </w:r>
            <w:r w:rsidRPr="005B0CD2">
              <w:rPr>
                <w:rFonts w:asciiTheme="minorHAnsi" w:hAnsiTheme="minorHAnsi" w:cstheme="minorHAnsi"/>
                <w:i/>
                <w:color w:val="000000"/>
              </w:rPr>
              <w:t>ważnego</w:t>
            </w:r>
            <w:r w:rsidRPr="005B0CD2">
              <w:rPr>
                <w:rFonts w:asciiTheme="minorHAnsi" w:hAnsiTheme="minorHAnsi" w:cstheme="minorHAnsi"/>
                <w:color w:val="000000"/>
              </w:rPr>
              <w:t>" interesu strony. Analiza orzecznictwa sądów administracyjnych na tle sformułowania "</w:t>
            </w:r>
            <w:r w:rsidRPr="005B0CD2">
              <w:rPr>
                <w:rFonts w:asciiTheme="minorHAnsi" w:hAnsiTheme="minorHAnsi" w:cstheme="minorHAnsi"/>
                <w:i/>
                <w:color w:val="000000"/>
              </w:rPr>
              <w:t>ważny interes strony</w:t>
            </w:r>
            <w:r w:rsidRPr="005B0CD2">
              <w:rPr>
                <w:rFonts w:asciiTheme="minorHAnsi" w:hAnsiTheme="minorHAnsi" w:cstheme="minorHAnsi"/>
                <w:color w:val="000000"/>
              </w:rPr>
              <w:t>" prowadzi do wniosku o pozostawieniu bardzo dużego zakresu uznaniowości organom rozpatrującym wniosek o wydanie takich odpisów. Organ rozpatrując takie żądanie, dokonuje własnej oceny, czy ze względu na okoliczności prowadzonego postępowania lub ze względu na potrzeby strony w innej sprawie zaistniał faktycznie "</w:t>
            </w:r>
            <w:r w:rsidRPr="005B0CD2">
              <w:rPr>
                <w:rFonts w:asciiTheme="minorHAnsi" w:hAnsiTheme="minorHAnsi" w:cstheme="minorHAnsi"/>
                <w:i/>
                <w:color w:val="000000"/>
              </w:rPr>
              <w:t>ważny interes</w:t>
            </w:r>
            <w:r w:rsidRPr="005B0CD2">
              <w:rPr>
                <w:rFonts w:asciiTheme="minorHAnsi" w:hAnsiTheme="minorHAnsi" w:cstheme="minorHAnsi"/>
                <w:color w:val="000000"/>
              </w:rPr>
              <w:t xml:space="preserve">", w rozumieniu </w:t>
            </w:r>
            <w:r w:rsidRPr="00A527DD">
              <w:rPr>
                <w:rFonts w:asciiTheme="minorHAnsi" w:hAnsiTheme="minorHAnsi" w:cstheme="minorHAnsi"/>
                <w:b/>
                <w:bCs/>
                <w:color w:val="000000"/>
              </w:rPr>
              <w:t>art. 73 § 2 k.p.a</w:t>
            </w:r>
            <w:r w:rsidRPr="005B0CD2">
              <w:rPr>
                <w:rFonts w:asciiTheme="minorHAnsi" w:hAnsiTheme="minorHAnsi" w:cstheme="minorHAnsi"/>
                <w:color w:val="000000"/>
              </w:rPr>
              <w:t>. W ocenie Rzecznika, bardzo szeroki zakres klauzuli generalnej, jaką jest pojęcie "</w:t>
            </w:r>
            <w:r w:rsidRPr="005B0CD2">
              <w:rPr>
                <w:rFonts w:asciiTheme="minorHAnsi" w:hAnsiTheme="minorHAnsi" w:cstheme="minorHAnsi"/>
                <w:i/>
                <w:color w:val="000000"/>
              </w:rPr>
              <w:t>ważnego interesu strony</w:t>
            </w:r>
            <w:r w:rsidRPr="005B0CD2">
              <w:rPr>
                <w:rFonts w:asciiTheme="minorHAnsi" w:hAnsiTheme="minorHAnsi" w:cstheme="minorHAnsi"/>
                <w:color w:val="000000"/>
              </w:rPr>
              <w:t xml:space="preserve">", nie daje więc gwarancji, że strona uzyska odpis uwierzytelnionych dokumentów z akt sprawy, jeżeli samodzielne sporządzenie takiego będzie dla niej niemożliwe lub nadmiernie utrudnione. Tymczasem </w:t>
            </w:r>
            <w:r w:rsidRPr="00830CCD">
              <w:rPr>
                <w:rFonts w:asciiTheme="minorHAnsi" w:hAnsiTheme="minorHAnsi" w:cstheme="minorHAnsi"/>
                <w:b/>
                <w:bCs/>
                <w:color w:val="000000"/>
              </w:rPr>
              <w:t>wykładnia</w:t>
            </w:r>
            <w:r w:rsidRPr="005B0CD2">
              <w:rPr>
                <w:rFonts w:asciiTheme="minorHAnsi" w:hAnsiTheme="minorHAnsi" w:cstheme="minorHAnsi"/>
                <w:color w:val="000000"/>
              </w:rPr>
              <w:t xml:space="preserve"> </w:t>
            </w:r>
            <w:r w:rsidRPr="00830CCD">
              <w:rPr>
                <w:rFonts w:asciiTheme="minorHAnsi" w:hAnsiTheme="minorHAnsi" w:cstheme="minorHAnsi"/>
                <w:b/>
                <w:bCs/>
                <w:color w:val="000000"/>
              </w:rPr>
              <w:t>pojęcia warunkującego możność skorzystania z uzyskania konstytucyjnie gwarantowanego prawa dostępu do dokumentów</w:t>
            </w:r>
            <w:r w:rsidRPr="005B0CD2">
              <w:rPr>
                <w:rFonts w:asciiTheme="minorHAnsi" w:hAnsiTheme="minorHAnsi" w:cstheme="minorHAnsi"/>
                <w:color w:val="000000"/>
              </w:rPr>
              <w:t xml:space="preserve"> i zbiorów danych dotyczących danej osoby (</w:t>
            </w:r>
            <w:r w:rsidRPr="00EA4494">
              <w:rPr>
                <w:rFonts w:asciiTheme="minorHAnsi" w:hAnsiTheme="minorHAnsi" w:cstheme="minorHAnsi"/>
                <w:b/>
                <w:bCs/>
                <w:color w:val="000000"/>
              </w:rPr>
              <w:t>art. 51 ust. 3 Konstytucji</w:t>
            </w:r>
            <w:r w:rsidRPr="005B0CD2">
              <w:rPr>
                <w:rFonts w:asciiTheme="minorHAnsi" w:hAnsiTheme="minorHAnsi" w:cstheme="minorHAnsi"/>
                <w:color w:val="000000"/>
              </w:rPr>
              <w:t>) nie może być oparta na zbyt niejasnych i nieprecyzyjnych przesłankach. W orzecznictwie Trybunału Konstytucyjnego wskazuje się również, że ograniczenie prawa dostępu "</w:t>
            </w:r>
            <w:r w:rsidRPr="005B0CD2">
              <w:rPr>
                <w:rFonts w:asciiTheme="minorHAnsi" w:hAnsiTheme="minorHAnsi" w:cstheme="minorHAnsi"/>
                <w:i/>
                <w:color w:val="000000"/>
              </w:rPr>
              <w:t>każdego</w:t>
            </w:r>
            <w:r w:rsidRPr="005B0CD2">
              <w:rPr>
                <w:rFonts w:asciiTheme="minorHAnsi" w:hAnsiTheme="minorHAnsi" w:cstheme="minorHAnsi"/>
                <w:color w:val="000000"/>
              </w:rPr>
              <w:t xml:space="preserve">" do dotyczących go urzędowych dokumentów i zbiorów danych może mieć miejsce jedynie w drodze regulacji ustawowej. Ograniczenia te nie mogą być jednak kształtowane dowolnie, a przede wszystkim - nie występuje tu uchylenie generalnej zasady wyrażonej w </w:t>
            </w:r>
            <w:r w:rsidRPr="00EA4494">
              <w:rPr>
                <w:rFonts w:asciiTheme="minorHAnsi" w:hAnsiTheme="minorHAnsi" w:cstheme="minorHAnsi"/>
                <w:b/>
                <w:bCs/>
                <w:color w:val="000000"/>
              </w:rPr>
              <w:t>art. 31 ust 3 Konstytucji</w:t>
            </w:r>
            <w:r w:rsidRPr="005B0CD2">
              <w:rPr>
                <w:rFonts w:asciiTheme="minorHAnsi" w:hAnsiTheme="minorHAnsi" w:cstheme="minorHAnsi"/>
                <w:color w:val="000000"/>
              </w:rPr>
              <w:t xml:space="preserve">. Ograniczenia konstytucyjnego prawa (dostępności do dokumentów, </w:t>
            </w:r>
            <w:r w:rsidRPr="00EA4494">
              <w:rPr>
                <w:rFonts w:asciiTheme="minorHAnsi" w:hAnsiTheme="minorHAnsi" w:cstheme="minorHAnsi"/>
                <w:b/>
                <w:bCs/>
                <w:color w:val="000000"/>
              </w:rPr>
              <w:t>art. 51 ust. 3 Konstytucji</w:t>
            </w:r>
            <w:r w:rsidRPr="005B0CD2">
              <w:rPr>
                <w:rFonts w:asciiTheme="minorHAnsi" w:hAnsiTheme="minorHAnsi" w:cstheme="minorHAnsi"/>
                <w:color w:val="000000"/>
              </w:rPr>
              <w:t>) muszą bowiem znajdować uzasadnienie w zasadzie proporcjonalności (</w:t>
            </w:r>
            <w:r w:rsidRPr="00EA4494">
              <w:rPr>
                <w:rFonts w:asciiTheme="minorHAnsi" w:hAnsiTheme="minorHAnsi" w:cstheme="minorHAnsi"/>
                <w:b/>
                <w:bCs/>
                <w:color w:val="000000"/>
              </w:rPr>
              <w:t>art. 31 ust. 3 Konstytucji</w:t>
            </w:r>
            <w:r w:rsidRPr="005B0CD2">
              <w:rPr>
                <w:rFonts w:asciiTheme="minorHAnsi" w:hAnsiTheme="minorHAnsi" w:cstheme="minorHAnsi"/>
                <w:color w:val="000000"/>
              </w:rPr>
              <w:t>). Nieprecyzyjność przepisów ograniczających możliwość korzystania z tego prawa rodzi niepewność dla jego adresatów co do treści praw i obowiązków, zwłaszcza gdy stwarza dla organów stosujących przepis nazbyt dużą swobodę (a nawet dowolność) interpretacji, która - w zakresie zagadnień uregulowanych w sposób niejasny lub nieprecyzyjny - może prowadzić do wcielania się tych organów w rolę prawodawcy (wyrok TK z 20 października 2010 r., sygn. akt P 37/09, OTK ZU nr 8/A/2010, poz. 79).</w:t>
            </w:r>
          </w:p>
          <w:p w14:paraId="47621095"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lastRenderedPageBreak/>
              <w:t xml:space="preserve">Nie oznacza to jednak, w ocenie Rzecznika, uznania, że organ nie może uzależnić możliwości skorzystania przez stronę z uprawnienia do sporządzenia przez organ odpisów z akt sprawy od uiszczenia opłaty na pokrycie kosztów tego sporządzenia lub udostępnić odpisy tych akt w sposób odmienny od żądania strony. Jak słusznie wskazuje się w orzecznictwie sądowym na tle </w:t>
            </w:r>
            <w:r w:rsidRPr="00EA4494">
              <w:rPr>
                <w:rFonts w:asciiTheme="minorHAnsi" w:hAnsiTheme="minorHAnsi" w:cstheme="minorHAnsi"/>
                <w:b/>
                <w:bCs/>
                <w:color w:val="000000"/>
              </w:rPr>
              <w:t>art. 73 k.p.a</w:t>
            </w:r>
            <w:r w:rsidRPr="005B0CD2">
              <w:rPr>
                <w:rFonts w:asciiTheme="minorHAnsi" w:hAnsiTheme="minorHAnsi" w:cstheme="minorHAnsi"/>
                <w:color w:val="000000"/>
              </w:rPr>
              <w:t>. trzeba bowiem odróżnić nakazaną prawem czynność organu udostępnienia stronie akt sprawy (</w:t>
            </w:r>
            <w:r w:rsidRPr="00EA4494">
              <w:rPr>
                <w:rFonts w:asciiTheme="minorHAnsi" w:hAnsiTheme="minorHAnsi" w:cstheme="minorHAnsi"/>
                <w:b/>
                <w:bCs/>
                <w:color w:val="000000"/>
              </w:rPr>
              <w:t>art. 73 k.p.a</w:t>
            </w:r>
            <w:r w:rsidRPr="005B0CD2">
              <w:rPr>
                <w:rFonts w:asciiTheme="minorHAnsi" w:hAnsiTheme="minorHAnsi" w:cstheme="minorHAnsi"/>
                <w:color w:val="000000"/>
              </w:rPr>
              <w:t xml:space="preserve">.) od czynności udostępnienia akt sprawy we wskazanej przez stronę formie (por. wyrok NSA z dnia 29 marca 2001 r. sygn. akt II SA 2580/00, Wokanda 2002/1/26, wyrok NSA z dnia 12 października 2010 r. sygn. akt II OSK 104/10, dostępny: </w:t>
            </w:r>
            <w:proofErr w:type="gramStart"/>
            <w:r w:rsidRPr="005B0CD2">
              <w:rPr>
                <w:rFonts w:asciiTheme="minorHAnsi" w:hAnsiTheme="minorHAnsi" w:cstheme="minorHAnsi"/>
                <w:color w:val="000000"/>
              </w:rPr>
              <w:t>http:orzeczenia.nsa.gov.pl</w:t>
            </w:r>
            <w:proofErr w:type="gramEnd"/>
            <w:r w:rsidRPr="005B0CD2">
              <w:rPr>
                <w:rFonts w:asciiTheme="minorHAnsi" w:hAnsiTheme="minorHAnsi" w:cstheme="minorHAnsi"/>
                <w:color w:val="000000"/>
              </w:rPr>
              <w:t>).</w:t>
            </w:r>
          </w:p>
          <w:p w14:paraId="18230E01"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świetle orzecznictwa analizującego prawidłowość stosowania się przez organy do zasad ogólnych postępowania administracyjnego Rzecznik Praw Obywatelskich wyraził przekonanie, że powstała rozbieżność orzecznictwa w przedmiocie stosowania </w:t>
            </w:r>
            <w:r w:rsidRPr="00EA4494">
              <w:rPr>
                <w:rFonts w:asciiTheme="minorHAnsi" w:hAnsiTheme="minorHAnsi" w:cstheme="minorHAnsi"/>
                <w:b/>
                <w:bCs/>
                <w:color w:val="000000"/>
              </w:rPr>
              <w:t>art. 73 § 1 i 2 k.p.a</w:t>
            </w:r>
            <w:r w:rsidRPr="005B0CD2">
              <w:rPr>
                <w:rFonts w:asciiTheme="minorHAnsi" w:hAnsiTheme="minorHAnsi" w:cstheme="minorHAnsi"/>
                <w:color w:val="000000"/>
              </w:rPr>
              <w:t>. godzi w te zasady. Możliwość powoływania się przez organy administracyjne dla poparcia prezentowanych przez siebie argumentacji na dwie różne interpretacje tego samego przepisu, znajdujące swoją akceptację w rozbieżnym orzecznictwie sądów administracyjnych, powoduje, że obywatele nie mogą podejmować czynności w swoich sprawach w zaufaniu do państwa. W zależności bowiem od praktyki przyjętej w danym urzędzie, składane przez obywateli wnioski o sporządzenie kopii materiału dowodowego w sprawie, podjęte celem ochrony ich indywidualnych praw i interesów w postępowaniu administracyjnym, mogą okazać się nieskuteczne, a w konsekwencji narażać obywateli na szkodę. Taka sytuacja godzi też w spójność systemu administracji państwa, gdyż niezależnie od miejsca działania konkretnego organu, wciąż wpisuje się on - w jednolity co do zasad funkcjonowania - aparat pomocniczy władzy publicznej.</w:t>
            </w:r>
          </w:p>
          <w:p w14:paraId="13DD0918"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Mając zatem na względzie, że prawidłowe i jednolite rozumienie przepisu </w:t>
            </w:r>
            <w:r w:rsidRPr="00EA4494">
              <w:rPr>
                <w:rFonts w:asciiTheme="minorHAnsi" w:hAnsiTheme="minorHAnsi" w:cstheme="minorHAnsi"/>
                <w:b/>
                <w:bCs/>
                <w:color w:val="000000"/>
              </w:rPr>
              <w:t>art. 73 § 1 i 2 k.p.a</w:t>
            </w:r>
            <w:r w:rsidRPr="005B0CD2">
              <w:rPr>
                <w:rFonts w:asciiTheme="minorHAnsi" w:hAnsiTheme="minorHAnsi" w:cstheme="minorHAnsi"/>
                <w:color w:val="000000"/>
              </w:rPr>
              <w:t>. jest niezbędne dla budowania zaufania obywateli do władzy publicznej, jak również ochrony praw jednostki uczestniczącej w postępowaniu administracyjnym, a do tego stosowanie zawartej w nim regulacji wywołało rozbieżności w orzecznictwie sądów administracyjnych, w tym Naczelnego Sądu Administracyjnego, Rzecznik Praw Obywatelskich uznał wystąpienie z pytaniem prawnym za konieczne.</w:t>
            </w:r>
          </w:p>
          <w:p w14:paraId="21B2913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sprawie stanowisko zajął prokurator Prokuratury Krajowej, który wniósł o podjęcie uchwały, według której udostępnienie akt stronie, na podstawie </w:t>
            </w:r>
            <w:r w:rsidRPr="00EA4494">
              <w:rPr>
                <w:rFonts w:asciiTheme="minorHAnsi" w:hAnsiTheme="minorHAnsi" w:cstheme="minorHAnsi"/>
                <w:b/>
                <w:bCs/>
                <w:color w:val="000000"/>
              </w:rPr>
              <w:t>art. 73 § 1 k.p.a</w:t>
            </w:r>
            <w:r w:rsidRPr="005B0CD2">
              <w:rPr>
                <w:rFonts w:asciiTheme="minorHAnsi" w:hAnsiTheme="minorHAnsi" w:cstheme="minorHAnsi"/>
                <w:color w:val="000000"/>
              </w:rPr>
              <w:t xml:space="preserve">. nie obejmuje obowiązku udostępnienia stronie akt sprawy poprzez sporządzenie ich kserokopii lub w innej wskazanej przez stronę formie. Prokurator wskazał, że z treści </w:t>
            </w:r>
            <w:r w:rsidRPr="00EA4494">
              <w:rPr>
                <w:rFonts w:asciiTheme="minorHAnsi" w:hAnsiTheme="minorHAnsi" w:cstheme="minorHAnsi"/>
                <w:b/>
                <w:bCs/>
                <w:color w:val="000000"/>
              </w:rPr>
              <w:t>art. 73 § 1 k.p.a</w:t>
            </w:r>
            <w:r w:rsidRPr="005B0CD2">
              <w:rPr>
                <w:rFonts w:asciiTheme="minorHAnsi" w:hAnsiTheme="minorHAnsi" w:cstheme="minorHAnsi"/>
                <w:color w:val="000000"/>
              </w:rPr>
              <w:t xml:space="preserve">. wynika, iż realizację prawa do sporządzania notatek, kopii lub odpisów z akt sprawy ustawodawca pozostawił stronie postępowania do własnej realizacji. Możliwe są zatem do zastosowania w tym względzie wszelkie sposoby sporządzania kopii z wykorzystaniem urządzeń służących do powielania czy utrwalania. Natomiast obowiązek organu administracji publicznej wynikający z </w:t>
            </w:r>
            <w:r w:rsidRPr="005B0CD2">
              <w:rPr>
                <w:rFonts w:asciiTheme="minorHAnsi" w:hAnsiTheme="minorHAnsi" w:cstheme="minorHAnsi"/>
                <w:color w:val="000000"/>
              </w:rPr>
              <w:lastRenderedPageBreak/>
              <w:t xml:space="preserve">omawianego przepisu sprowadza się do udostępnienia stronie w lokalu tego organu akt postępowania w obecności jego pracownika. Brak jest tym samym podstaw do wywodzenia z treści wskazanego przepisu wiążącego obowiązku udostępniania przez organ urządzeń i materiałów służących do sporządzania kopii, a tym bardziej do świadczenia usług ksero. Prokurator zwrócił uwagę, że za dokonywaną do chwili obecnej nowelizacją redakcji </w:t>
            </w:r>
            <w:r w:rsidRPr="00EA4494">
              <w:rPr>
                <w:rFonts w:asciiTheme="minorHAnsi" w:hAnsiTheme="minorHAnsi" w:cstheme="minorHAnsi"/>
                <w:b/>
                <w:bCs/>
                <w:color w:val="000000"/>
              </w:rPr>
              <w:t>art. 178 Ordynacji podatkowej</w:t>
            </w:r>
            <w:r w:rsidRPr="005B0CD2">
              <w:rPr>
                <w:rFonts w:asciiTheme="minorHAnsi" w:hAnsiTheme="minorHAnsi" w:cstheme="minorHAnsi"/>
                <w:color w:val="000000"/>
              </w:rPr>
              <w:t xml:space="preserve"> nie następowała odpowiednia nowelizacja brzmienia </w:t>
            </w:r>
            <w:r w:rsidRPr="00EA4494">
              <w:rPr>
                <w:rFonts w:asciiTheme="minorHAnsi" w:hAnsiTheme="minorHAnsi" w:cstheme="minorHAnsi"/>
                <w:b/>
                <w:bCs/>
                <w:color w:val="000000"/>
              </w:rPr>
              <w:t>art. 73 k.p.a</w:t>
            </w:r>
            <w:r w:rsidRPr="005B0CD2">
              <w:rPr>
                <w:rFonts w:asciiTheme="minorHAnsi" w:hAnsiTheme="minorHAnsi" w:cstheme="minorHAnsi"/>
                <w:color w:val="000000"/>
              </w:rPr>
              <w:t>. Zagadnienie dostępu do akt sprawy poprzez możliwość domagania się przez stronę sporządzenia przez organ kopii akt sprawy i doręczenia ich stronie na gruncie ogólnego postępowania administracyjnego w chwili obecnej można traktować jako postulat de lege ferenda skierowany do ustawodawcy. Postulat ten został zrealizowany na gruncie postępowania podatkowego, gdzie ustawodawca wprowadził możliwość żądania przez stronę wydania jej kopii akt sprawy (</w:t>
            </w:r>
            <w:r w:rsidRPr="00EA4494">
              <w:rPr>
                <w:rFonts w:asciiTheme="minorHAnsi" w:hAnsiTheme="minorHAnsi" w:cstheme="minorHAnsi"/>
                <w:b/>
                <w:bCs/>
                <w:color w:val="000000"/>
              </w:rPr>
              <w:t>art. 178 § 3 Ordynacji podatkowej</w:t>
            </w:r>
            <w:r w:rsidRPr="005B0CD2">
              <w:rPr>
                <w:rFonts w:asciiTheme="minorHAnsi" w:hAnsiTheme="minorHAnsi" w:cstheme="minorHAnsi"/>
                <w:color w:val="000000"/>
              </w:rPr>
              <w:t>). Na gruncie ogólnej procedury administracyjnej takiej zmiany dotychczas nie wprowadzono, zatem prawo domagania się przez stronę sporządzenia przez organ kopii akt sprawy w chwili obecnej nie ma podstawy prawnej.</w:t>
            </w:r>
          </w:p>
          <w:p w14:paraId="5A78FCD6"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W piśmie z dnia 22 czerwca 2018 r. Rzecznik Praw Obywatelskich ustosunkował się do stanowiska Prokuratora, podtrzymując w całości argumentację przedstawioną we wniosku.</w:t>
            </w:r>
          </w:p>
          <w:p w14:paraId="6E887721"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Rozpoznając wniosek Rzecznika Praw Obywatelskich Naczelny Sąd Administracyjny zważył, co następuje:</w:t>
            </w:r>
          </w:p>
          <w:p w14:paraId="044F2195" w14:textId="41DD931E"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Analiza wniosku oraz orzecznictwa sądów administracyjnych pozwala na stwierdzenie, że istnieją podstawy do podjęcia uchwały wyjaśniającej przepis prawny, którego wykładnia wywołała rozbieżności w orzecznictwie sądów administracyjnych. O wyjaśnienie treści przepisu prawnego zwrócił się uprawniony do tego podmiot (</w:t>
            </w:r>
            <w:r w:rsidRPr="00EA4494">
              <w:rPr>
                <w:rFonts w:asciiTheme="minorHAnsi" w:hAnsiTheme="minorHAnsi" w:cstheme="minorHAnsi"/>
                <w:b/>
                <w:bCs/>
                <w:color w:val="000000"/>
              </w:rPr>
              <w:t>art. 264 § 2</w:t>
            </w:r>
            <w:r w:rsidRPr="005B0CD2">
              <w:rPr>
                <w:rFonts w:asciiTheme="minorHAnsi" w:hAnsiTheme="minorHAnsi" w:cstheme="minorHAnsi"/>
                <w:color w:val="000000"/>
              </w:rPr>
              <w:t xml:space="preserve"> w związku z </w:t>
            </w:r>
            <w:r w:rsidRPr="00EA4494">
              <w:rPr>
                <w:rFonts w:asciiTheme="minorHAnsi" w:hAnsiTheme="minorHAnsi" w:cstheme="minorHAnsi"/>
                <w:b/>
                <w:bCs/>
                <w:color w:val="000000"/>
              </w:rPr>
              <w:t>art. 15 § 1 pkt 2 P.p.s.a</w:t>
            </w:r>
            <w:r w:rsidRPr="005B0CD2">
              <w:rPr>
                <w:rFonts w:asciiTheme="minorHAnsi" w:hAnsiTheme="minorHAnsi" w:cstheme="minorHAnsi"/>
                <w:color w:val="000000"/>
              </w:rPr>
              <w:t xml:space="preserve">.), który wskazał na istnienie w orzecznictwie sądowoadministracyjnym dwóch przeciwstawnych poglądów w zakresie interpretacji powołanego we wniosku </w:t>
            </w:r>
            <w:r w:rsidRPr="00EA4494">
              <w:rPr>
                <w:rFonts w:asciiTheme="minorHAnsi" w:hAnsiTheme="minorHAnsi" w:cstheme="minorHAnsi"/>
                <w:b/>
                <w:bCs/>
                <w:color w:val="000000"/>
              </w:rPr>
              <w:t>art. 73 § 1 k.p.a</w:t>
            </w:r>
            <w:r w:rsidRPr="005B0CD2">
              <w:rPr>
                <w:rFonts w:asciiTheme="minorHAnsi" w:hAnsiTheme="minorHAnsi" w:cstheme="minorHAnsi"/>
                <w:color w:val="000000"/>
              </w:rPr>
              <w:t>., a w konsekwencji niejednolitej praktyki organów w jego stosowaniu.</w:t>
            </w:r>
          </w:p>
          <w:p w14:paraId="6AC7F684"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Trudności interpretacyjne </w:t>
            </w:r>
            <w:r w:rsidRPr="00EA4494">
              <w:rPr>
                <w:rFonts w:asciiTheme="minorHAnsi" w:hAnsiTheme="minorHAnsi" w:cstheme="minorHAnsi"/>
                <w:b/>
                <w:bCs/>
                <w:color w:val="000000"/>
              </w:rPr>
              <w:t>art. 73 § 1 k.p.a</w:t>
            </w:r>
            <w:r w:rsidRPr="005B0CD2">
              <w:rPr>
                <w:rFonts w:asciiTheme="minorHAnsi" w:hAnsiTheme="minorHAnsi" w:cstheme="minorHAnsi"/>
                <w:color w:val="000000"/>
              </w:rPr>
              <w:t>. wynikają z tego, że ustawodawca wymieniając w tym przepisie uprawnienia strony postępowania administracyjnego, związane z udostępnieniem akt, pominął możliwość żądania od organu sporządzenia ich kopii(kserokopii).</w:t>
            </w:r>
          </w:p>
          <w:p w14:paraId="1449184C"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kontekście omawianej regulacji problematyczna stała się sytuacja procesowa, w której strona wnosi o sporządzenie przez organ kopii(kserokopii), bez uwierzytelnienia, a więc poza trybem przewidzianym w </w:t>
            </w:r>
            <w:r w:rsidRPr="00EA4494">
              <w:rPr>
                <w:rFonts w:asciiTheme="minorHAnsi" w:hAnsiTheme="minorHAnsi" w:cstheme="minorHAnsi"/>
                <w:b/>
                <w:bCs/>
                <w:color w:val="000000"/>
              </w:rPr>
              <w:t>art. 73 § 2 k.p.a</w:t>
            </w:r>
            <w:r w:rsidRPr="005B0CD2">
              <w:rPr>
                <w:rFonts w:asciiTheme="minorHAnsi" w:hAnsiTheme="minorHAnsi" w:cstheme="minorHAnsi"/>
                <w:color w:val="000000"/>
              </w:rPr>
              <w:t>. Konieczne jest zatem zapewnienie jednolitego rozumienia przepisu prawnego, powołanego w petitum, by zagwarantować właściwą ochronę stron postępowania administracyjnego.</w:t>
            </w:r>
          </w:p>
          <w:p w14:paraId="5335D64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pierwszej grupie orzeczeń sądy administracyjne przyjmują, że według literalnej wykładni </w:t>
            </w:r>
            <w:r w:rsidRPr="00EA4494">
              <w:rPr>
                <w:rFonts w:asciiTheme="minorHAnsi" w:hAnsiTheme="minorHAnsi" w:cstheme="minorHAnsi"/>
                <w:b/>
                <w:bCs/>
                <w:color w:val="000000"/>
              </w:rPr>
              <w:t>art. 73 § 1 k.p.a</w:t>
            </w:r>
            <w:r w:rsidRPr="005B0CD2">
              <w:rPr>
                <w:rFonts w:asciiTheme="minorHAnsi" w:hAnsiTheme="minorHAnsi" w:cstheme="minorHAnsi"/>
                <w:color w:val="000000"/>
              </w:rPr>
              <w:t xml:space="preserve">. czynności w postaci sporządzania notatek z akt, kopii lub odpisów należą do strony, </w:t>
            </w:r>
            <w:r w:rsidRPr="005B0CD2">
              <w:rPr>
                <w:rFonts w:asciiTheme="minorHAnsi" w:hAnsiTheme="minorHAnsi" w:cstheme="minorHAnsi"/>
                <w:color w:val="000000"/>
              </w:rPr>
              <w:lastRenderedPageBreak/>
              <w:t xml:space="preserve">a w konsekwencji wykonanie kopii na żądanie strony jest możliwe wyłącznie w przypadku wykazania przez stronę ważnego interesu, zgodnie z </w:t>
            </w:r>
            <w:r w:rsidRPr="00EA4494">
              <w:rPr>
                <w:rFonts w:asciiTheme="minorHAnsi" w:hAnsiTheme="minorHAnsi" w:cstheme="minorHAnsi"/>
                <w:b/>
                <w:bCs/>
                <w:color w:val="000000"/>
              </w:rPr>
              <w:t>art. 73 § 2 k.p.a</w:t>
            </w:r>
            <w:r w:rsidRPr="005B0CD2">
              <w:rPr>
                <w:rFonts w:asciiTheme="minorHAnsi" w:hAnsiTheme="minorHAnsi" w:cstheme="minorHAnsi"/>
                <w:color w:val="000000"/>
              </w:rPr>
              <w:t>. Wskazuje się jednocześnie, że zagadnienie dostępu do akt sprawy poprzez możliwość domagania się przez stronę sporządzenia przez organ kopii dokumentów należy traktować na gruncie ogólnego postępowania administracyjnego jako postulat de lege ferenda skierowany do ustawodawcy.</w:t>
            </w:r>
          </w:p>
          <w:p w14:paraId="536A443F"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Również według stanowiska Prokuratora Prokuratury Krajowej wyrażonego w niniejszym postępowaniu, udostępnianie akt, na podstawie </w:t>
            </w:r>
            <w:r w:rsidRPr="00EA4494">
              <w:rPr>
                <w:rFonts w:asciiTheme="minorHAnsi" w:hAnsiTheme="minorHAnsi" w:cstheme="minorHAnsi"/>
                <w:b/>
                <w:bCs/>
                <w:color w:val="000000"/>
              </w:rPr>
              <w:t>art. 73 § 1 k.p.a</w:t>
            </w:r>
            <w:r w:rsidRPr="005B0CD2">
              <w:rPr>
                <w:rFonts w:asciiTheme="minorHAnsi" w:hAnsiTheme="minorHAnsi" w:cstheme="minorHAnsi"/>
                <w:color w:val="000000"/>
              </w:rPr>
              <w:t>., nie obejmuje obowiązku organu administracji sporządzania kopii (kserokopii) z akt sprawy na żądanie strony, jak też brak podstaw do wywodzenia z tego przepisu obowiązku udostępniania stronie przez organ urządzeń i materiałów służących do sporządzenia kopii dokumentów zawartych w aktach sprawy.</w:t>
            </w:r>
          </w:p>
          <w:p w14:paraId="2EC918A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ramach drugiej linii orzeczniczej ukształtowane zostało stanowisko wskazujące na potrzebę systemowej i celowościowej wykładni </w:t>
            </w:r>
            <w:r w:rsidRPr="00EA4494">
              <w:rPr>
                <w:rFonts w:asciiTheme="minorHAnsi" w:hAnsiTheme="minorHAnsi" w:cstheme="minorHAnsi"/>
                <w:b/>
                <w:bCs/>
                <w:color w:val="000000"/>
              </w:rPr>
              <w:t>art. 73 § 1 k.p.a</w:t>
            </w:r>
            <w:r w:rsidRPr="005B0CD2">
              <w:rPr>
                <w:rFonts w:asciiTheme="minorHAnsi" w:hAnsiTheme="minorHAnsi" w:cstheme="minorHAnsi"/>
                <w:color w:val="000000"/>
              </w:rPr>
              <w:t xml:space="preserve">., uwzględniającej normy konstytucyjne i ogólne zasady prawa administracyjnego. Sądy administracyjne w szeregu orzeczeń wywiodły z treści </w:t>
            </w:r>
            <w:r w:rsidRPr="00EA4494">
              <w:rPr>
                <w:rFonts w:asciiTheme="minorHAnsi" w:hAnsiTheme="minorHAnsi" w:cstheme="minorHAnsi"/>
                <w:b/>
                <w:bCs/>
                <w:color w:val="000000"/>
              </w:rPr>
              <w:t>art. 73 § 1 k.p.a</w:t>
            </w:r>
            <w:r w:rsidRPr="005B0CD2">
              <w:rPr>
                <w:rFonts w:asciiTheme="minorHAnsi" w:hAnsiTheme="minorHAnsi" w:cstheme="minorHAnsi"/>
                <w:color w:val="000000"/>
              </w:rPr>
              <w:t xml:space="preserve">., że prawo strony w zakresie dostępu do akt należy rozumieć szeroko, a więc nie tylko jako prawo wglądu do akt i osobistego sporządzenia notatek, odpisów oraz kopii, ale także jako uprawnienie uzyskania kserokopii z akt sprawy, wykonanych przez organ administracji za zwrotem związanych z tym kosztów. Uzasadnieniem dla takiej interpretacji omawianego przepisu stały się uwarunkowania wynikające z </w:t>
            </w:r>
            <w:r w:rsidRPr="00EA4494">
              <w:rPr>
                <w:rFonts w:asciiTheme="minorHAnsi" w:hAnsiTheme="minorHAnsi" w:cstheme="minorHAnsi"/>
                <w:b/>
                <w:bCs/>
                <w:color w:val="000000"/>
              </w:rPr>
              <w:t>art. 51 ust. 3 Konstytucji RP</w:t>
            </w:r>
            <w:r w:rsidRPr="005B0CD2">
              <w:rPr>
                <w:rFonts w:asciiTheme="minorHAnsi" w:hAnsiTheme="minorHAnsi" w:cstheme="minorHAnsi"/>
                <w:color w:val="000000"/>
              </w:rPr>
              <w:t xml:space="preserve">, gwarantujące każdemu prawo dostępu do dotyczących go urzędowo dokumentów, a przede wszystkim z przepisów </w:t>
            </w:r>
            <w:r w:rsidRPr="00EA4494">
              <w:rPr>
                <w:rFonts w:asciiTheme="minorHAnsi" w:hAnsiTheme="minorHAnsi" w:cstheme="minorHAnsi"/>
                <w:b/>
                <w:bCs/>
                <w:color w:val="000000"/>
              </w:rPr>
              <w:t>art. 10</w:t>
            </w:r>
            <w:r w:rsidRPr="005B0CD2">
              <w:rPr>
                <w:rFonts w:asciiTheme="minorHAnsi" w:hAnsiTheme="minorHAnsi" w:cstheme="minorHAnsi"/>
                <w:color w:val="000000"/>
              </w:rPr>
              <w:t xml:space="preserve">, </w:t>
            </w:r>
            <w:r w:rsidRPr="00EA4494">
              <w:rPr>
                <w:rFonts w:asciiTheme="minorHAnsi" w:hAnsiTheme="minorHAnsi" w:cstheme="minorHAnsi"/>
                <w:b/>
                <w:bCs/>
                <w:color w:val="000000"/>
              </w:rPr>
              <w:t>art. 7</w:t>
            </w:r>
            <w:r w:rsidRPr="005B0CD2">
              <w:rPr>
                <w:rFonts w:asciiTheme="minorHAnsi" w:hAnsiTheme="minorHAnsi" w:cstheme="minorHAnsi"/>
                <w:color w:val="000000"/>
              </w:rPr>
              <w:t xml:space="preserve"> i </w:t>
            </w:r>
            <w:r w:rsidRPr="00EA4494">
              <w:rPr>
                <w:rFonts w:asciiTheme="minorHAnsi" w:hAnsiTheme="minorHAnsi" w:cstheme="minorHAnsi"/>
                <w:b/>
                <w:bCs/>
                <w:color w:val="000000"/>
              </w:rPr>
              <w:t>art. 12 k.p.a</w:t>
            </w:r>
            <w:r w:rsidRPr="005B0CD2">
              <w:rPr>
                <w:rFonts w:asciiTheme="minorHAnsi" w:hAnsiTheme="minorHAnsi" w:cstheme="minorHAnsi"/>
                <w:color w:val="000000"/>
              </w:rPr>
              <w:t>., statuujących zasadę czynnego udziału stron w postępowaniu, prawdy obiektywnej, zasady szybkości i ograniczonego formalizmu.</w:t>
            </w:r>
          </w:p>
          <w:p w14:paraId="73C38A7E"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Zdaniem Składu orzekającego, Rzecznik Praw Obywatelskich trafnie przywołał we wniosku te orzeczenia sądowe, w których zaakcentowano wpływ regulacji </w:t>
            </w:r>
            <w:r w:rsidRPr="00EA4494">
              <w:rPr>
                <w:rFonts w:asciiTheme="minorHAnsi" w:hAnsiTheme="minorHAnsi" w:cstheme="minorHAnsi"/>
                <w:b/>
                <w:bCs/>
                <w:color w:val="000000"/>
              </w:rPr>
              <w:t>art. 73 § 1 k.p.a</w:t>
            </w:r>
            <w:r w:rsidRPr="005B0CD2">
              <w:rPr>
                <w:rFonts w:asciiTheme="minorHAnsi" w:hAnsiTheme="minorHAnsi" w:cstheme="minorHAnsi"/>
                <w:color w:val="000000"/>
              </w:rPr>
              <w:t xml:space="preserve">. na rzeczywiste funkcjonowanie zasady jawności postępowania warunkującej czynny udział stron w postępowaniu, co z kolei służy realizacji zasady prawdy obiektywnej. W powołanych wyrokach zasadnie zwrócono uwagę, że przepis </w:t>
            </w:r>
            <w:r w:rsidRPr="00EA4494">
              <w:rPr>
                <w:rFonts w:asciiTheme="minorHAnsi" w:hAnsiTheme="minorHAnsi" w:cstheme="minorHAnsi"/>
                <w:b/>
                <w:bCs/>
                <w:color w:val="000000"/>
              </w:rPr>
              <w:t>art. 73 § 1 k.p.a</w:t>
            </w:r>
            <w:r w:rsidRPr="005B0CD2">
              <w:rPr>
                <w:rFonts w:asciiTheme="minorHAnsi" w:hAnsiTheme="minorHAnsi" w:cstheme="minorHAnsi"/>
                <w:color w:val="000000"/>
              </w:rPr>
              <w:t>. powinien być tak odczytywany i stosowany, by odpowiadał nie tylko postępowi technicznemu, ale również powszechnej praktyce utrwalonej zarówno w stosunkach społecznych, jak i procedurach prawnych nowoczesnego państwa demokratycznego.</w:t>
            </w:r>
          </w:p>
          <w:p w14:paraId="2FA4FD15"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Warto w tym miejscu zaznaczyć, że w polskim systemie prawnym instytucja udostępniania akt administracyjnych ewoluowała na przestrzeni stulecia. Prawo strony dostępu do akt administracyjnych jest konstrukcją, której wyraźną podstawę prawną w polskim porządku prawnym stworzyła pierwsza regulacja postępowania administracyjnego, tj. rozporządzenie Prezydenta Rzeczpospolitej z dnia 22 marca 1928 r. o postępowaniu administracyjnym (Dz. U. Nr 36, poz. 341 ze zm.). Artykuł 14 ust. 2 i 3 tego rozporządzenia dopuszczał wprost dwa rodzaje uprawnień odnoszących się do akt sprawy: prawo przeglądania akt administracyjnych, prawo </w:t>
            </w:r>
            <w:r w:rsidRPr="005B0CD2">
              <w:rPr>
                <w:rFonts w:asciiTheme="minorHAnsi" w:hAnsiTheme="minorHAnsi" w:cstheme="minorHAnsi"/>
                <w:color w:val="000000"/>
              </w:rPr>
              <w:lastRenderedPageBreak/>
              <w:t>otrzymania odpisów z dokumentów. W nauce prawa administracyjnego przyjęto wówczas, że prawo przeglądania akt z natury obejmuje również prawo robienia notatek o charakterze prywatnym. Wskazane uprawnienia podlegały ograniczeniom przedmiotowym co do zakresu udostępnianych akt. Prawo przeglądania akt oraz sporządzania notatek mogło być skuteczne tylko w stosunku do akt, które zdaniem władzy zawierały dane niezbędne dla strony celem uzasadnienia jej praw i interesów. Prawo do otrzymywania odpisów odniesiono do dokumentów, przy czym na zakres ich wydawania oddziaływała ogólna przesłanka realizacji tego uprawnienia, czyli wymóg "</w:t>
            </w:r>
            <w:r w:rsidRPr="002F235A">
              <w:rPr>
                <w:rFonts w:asciiTheme="minorHAnsi" w:hAnsiTheme="minorHAnsi" w:cstheme="minorHAnsi"/>
                <w:b/>
                <w:bCs/>
                <w:i/>
                <w:color w:val="000000"/>
              </w:rPr>
              <w:t>o ile ze względu na interes publiczny jest to dopuszczalne</w:t>
            </w:r>
            <w:r w:rsidRPr="005B0CD2">
              <w:rPr>
                <w:rFonts w:asciiTheme="minorHAnsi" w:hAnsiTheme="minorHAnsi" w:cstheme="minorHAnsi"/>
                <w:color w:val="000000"/>
              </w:rPr>
              <w:t xml:space="preserve">". Realizacja przez stronę uprawnień z zakresu dostępu do akt wymagała więc każdorazowo zezwolenia władzy. Zezwolenie przybierało postać zarządzenia, o czym stanowił przepis zawarty w </w:t>
            </w:r>
            <w:r w:rsidRPr="002F235A">
              <w:rPr>
                <w:rFonts w:asciiTheme="minorHAnsi" w:hAnsiTheme="minorHAnsi" w:cstheme="minorHAnsi"/>
                <w:b/>
                <w:bCs/>
                <w:color w:val="000000"/>
              </w:rPr>
              <w:t>art. 14 ust. 4 rozporządzenia z 1928</w:t>
            </w:r>
            <w:r w:rsidRPr="005B0CD2">
              <w:rPr>
                <w:rFonts w:asciiTheme="minorHAnsi" w:hAnsiTheme="minorHAnsi" w:cstheme="minorHAnsi"/>
                <w:color w:val="000000"/>
              </w:rPr>
              <w:t xml:space="preserve"> r. Od zarządzeń w tym przedmiocie nie przysługiwał żaden środek prawny oddzielny od odwołania.</w:t>
            </w:r>
          </w:p>
          <w:p w14:paraId="678DEB7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2F235A">
              <w:rPr>
                <w:rFonts w:asciiTheme="minorHAnsi" w:hAnsiTheme="minorHAnsi" w:cstheme="minorHAnsi"/>
                <w:b/>
                <w:bCs/>
                <w:color w:val="000000"/>
              </w:rPr>
              <w:t>Odmienne rozwiązania</w:t>
            </w:r>
            <w:r w:rsidRPr="005B0CD2">
              <w:rPr>
                <w:rFonts w:asciiTheme="minorHAnsi" w:hAnsiTheme="minorHAnsi" w:cstheme="minorHAnsi"/>
                <w:color w:val="000000"/>
              </w:rPr>
              <w:t xml:space="preserve"> wprowadził uchwalony dnia 14 czerwca 1960 r. </w:t>
            </w:r>
            <w:r w:rsidRPr="002F235A">
              <w:rPr>
                <w:rFonts w:asciiTheme="minorHAnsi" w:hAnsiTheme="minorHAnsi" w:cstheme="minorHAnsi"/>
                <w:b/>
                <w:bCs/>
                <w:color w:val="000000"/>
              </w:rPr>
              <w:t>Kodeks postępowania administracyjnego</w:t>
            </w:r>
            <w:r w:rsidRPr="005B0CD2">
              <w:rPr>
                <w:rFonts w:asciiTheme="minorHAnsi" w:hAnsiTheme="minorHAnsi" w:cstheme="minorHAnsi"/>
                <w:color w:val="000000"/>
              </w:rPr>
              <w:t>, przyznając stronie w każdym stadium postępowania prawo do przeglądania akt i sporządzania w tym czasie z nich notatek i odpisów. Regulacja udostępniania akt sprawy w tym kodeksie została poddana kilku nowelizacjom. I tak:</w:t>
            </w:r>
          </w:p>
          <w:p w14:paraId="4A8F1018" w14:textId="1D116CB5"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 ustawą z dnia 31 stycznia 1980 r. o </w:t>
            </w:r>
            <w:r w:rsidRPr="002F235A">
              <w:rPr>
                <w:rFonts w:asciiTheme="minorHAnsi" w:hAnsiTheme="minorHAnsi" w:cstheme="minorHAnsi"/>
                <w:b/>
                <w:bCs/>
                <w:color w:val="000000"/>
              </w:rPr>
              <w:t>Naczelnym Sądzie Administracyjnym</w:t>
            </w:r>
            <w:r w:rsidRPr="005B0CD2">
              <w:rPr>
                <w:rFonts w:asciiTheme="minorHAnsi" w:hAnsiTheme="minorHAnsi" w:cstheme="minorHAnsi"/>
                <w:color w:val="000000"/>
              </w:rPr>
              <w:t xml:space="preserve"> i o zmianie ustawy Kodeks postępowania administracyjnego</w:t>
            </w:r>
            <w:r w:rsidR="005B0CD2">
              <w:rPr>
                <w:rFonts w:asciiTheme="minorHAnsi" w:hAnsiTheme="minorHAnsi" w:cstheme="minorHAnsi"/>
                <w:color w:val="000000"/>
              </w:rPr>
              <w:t xml:space="preserve"> </w:t>
            </w:r>
            <w:r w:rsidRPr="005B0CD2">
              <w:rPr>
                <w:rFonts w:asciiTheme="minorHAnsi" w:hAnsiTheme="minorHAnsi" w:cstheme="minorHAnsi"/>
                <w:color w:val="000000"/>
              </w:rPr>
              <w:t>(Dz. U. Nr 4, poz. 8 ze zm.), w której przyjęto rozwiązanie, że odmowa umożliwienia stronie przeglądania akt sprawy, sporządzania odpisów i notatek, uwierzytelniania takich odpisów lub wydania uwierzytelnionych odpisów następuje w drodze postanowienia, na które przysługuje zażalenie,</w:t>
            </w:r>
          </w:p>
          <w:p w14:paraId="6D6936B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 ustawą z dnia 12 lutego 2010 r. </w:t>
            </w:r>
            <w:r w:rsidRPr="002F235A">
              <w:rPr>
                <w:rFonts w:asciiTheme="minorHAnsi" w:hAnsiTheme="minorHAnsi" w:cstheme="minorHAnsi"/>
                <w:b/>
                <w:bCs/>
                <w:color w:val="000000"/>
              </w:rPr>
              <w:t>o zmianie ustawy o informatyzacji działalności podmiotów realizujących zadania publiczne oraz niektórych innych ustaw</w:t>
            </w:r>
            <w:r w:rsidRPr="005B0CD2">
              <w:rPr>
                <w:rFonts w:asciiTheme="minorHAnsi" w:hAnsiTheme="minorHAnsi" w:cstheme="minorHAnsi"/>
                <w:color w:val="000000"/>
              </w:rPr>
              <w:t xml:space="preserve"> (Dz. U. Nr 40, poz. 230), mocą której uregulowano problem udostępniania pism w formie dokumentu elektronicznego w systemie teleinformatycznym organu administracji publicznej,</w:t>
            </w:r>
          </w:p>
          <w:p w14:paraId="78650E0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 ustawą z dnia 3 grudnia 2010 r. </w:t>
            </w:r>
            <w:r w:rsidRPr="002F235A">
              <w:rPr>
                <w:rFonts w:asciiTheme="minorHAnsi" w:hAnsiTheme="minorHAnsi" w:cstheme="minorHAnsi"/>
                <w:b/>
                <w:bCs/>
                <w:color w:val="000000"/>
              </w:rPr>
              <w:t>o zmianie ustawy Kodeks postępowania administracyjnego</w:t>
            </w:r>
            <w:r w:rsidRPr="005B0CD2">
              <w:rPr>
                <w:rFonts w:asciiTheme="minorHAnsi" w:hAnsiTheme="minorHAnsi" w:cstheme="minorHAnsi"/>
                <w:color w:val="000000"/>
              </w:rPr>
              <w:t xml:space="preserve"> oraz ustawy </w:t>
            </w:r>
            <w:r w:rsidRPr="002F235A">
              <w:rPr>
                <w:rFonts w:asciiTheme="minorHAnsi" w:hAnsiTheme="minorHAnsi" w:cstheme="minorHAnsi"/>
                <w:b/>
                <w:bCs/>
                <w:color w:val="000000"/>
              </w:rPr>
              <w:t>Prawo o postępowaniu przed sądami administracyjnymi</w:t>
            </w:r>
            <w:r w:rsidRPr="005B0CD2">
              <w:rPr>
                <w:rFonts w:asciiTheme="minorHAnsi" w:hAnsiTheme="minorHAnsi" w:cstheme="minorHAnsi"/>
                <w:color w:val="000000"/>
              </w:rPr>
              <w:t xml:space="preserve"> (Dz. U. z 2011 r. Nr 6, poz. 18 ze zm.), rozstrzygnięto problem granic czasowych udostępnienia akt sprawy, określono techniczne warunki wykonywania tych czynności (</w:t>
            </w:r>
            <w:r w:rsidRPr="002F235A">
              <w:rPr>
                <w:rFonts w:asciiTheme="minorHAnsi" w:hAnsiTheme="minorHAnsi" w:cstheme="minorHAnsi"/>
                <w:b/>
                <w:bCs/>
                <w:color w:val="000000"/>
              </w:rPr>
              <w:t>art. 73 § 1a k.p.a</w:t>
            </w:r>
            <w:r w:rsidRPr="005B0CD2">
              <w:rPr>
                <w:rFonts w:asciiTheme="minorHAnsi" w:hAnsiTheme="minorHAnsi" w:cstheme="minorHAnsi"/>
                <w:color w:val="000000"/>
              </w:rPr>
              <w:t>.) oraz rozszerzono formy realizacji przez stronę przysługujących jej uprawnień poprzez wskazanie prawa do sporządzania kopii,</w:t>
            </w:r>
          </w:p>
          <w:p w14:paraId="57D9076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 ustawą z dnia 10 stycznia 2014 r. o zmianie </w:t>
            </w:r>
            <w:r w:rsidRPr="002F235A">
              <w:rPr>
                <w:rFonts w:asciiTheme="minorHAnsi" w:hAnsiTheme="minorHAnsi" w:cstheme="minorHAnsi"/>
                <w:b/>
                <w:bCs/>
                <w:color w:val="000000"/>
              </w:rPr>
              <w:t>ustawy o informatyzacji działalności podmiotów</w:t>
            </w:r>
            <w:r w:rsidRPr="005B0CD2">
              <w:rPr>
                <w:rFonts w:asciiTheme="minorHAnsi" w:hAnsiTheme="minorHAnsi" w:cstheme="minorHAnsi"/>
                <w:color w:val="000000"/>
              </w:rPr>
              <w:t xml:space="preserve"> realizujących zadania publiczne oraz niektórych innych ustaw (Dz. U. 2014 r., poz.183), zmodyfikowano treść artykułu </w:t>
            </w:r>
            <w:r w:rsidRPr="002F235A">
              <w:rPr>
                <w:rFonts w:asciiTheme="minorHAnsi" w:hAnsiTheme="minorHAnsi" w:cstheme="minorHAnsi"/>
                <w:b/>
                <w:bCs/>
                <w:color w:val="000000"/>
              </w:rPr>
              <w:t>art. 73 § 3 k.p.a</w:t>
            </w:r>
            <w:r w:rsidRPr="005B0CD2">
              <w:rPr>
                <w:rFonts w:asciiTheme="minorHAnsi" w:hAnsiTheme="minorHAnsi" w:cstheme="minorHAnsi"/>
                <w:color w:val="000000"/>
              </w:rPr>
              <w:t>. przyznając organowi administracji publicznej prawo zapewnienia stronie dokonania czynności wglądu do akt oraz sporządzania z nich notatek i kopii (odpisów) w swoim systemie teleinformatycznym po identyfikacji strony.</w:t>
            </w:r>
          </w:p>
          <w:p w14:paraId="3BFEC06E"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lastRenderedPageBreak/>
              <w:t>Analiza treści zacytowanych powyżej regulacji prowadzi do wniosku, że polski ustawodawca stopniowo wzmacniał uprawnienia strony zainteresowanej dostępem do akt. Dostępność akt dla strony stała się regułą. Kolejne zmiany ustawodawstwa rozszerzały granice jawności.</w:t>
            </w:r>
          </w:p>
          <w:p w14:paraId="37292204"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Aktualnie omawiane uprawnienie ma również podstawy prawne w </w:t>
            </w:r>
            <w:r w:rsidRPr="002F235A">
              <w:rPr>
                <w:rFonts w:asciiTheme="minorHAnsi" w:hAnsiTheme="minorHAnsi" w:cstheme="minorHAnsi"/>
                <w:b/>
                <w:bCs/>
                <w:color w:val="000000"/>
              </w:rPr>
              <w:t>Konstytucji Rzeczypospolitej Polskiej z dnia 2 kwietnia 1997 r</w:t>
            </w:r>
            <w:r w:rsidRPr="005B0CD2">
              <w:rPr>
                <w:rFonts w:asciiTheme="minorHAnsi" w:hAnsiTheme="minorHAnsi" w:cstheme="minorHAnsi"/>
                <w:color w:val="000000"/>
              </w:rPr>
              <w:t xml:space="preserve">. (Dz. U. Nr 78, poz. 483 ze zm., dalej określana jako Konstytucja RP). Już tylko z tego faktu wyprowadzić można jego doniosłość. Przepis </w:t>
            </w:r>
            <w:r w:rsidRPr="0077460B">
              <w:rPr>
                <w:rFonts w:asciiTheme="minorHAnsi" w:hAnsiTheme="minorHAnsi" w:cstheme="minorHAnsi"/>
                <w:b/>
                <w:bCs/>
                <w:color w:val="000000"/>
              </w:rPr>
              <w:t>art. 51 ust. 3 Konstytucji RP</w:t>
            </w:r>
            <w:r w:rsidRPr="005B0CD2">
              <w:rPr>
                <w:rFonts w:asciiTheme="minorHAnsi" w:hAnsiTheme="minorHAnsi" w:cstheme="minorHAnsi"/>
                <w:color w:val="000000"/>
              </w:rPr>
              <w:t xml:space="preserve"> przyznaje bowiem każdemu prawo dostępu do dotyczących go urzędowych dokumentów i zbiorów danych. Ograniczenie tego prawa może określić jedynie ustawa. Poza wskazaniem dopuszczalnego źródła ograniczenia Konstytucja nie precyzuje postaci ograniczeń. Mogą mieć one zarówno wymiar podmiotowy, jak i przedmiotowy. W tym ostatnim zakresie ograniczenia mogą polegać na wskazaniu kategorii wyłączonych z dostępu urzędowych dokumentów lub zbiorów danych, ale także nakreśleniu ustawowych form udostępniania, rodzajach dopuszczalnych uprawnień w zakresie dostępu do urzędowych dokumentów i zbiorów danych. W postępowaniu administracyjnym taką funkcję spełniają obecnie przepisy </w:t>
            </w:r>
            <w:r w:rsidRPr="0077460B">
              <w:rPr>
                <w:rFonts w:asciiTheme="minorHAnsi" w:hAnsiTheme="minorHAnsi" w:cstheme="minorHAnsi"/>
                <w:b/>
                <w:bCs/>
                <w:color w:val="000000"/>
              </w:rPr>
              <w:t>art. 73 i art. 74 k.p.a</w:t>
            </w:r>
            <w:r w:rsidRPr="005B0CD2">
              <w:rPr>
                <w:rFonts w:asciiTheme="minorHAnsi" w:hAnsiTheme="minorHAnsi" w:cstheme="minorHAnsi"/>
                <w:color w:val="000000"/>
              </w:rPr>
              <w:t>. Regulacja ustawy zasadniczej (Konstytucji RP), uszczegółowiona elementami konstrukcyjnymi, określonymi w przepisach kodeksu postępowania administracyjnego (</w:t>
            </w:r>
            <w:r w:rsidRPr="0077460B">
              <w:rPr>
                <w:rFonts w:asciiTheme="minorHAnsi" w:hAnsiTheme="minorHAnsi" w:cstheme="minorHAnsi"/>
                <w:b/>
                <w:bCs/>
                <w:color w:val="000000"/>
              </w:rPr>
              <w:t>art. 7</w:t>
            </w:r>
            <w:r w:rsidRPr="005B0CD2">
              <w:rPr>
                <w:rFonts w:asciiTheme="minorHAnsi" w:hAnsiTheme="minorHAnsi" w:cstheme="minorHAnsi"/>
                <w:color w:val="000000"/>
              </w:rPr>
              <w:t xml:space="preserve">, </w:t>
            </w:r>
            <w:r w:rsidRPr="0077460B">
              <w:rPr>
                <w:rFonts w:asciiTheme="minorHAnsi" w:hAnsiTheme="minorHAnsi" w:cstheme="minorHAnsi"/>
                <w:b/>
                <w:bCs/>
                <w:color w:val="000000"/>
              </w:rPr>
              <w:t>art. 8</w:t>
            </w:r>
            <w:r w:rsidRPr="005B0CD2">
              <w:rPr>
                <w:rFonts w:asciiTheme="minorHAnsi" w:hAnsiTheme="minorHAnsi" w:cstheme="minorHAnsi"/>
                <w:color w:val="000000"/>
              </w:rPr>
              <w:t xml:space="preserve">, </w:t>
            </w:r>
            <w:r w:rsidRPr="0077460B">
              <w:rPr>
                <w:rFonts w:asciiTheme="minorHAnsi" w:hAnsiTheme="minorHAnsi" w:cstheme="minorHAnsi"/>
                <w:b/>
                <w:bCs/>
                <w:color w:val="000000"/>
              </w:rPr>
              <w:t>art. 9</w:t>
            </w:r>
            <w:r w:rsidRPr="005B0CD2">
              <w:rPr>
                <w:rFonts w:asciiTheme="minorHAnsi" w:hAnsiTheme="minorHAnsi" w:cstheme="minorHAnsi"/>
                <w:color w:val="000000"/>
              </w:rPr>
              <w:t xml:space="preserve">, </w:t>
            </w:r>
            <w:r w:rsidRPr="0077460B">
              <w:rPr>
                <w:rFonts w:asciiTheme="minorHAnsi" w:hAnsiTheme="minorHAnsi" w:cstheme="minorHAnsi"/>
                <w:b/>
                <w:bCs/>
                <w:color w:val="000000"/>
              </w:rPr>
              <w:t>art. 10</w:t>
            </w:r>
            <w:r w:rsidRPr="005B0CD2">
              <w:rPr>
                <w:rFonts w:asciiTheme="minorHAnsi" w:hAnsiTheme="minorHAnsi" w:cstheme="minorHAnsi"/>
                <w:color w:val="000000"/>
              </w:rPr>
              <w:t xml:space="preserve">, </w:t>
            </w:r>
            <w:r w:rsidRPr="0077460B">
              <w:rPr>
                <w:rFonts w:asciiTheme="minorHAnsi" w:hAnsiTheme="minorHAnsi" w:cstheme="minorHAnsi"/>
                <w:b/>
                <w:bCs/>
                <w:color w:val="000000"/>
              </w:rPr>
              <w:t>art. 12 k.p.a</w:t>
            </w:r>
            <w:r w:rsidRPr="005B0CD2">
              <w:rPr>
                <w:rFonts w:asciiTheme="minorHAnsi" w:hAnsiTheme="minorHAnsi" w:cstheme="minorHAnsi"/>
                <w:color w:val="000000"/>
              </w:rPr>
              <w:t xml:space="preserve">.) pozwala sformułować prawo strony dostępu do akt sprawy – ujmowane jako fundamentalna gwarancja procesowa. Nie może w związku z tym budzić wątpliwości, że dostęp stron do akt sprawy to jeden ze standardów sprawiedliwego postępowania administracyjnego, który z kolei stanowi istotny element zasady państwa prawnego, wyrażonej w </w:t>
            </w:r>
            <w:r w:rsidRPr="0077460B">
              <w:rPr>
                <w:rFonts w:asciiTheme="minorHAnsi" w:hAnsiTheme="minorHAnsi" w:cstheme="minorHAnsi"/>
                <w:b/>
                <w:bCs/>
                <w:color w:val="000000"/>
              </w:rPr>
              <w:t>art. 2 Konstytucji RP</w:t>
            </w:r>
            <w:r w:rsidRPr="005B0CD2">
              <w:rPr>
                <w:rFonts w:asciiTheme="minorHAnsi" w:hAnsiTheme="minorHAnsi" w:cstheme="minorHAnsi"/>
                <w:color w:val="000000"/>
              </w:rPr>
              <w:t xml:space="preserve">. W tym zakresie zresztą dochodzi do zbiegu ochrony wynikającej z </w:t>
            </w:r>
            <w:r w:rsidRPr="0077460B">
              <w:rPr>
                <w:rFonts w:asciiTheme="minorHAnsi" w:hAnsiTheme="minorHAnsi" w:cstheme="minorHAnsi"/>
                <w:b/>
                <w:bCs/>
                <w:color w:val="000000"/>
              </w:rPr>
              <w:t>art. 2</w:t>
            </w:r>
            <w:r w:rsidRPr="005B0CD2">
              <w:rPr>
                <w:rFonts w:asciiTheme="minorHAnsi" w:hAnsiTheme="minorHAnsi" w:cstheme="minorHAnsi"/>
                <w:color w:val="000000"/>
              </w:rPr>
              <w:t xml:space="preserve"> i </w:t>
            </w:r>
            <w:r w:rsidRPr="0077460B">
              <w:rPr>
                <w:rFonts w:asciiTheme="minorHAnsi" w:hAnsiTheme="minorHAnsi" w:cstheme="minorHAnsi"/>
                <w:b/>
                <w:bCs/>
                <w:color w:val="000000"/>
              </w:rPr>
              <w:t>art. 51 ust. 3 Konstytucji RP</w:t>
            </w:r>
            <w:r w:rsidRPr="005B0CD2">
              <w:rPr>
                <w:rFonts w:asciiTheme="minorHAnsi" w:hAnsiTheme="minorHAnsi" w:cstheme="minorHAnsi"/>
                <w:color w:val="000000"/>
              </w:rPr>
              <w:t>. Oba przepisy należy odczytywać łącznie.</w:t>
            </w:r>
          </w:p>
          <w:p w14:paraId="400AB611"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Prawo wglądu w akta sprawy stanowi istotny przejaw zasady jawności postępowania, zapewnia stronom czynny udział w postępowaniu administracyjnym, a przez to prawo do obrony. Znajomość akt zapewnia realną możliwość składania wniosków dowodowych, co w konsekwencji pozwala wyjaśnić stan faktyczny spraw zgodnie z zasadą prawdy obiektywnej. To, że prawo dostępu do akt postępowania, przewidziane w </w:t>
            </w:r>
            <w:r w:rsidRPr="0077460B">
              <w:rPr>
                <w:rFonts w:asciiTheme="minorHAnsi" w:hAnsiTheme="minorHAnsi" w:cstheme="minorHAnsi"/>
                <w:b/>
                <w:bCs/>
                <w:color w:val="000000"/>
              </w:rPr>
              <w:t>art. 73 § 1 k.p.a</w:t>
            </w:r>
            <w:r w:rsidRPr="005B0CD2">
              <w:rPr>
                <w:rFonts w:asciiTheme="minorHAnsi" w:hAnsiTheme="minorHAnsi" w:cstheme="minorHAnsi"/>
                <w:color w:val="000000"/>
              </w:rPr>
              <w:t>., stanowi istotny przejaw zasady jawności postępowania wobec stron nie budzi wątpliwości ani w piśmiennictwie, ani w orzecznictwie sądowoadministracyjnym. Stanowisko judykatury w tym względzie zostało szeroko zacytowane w pytaniu Rzecznika Praw Obywatelskich, stąd zaniechano w tym miejscu ponownego przytaczania wyrażanej w nim argumentacji. Odnosząc się zaś do piśmiennictwa warto przytoczyć niektóre z poglądów tam zawartych. I tak, na prawo wglądu do akt jako przejaw zasady jawności wskazywał m.in. Z. R. Kmiecik w artykule zatytułowanym "</w:t>
            </w:r>
            <w:r w:rsidRPr="005B0CD2">
              <w:rPr>
                <w:rFonts w:asciiTheme="minorHAnsi" w:hAnsiTheme="minorHAnsi" w:cstheme="minorHAnsi"/>
                <w:i/>
                <w:color w:val="000000"/>
              </w:rPr>
              <w:t>Zakres udostępniania akt sprawy w postępowaniu administracyjnym</w:t>
            </w:r>
            <w:r w:rsidRPr="005B0CD2">
              <w:rPr>
                <w:rFonts w:asciiTheme="minorHAnsi" w:hAnsiTheme="minorHAnsi" w:cstheme="minorHAnsi"/>
                <w:color w:val="000000"/>
              </w:rPr>
              <w:t xml:space="preserve">" (Ruch Prawniczy Ekonomiczny i Socjologiczny, Rok LXX-zeszyt 2-2008). Podkreślił w nim, że bez znajomości zawartości akt obywatel nie może bronić swoich praw. Dostęp do akt sprawy, zdaniem tego autora, urzeczywistnia prawo strony do wypowiedzenia się przed wydaniem </w:t>
            </w:r>
            <w:r w:rsidRPr="005B0CD2">
              <w:rPr>
                <w:rFonts w:asciiTheme="minorHAnsi" w:hAnsiTheme="minorHAnsi" w:cstheme="minorHAnsi"/>
                <w:color w:val="000000"/>
              </w:rPr>
              <w:lastRenderedPageBreak/>
              <w:t>decyzji. Jednocześnie zaznaczył, że ścisły związek pomiędzy prawem wglądu w akta postępowania a prawem do wypowiedzenia się przed wydaniem decyzji polega na tym, że to ostatnie często tylko przy znajomości akt może być skutecznie wykorzystane. Zdaniem Z.R. Kmiecika, wgląd w akta sprawy umożliwia stronom efektywne współdziałanie z organem prowadzącym postępowanie w dochodzeniu prawdy obiektywnej. Identycznie wypowiedziała się B. Adamiak w glosie do wyroku Wojewódzkiego Sądu Administracyjnego w Białymstoku z dnia 29 marca 2012 r. (sygn. akt II SA/Bk 122/12), wskazując na jawność postępowania jako podstawową wartość prawa do procesu. Także J. Chlebny w artykule "</w:t>
            </w:r>
            <w:r w:rsidRPr="005B0CD2">
              <w:rPr>
                <w:rFonts w:asciiTheme="minorHAnsi" w:hAnsiTheme="minorHAnsi" w:cstheme="minorHAnsi"/>
                <w:i/>
                <w:color w:val="000000"/>
              </w:rPr>
              <w:t>Udostępnianie akt sprawy administracyjnej, a prawo do sądu</w:t>
            </w:r>
            <w:r w:rsidRPr="005B0CD2">
              <w:rPr>
                <w:rFonts w:asciiTheme="minorHAnsi" w:hAnsiTheme="minorHAnsi" w:cstheme="minorHAnsi"/>
                <w:color w:val="000000"/>
              </w:rPr>
              <w:t>", opublikowanym w Zeszytach Naukowych Sądownictwa Administracyjnego 2008, nr 3(18) stwierdził, że możliwość zapoznania się z zebranym w aktach materiałem dowodowym jest istotnym uprawnieniem procesowym, które gwarantuje stronom czynny udział w postępowaniu (</w:t>
            </w:r>
            <w:r w:rsidRPr="00C04030">
              <w:rPr>
                <w:rFonts w:asciiTheme="minorHAnsi" w:hAnsiTheme="minorHAnsi" w:cstheme="minorHAnsi"/>
                <w:b/>
                <w:bCs/>
                <w:color w:val="000000"/>
              </w:rPr>
              <w:t>art. 10 k.p.a</w:t>
            </w:r>
            <w:r w:rsidRPr="005B0CD2">
              <w:rPr>
                <w:rFonts w:asciiTheme="minorHAnsi" w:hAnsiTheme="minorHAnsi" w:cstheme="minorHAnsi"/>
                <w:color w:val="000000"/>
              </w:rPr>
              <w:t>.), pogłębia zaufanie do organów Państwa (</w:t>
            </w:r>
            <w:r w:rsidRPr="00C04030">
              <w:rPr>
                <w:rFonts w:asciiTheme="minorHAnsi" w:hAnsiTheme="minorHAnsi" w:cstheme="minorHAnsi"/>
                <w:b/>
                <w:bCs/>
                <w:color w:val="000000"/>
              </w:rPr>
              <w:t>art. 8 k.p.a</w:t>
            </w:r>
            <w:r w:rsidRPr="005B0CD2">
              <w:rPr>
                <w:rFonts w:asciiTheme="minorHAnsi" w:hAnsiTheme="minorHAnsi" w:cstheme="minorHAnsi"/>
                <w:color w:val="000000"/>
              </w:rPr>
              <w:t>.), stanowiąc jednocześnie obowiązek organu informowania stron o okolicznościach faktycznych i prawnych sprawy (</w:t>
            </w:r>
            <w:r w:rsidRPr="00C04030">
              <w:rPr>
                <w:rFonts w:asciiTheme="minorHAnsi" w:hAnsiTheme="minorHAnsi" w:cstheme="minorHAnsi"/>
                <w:b/>
                <w:bCs/>
                <w:color w:val="000000"/>
              </w:rPr>
              <w:t>art. 9 k.p.a</w:t>
            </w:r>
            <w:r w:rsidRPr="005B0CD2">
              <w:rPr>
                <w:rFonts w:asciiTheme="minorHAnsi" w:hAnsiTheme="minorHAnsi" w:cstheme="minorHAnsi"/>
                <w:color w:val="000000"/>
              </w:rPr>
              <w:t>.).</w:t>
            </w:r>
          </w:p>
          <w:p w14:paraId="75F7700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zacytowanych wypowiedziach ich autorzy nie zakwestionowali zatem, że w świetle przepisu </w:t>
            </w:r>
            <w:r w:rsidRPr="00C04030">
              <w:rPr>
                <w:rFonts w:asciiTheme="minorHAnsi" w:hAnsiTheme="minorHAnsi" w:cstheme="minorHAnsi"/>
                <w:b/>
                <w:bCs/>
                <w:color w:val="000000"/>
              </w:rPr>
              <w:t>art. 73 § 1 k.p.a</w:t>
            </w:r>
            <w:r w:rsidRPr="005B0CD2">
              <w:rPr>
                <w:rFonts w:asciiTheme="minorHAnsi" w:hAnsiTheme="minorHAnsi" w:cstheme="minorHAnsi"/>
                <w:color w:val="000000"/>
              </w:rPr>
              <w:t xml:space="preserve">. prawo udostępnienia akt sprawy, będące wyrazem zasady jawności, obejmuje nie tylko wgląd do akt sprawy, ale także możliwość sporządzania z nich notatek odpisów i kopii. W powołanej glosie podkreślono, że dostęp do akt bez możliwości utrwalenia ich treści nie tworzy gwarancji podjęcia obrony. W glosie zwrócono również uwagę, że przepis </w:t>
            </w:r>
            <w:r w:rsidRPr="00C04030">
              <w:rPr>
                <w:rFonts w:asciiTheme="minorHAnsi" w:hAnsiTheme="minorHAnsi" w:cstheme="minorHAnsi"/>
                <w:b/>
                <w:bCs/>
                <w:color w:val="000000"/>
              </w:rPr>
              <w:t>art. 73 § 1 k.p.a</w:t>
            </w:r>
            <w:r w:rsidRPr="005B0CD2">
              <w:rPr>
                <w:rFonts w:asciiTheme="minorHAnsi" w:hAnsiTheme="minorHAnsi" w:cstheme="minorHAnsi"/>
                <w:color w:val="000000"/>
              </w:rPr>
              <w:t xml:space="preserve">. nie określił technik sporządzania notatek, kopii, odpisów. W takiej sytuacji nie powinno budzić wątpliwości, zdaniem komentatora, że przy ich wykonaniu możliwe będzie korzystanie ze współczesnych osiągnięć technicznych. Zaaprobowano fotografowanie, kserowanie jako sposoby sporządzenia kopii z akt. Na istniejące współcześnie techniczne możliwości realizacji uprawnień strony z przepisu </w:t>
            </w:r>
            <w:r w:rsidRPr="00C04030">
              <w:rPr>
                <w:rFonts w:asciiTheme="minorHAnsi" w:hAnsiTheme="minorHAnsi" w:cstheme="minorHAnsi"/>
                <w:b/>
                <w:bCs/>
                <w:color w:val="000000"/>
              </w:rPr>
              <w:t>art. 73 § 1 k.p.a</w:t>
            </w:r>
            <w:r w:rsidRPr="005B0CD2">
              <w:rPr>
                <w:rFonts w:asciiTheme="minorHAnsi" w:hAnsiTheme="minorHAnsi" w:cstheme="minorHAnsi"/>
                <w:color w:val="000000"/>
              </w:rPr>
              <w:t xml:space="preserve">. wskazał także P.M. Przybysz w Komentarzu aktualizowanym do </w:t>
            </w:r>
            <w:r w:rsidRPr="00C04030">
              <w:rPr>
                <w:rFonts w:asciiTheme="minorHAnsi" w:hAnsiTheme="minorHAnsi" w:cstheme="minorHAnsi"/>
                <w:b/>
                <w:bCs/>
                <w:color w:val="000000"/>
              </w:rPr>
              <w:t>art. 73 Kodeksu postępowania administracyjnego</w:t>
            </w:r>
            <w:r w:rsidRPr="005B0CD2">
              <w:rPr>
                <w:rFonts w:asciiTheme="minorHAnsi" w:hAnsiTheme="minorHAnsi" w:cstheme="minorHAnsi"/>
                <w:color w:val="000000"/>
              </w:rPr>
              <w:t>, LEX/el. 2018, zauważając jednocześnie, że w orzecznictwie coraz częściej prezentowana jest rozszerzająca wykładnia tego przepisu, mająca na uwadze cel tego przepisu oraz istniejące techniczne możliwości realizacji takich uprawnień. Także w uzasadnieniu do projektu ustawy zmieniającej Kodeks postępowania administracyjnego z 2010 r. znalazł się fragment, który zwracał uwagę na konieczność uwzględnienia postępu technicznego, unowocześniania działań podmiotów realizujących zadania publiczne.</w:t>
            </w:r>
          </w:p>
          <w:p w14:paraId="3090E1A8"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Naczelny Sąd Administracyjny w składzie siedmiu sędziów w pełni aprobuje argumentację, że dostęp do akt bez możliwości utrwalenia ich treści nie tworzy gwarancji obrony zgodnej z </w:t>
            </w:r>
            <w:r w:rsidRPr="00C04030">
              <w:rPr>
                <w:rFonts w:asciiTheme="minorHAnsi" w:hAnsiTheme="minorHAnsi" w:cstheme="minorHAnsi"/>
                <w:b/>
                <w:bCs/>
                <w:color w:val="000000"/>
              </w:rPr>
              <w:t>art. 51 ust. 3 Konstytucji RP</w:t>
            </w:r>
            <w:r w:rsidRPr="005B0CD2">
              <w:rPr>
                <w:rFonts w:asciiTheme="minorHAnsi" w:hAnsiTheme="minorHAnsi" w:cstheme="minorHAnsi"/>
                <w:color w:val="000000"/>
              </w:rPr>
              <w:t xml:space="preserve"> ani uszczegóławiającymi ją elementami, wynikającymi z zasad prawa administracyjnego. Za słuszne uznaje także stanowisko dopuszczające wykorzystanie współczesnych technicznych możliwości, nieznanych w dacie uchwalania Kodeksu postępowania administracyjnego, do sporządzania notatek, odpisów i kopii z akt administracyjnych w ramach przepisu </w:t>
            </w:r>
            <w:r w:rsidRPr="00C04030">
              <w:rPr>
                <w:rFonts w:asciiTheme="minorHAnsi" w:hAnsiTheme="minorHAnsi" w:cstheme="minorHAnsi"/>
                <w:b/>
                <w:bCs/>
                <w:color w:val="000000"/>
              </w:rPr>
              <w:t>art. 73 § 1 k.p.a</w:t>
            </w:r>
            <w:r w:rsidRPr="005B0CD2">
              <w:rPr>
                <w:rFonts w:asciiTheme="minorHAnsi" w:hAnsiTheme="minorHAnsi" w:cstheme="minorHAnsi"/>
                <w:color w:val="000000"/>
              </w:rPr>
              <w:t xml:space="preserve">. Rozwój technologiczny sprzyja w </w:t>
            </w:r>
            <w:r w:rsidRPr="005B0CD2">
              <w:rPr>
                <w:rFonts w:asciiTheme="minorHAnsi" w:hAnsiTheme="minorHAnsi" w:cstheme="minorHAnsi"/>
                <w:color w:val="000000"/>
              </w:rPr>
              <w:lastRenderedPageBreak/>
              <w:t>niniejszym przypadku obywatelowi, pozwala bowiem na bardziej sprawne i efektywne kontakty z administracją. Jest to szczególnie ważne przy tak szybkim tempie rozwoju otaczającego świata. W tym celu mogą być użyte zatem wszelkie urządzenia służące do zapisywania materiałów, w tym skanery, cyfrowe aparaty fotograficzne, kopiarki, pod warunkiem, że nie zniszczą struktury utrwalanych dokumentów.</w:t>
            </w:r>
          </w:p>
          <w:p w14:paraId="412DB748"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Naczelny Sąd Administracyjny w składzie siedmiu sędziów zauważa, że odczytując przepis </w:t>
            </w:r>
            <w:r w:rsidRPr="00C04030">
              <w:rPr>
                <w:rFonts w:asciiTheme="minorHAnsi" w:hAnsiTheme="minorHAnsi" w:cstheme="minorHAnsi"/>
                <w:b/>
                <w:bCs/>
                <w:color w:val="000000"/>
              </w:rPr>
              <w:t>art. 73 § 1 k.p.a</w:t>
            </w:r>
            <w:r w:rsidRPr="005B0CD2">
              <w:rPr>
                <w:rFonts w:asciiTheme="minorHAnsi" w:hAnsiTheme="minorHAnsi" w:cstheme="minorHAnsi"/>
                <w:color w:val="000000"/>
              </w:rPr>
              <w:t xml:space="preserve">. mieć należy jednak na względzie, na co słusznie zwrócił uwagę Rzecznik Praw Obywatelskich, że nie każda ze stron ma możliwość samodzielnego zapisania zawartości akt za pomocą najnowocześniejszych urządzeń technicznych, czy to ze względu na to, że ich nie posiada, czy to z uwagi na nieumiejętność posługiwania się nimi. W takiej sytuacji, odmowa wykonania kopii za pomocą dostępnych w biurze organu urządzeń prowadziłaby w istocie do nierówności pomiędzy stronami ze względu na dostępność nowych technologii, co nie może znaleźć akceptacji w demokratycznym państwie prawym. Powszechna dostępność np. kserokopiarek w urzędach i łatwość z jaką można w ten sposób uzyskać choćby kserokopię żądanego materiału z akt, powinna pozwolić rozwiązać tę sytuację w zgodzie z gwarancjami z </w:t>
            </w:r>
            <w:r w:rsidRPr="00C04030">
              <w:rPr>
                <w:rFonts w:asciiTheme="minorHAnsi" w:hAnsiTheme="minorHAnsi" w:cstheme="minorHAnsi"/>
                <w:b/>
                <w:bCs/>
                <w:color w:val="000000"/>
              </w:rPr>
              <w:t>art. 51 ust. 3</w:t>
            </w:r>
            <w:r w:rsidRPr="005B0CD2">
              <w:rPr>
                <w:rFonts w:asciiTheme="minorHAnsi" w:hAnsiTheme="minorHAnsi" w:cstheme="minorHAnsi"/>
                <w:color w:val="000000"/>
              </w:rPr>
              <w:t xml:space="preserve"> i </w:t>
            </w:r>
            <w:r w:rsidRPr="00C04030">
              <w:rPr>
                <w:rFonts w:asciiTheme="minorHAnsi" w:hAnsiTheme="minorHAnsi" w:cstheme="minorHAnsi"/>
                <w:b/>
                <w:bCs/>
                <w:color w:val="000000"/>
              </w:rPr>
              <w:t>art. 2 Konstytucji RP</w:t>
            </w:r>
            <w:r w:rsidRPr="005B0CD2">
              <w:rPr>
                <w:rFonts w:asciiTheme="minorHAnsi" w:hAnsiTheme="minorHAnsi" w:cstheme="minorHAnsi"/>
                <w:color w:val="000000"/>
              </w:rPr>
              <w:t xml:space="preserve">. Oznaczać to może jedynie odczytanie przepisu </w:t>
            </w:r>
            <w:r w:rsidRPr="00C04030">
              <w:rPr>
                <w:rFonts w:asciiTheme="minorHAnsi" w:hAnsiTheme="minorHAnsi" w:cstheme="minorHAnsi"/>
                <w:b/>
                <w:bCs/>
                <w:color w:val="000000"/>
              </w:rPr>
              <w:t>art. 73 § 1 k.p.a</w:t>
            </w:r>
            <w:r w:rsidRPr="005B0CD2">
              <w:rPr>
                <w:rFonts w:asciiTheme="minorHAnsi" w:hAnsiTheme="minorHAnsi" w:cstheme="minorHAnsi"/>
                <w:color w:val="000000"/>
              </w:rPr>
              <w:t xml:space="preserve">. jako dopuszczającego sporządzenie na wniosek strony kopii z akt, przy użyciu dostępnych w organie urządzeń, tak aby w dobie postępu technicznego możliwość utrwalenia treści akt przez stronę nie ograniczała się do notatek odręcznych, z istoty swej niegwarantujących w stosunkowo krótkim czasie takiego odwzorowania treści, jak np. kserokopia, czy fotokopia. W konsekwencji zaaprobować należy stanowisko, że przepis </w:t>
            </w:r>
            <w:r w:rsidRPr="00C04030">
              <w:rPr>
                <w:rFonts w:asciiTheme="minorHAnsi" w:hAnsiTheme="minorHAnsi" w:cstheme="minorHAnsi"/>
                <w:b/>
                <w:bCs/>
                <w:color w:val="000000"/>
              </w:rPr>
              <w:t>art. 73 § 1 k.p.a</w:t>
            </w:r>
            <w:r w:rsidRPr="005B0CD2">
              <w:rPr>
                <w:rFonts w:asciiTheme="minorHAnsi" w:hAnsiTheme="minorHAnsi" w:cstheme="minorHAnsi"/>
                <w:color w:val="000000"/>
              </w:rPr>
              <w:t>. powinien być odczytywany w sposób, który odpowiadał będzie postępowi technologicznemu.</w:t>
            </w:r>
          </w:p>
          <w:p w14:paraId="11DD296A"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Nie budzi wątpliwości Naczelnego Sądu Administracyjnego w składzie siedmiu sędziów, że uprawnienie do otrzymania uwierzytelnionych odpisów z </w:t>
            </w:r>
            <w:r w:rsidRPr="00C04030">
              <w:rPr>
                <w:rFonts w:asciiTheme="minorHAnsi" w:hAnsiTheme="minorHAnsi" w:cstheme="minorHAnsi"/>
                <w:b/>
                <w:bCs/>
                <w:color w:val="000000"/>
              </w:rPr>
              <w:t>art. 73 § 2 k.p.a</w:t>
            </w:r>
            <w:r w:rsidRPr="005B0CD2">
              <w:rPr>
                <w:rFonts w:asciiTheme="minorHAnsi" w:hAnsiTheme="minorHAnsi" w:cstheme="minorHAnsi"/>
                <w:color w:val="000000"/>
              </w:rPr>
              <w:t>. nie zabezpiecza prawa strony do utrwalenia na własne potrzeby zawartości z akt.</w:t>
            </w:r>
          </w:p>
          <w:p w14:paraId="6C8A7C54"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W istocie bowiem ustawodawca istotnie zawęża możliwość skorzystania ze sporządzonych przez organ na żądanie strony uwierzytelnionych odpisów z akt poprzez użycie kwantyfikatora "</w:t>
            </w:r>
            <w:r w:rsidRPr="005B0CD2">
              <w:rPr>
                <w:rFonts w:asciiTheme="minorHAnsi" w:hAnsiTheme="minorHAnsi" w:cstheme="minorHAnsi"/>
                <w:i/>
                <w:color w:val="000000"/>
              </w:rPr>
              <w:t>ważny interes</w:t>
            </w:r>
            <w:r w:rsidRPr="005B0CD2">
              <w:rPr>
                <w:rFonts w:asciiTheme="minorHAnsi" w:hAnsiTheme="minorHAnsi" w:cstheme="minorHAnsi"/>
                <w:color w:val="000000"/>
              </w:rPr>
              <w:t>", który nie daje gwarancji stronie, że uzyska odpis uwierzytelnionych dokumentów z akt sprawy w każdej sytuacji, gdy samodzielne sporządzenie będzie dla niej niemożliwe lub nadmiernie utrudnione.</w:t>
            </w:r>
          </w:p>
          <w:p w14:paraId="17D0A4E5"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Zwrócić należy uwagę, że w odniesieniu do czynności udostępnienia akt sprawy rozróżnianie pojęć "</w:t>
            </w:r>
            <w:r w:rsidRPr="005B0CD2">
              <w:rPr>
                <w:rFonts w:asciiTheme="minorHAnsi" w:hAnsiTheme="minorHAnsi" w:cstheme="minorHAnsi"/>
                <w:i/>
                <w:color w:val="000000"/>
              </w:rPr>
              <w:t>odpis</w:t>
            </w:r>
            <w:r w:rsidRPr="005B0CD2">
              <w:rPr>
                <w:rFonts w:asciiTheme="minorHAnsi" w:hAnsiTheme="minorHAnsi" w:cstheme="minorHAnsi"/>
                <w:color w:val="000000"/>
              </w:rPr>
              <w:t>"- "</w:t>
            </w:r>
            <w:r w:rsidRPr="005B0CD2">
              <w:rPr>
                <w:rFonts w:asciiTheme="minorHAnsi" w:hAnsiTheme="minorHAnsi" w:cstheme="minorHAnsi"/>
                <w:i/>
                <w:color w:val="000000"/>
              </w:rPr>
              <w:t>kopia</w:t>
            </w:r>
            <w:r w:rsidRPr="005B0CD2">
              <w:rPr>
                <w:rFonts w:asciiTheme="minorHAnsi" w:hAnsiTheme="minorHAnsi" w:cstheme="minorHAnsi"/>
                <w:color w:val="000000"/>
              </w:rPr>
              <w:t xml:space="preserve">" nie jest celowe, gdy zważy się, że w dobie stanowienia przepisu </w:t>
            </w:r>
            <w:r w:rsidRPr="00DA3FD8">
              <w:rPr>
                <w:rFonts w:asciiTheme="minorHAnsi" w:hAnsiTheme="minorHAnsi" w:cstheme="minorHAnsi"/>
                <w:b/>
                <w:bCs/>
                <w:color w:val="000000"/>
              </w:rPr>
              <w:t>art. 73 k.p.a</w:t>
            </w:r>
            <w:r w:rsidRPr="005B0CD2">
              <w:rPr>
                <w:rFonts w:asciiTheme="minorHAnsi" w:hAnsiTheme="minorHAnsi" w:cstheme="minorHAnsi"/>
                <w:color w:val="000000"/>
              </w:rPr>
              <w:t>. nie znano pojęcia np. kserokopii, a poziom ówczesnej technologii nie pozwalał na takie odwzorowanie treści dokumentu, jakie dostępne jest obecnie. (por. G. Łaszczyca - Akta sprawy w ogólnym postępowaniu administracyjnym, Wydawnictwo LEX a Wolter Kluwer business, Warszawa 2014).</w:t>
            </w:r>
          </w:p>
          <w:p w14:paraId="3A529AC4"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lastRenderedPageBreak/>
              <w:t xml:space="preserve">Przy wykładni przepisu </w:t>
            </w:r>
            <w:r w:rsidRPr="00DA3FD8">
              <w:rPr>
                <w:rFonts w:asciiTheme="minorHAnsi" w:hAnsiTheme="minorHAnsi" w:cstheme="minorHAnsi"/>
                <w:b/>
                <w:bCs/>
                <w:color w:val="000000"/>
              </w:rPr>
              <w:t>art. 73 § 1 k.p.a</w:t>
            </w:r>
            <w:r w:rsidRPr="005B0CD2">
              <w:rPr>
                <w:rFonts w:asciiTheme="minorHAnsi" w:hAnsiTheme="minorHAnsi" w:cstheme="minorHAnsi"/>
                <w:color w:val="000000"/>
              </w:rPr>
              <w:t xml:space="preserve">. nie można również pominąć porównań do unormowań, jakie przyjęto w ramach innych procedur prawnych, obowiązujących na obszarze państwa polskiego w zakresie urzeczywistnienia prawa dostępu do akt, gwarantowanego w </w:t>
            </w:r>
            <w:r w:rsidRPr="00DA3FD8">
              <w:rPr>
                <w:rFonts w:asciiTheme="minorHAnsi" w:hAnsiTheme="minorHAnsi" w:cstheme="minorHAnsi"/>
                <w:b/>
                <w:bCs/>
                <w:color w:val="000000"/>
              </w:rPr>
              <w:t>art. 51 ust. 3 Konstytucji RP</w:t>
            </w:r>
            <w:r w:rsidRPr="005B0CD2">
              <w:rPr>
                <w:rFonts w:asciiTheme="minorHAnsi" w:hAnsiTheme="minorHAnsi" w:cstheme="minorHAnsi"/>
                <w:color w:val="000000"/>
              </w:rPr>
              <w:t>. Wskazać w tym miejscu należy na unormowania proceduralne przed organami podatkowymi oraz obowiązujące w postępowaniu sądowoadministracyjnym, cywilnym i karnym.</w:t>
            </w:r>
          </w:p>
          <w:p w14:paraId="0E08262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Naczelny Sąd Administracyjny w składzie siedmiu sędziów zauważa, że każda z tych procedur gwarantuje stronom, na ich wniosek, prawo uzyskania kopii z akt.</w:t>
            </w:r>
          </w:p>
          <w:p w14:paraId="69AD3F1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Ta forma udostępnienia znajduje wręcz literalne odzwierciedlenie w unormowaniach odnoszących się do porównywanych procedur. I tak, przepis </w:t>
            </w:r>
            <w:r w:rsidRPr="00DA3FD8">
              <w:rPr>
                <w:rFonts w:asciiTheme="minorHAnsi" w:hAnsiTheme="minorHAnsi" w:cstheme="minorHAnsi"/>
                <w:b/>
                <w:bCs/>
                <w:color w:val="000000"/>
              </w:rPr>
              <w:t>art. 178</w:t>
            </w:r>
            <w:r w:rsidRPr="005B0CD2">
              <w:rPr>
                <w:rFonts w:asciiTheme="minorHAnsi" w:hAnsiTheme="minorHAnsi" w:cstheme="minorHAnsi"/>
                <w:color w:val="000000"/>
              </w:rPr>
              <w:t xml:space="preserve"> ustawy z dnia 29 sierpnia 1997 r. </w:t>
            </w:r>
            <w:r w:rsidRPr="00DA3FD8">
              <w:rPr>
                <w:rFonts w:asciiTheme="minorHAnsi" w:hAnsiTheme="minorHAnsi" w:cstheme="minorHAnsi"/>
                <w:b/>
                <w:bCs/>
                <w:color w:val="000000"/>
              </w:rPr>
              <w:t>Ordynacja podatkowa</w:t>
            </w:r>
            <w:r w:rsidRPr="005B0CD2">
              <w:rPr>
                <w:rFonts w:asciiTheme="minorHAnsi" w:hAnsiTheme="minorHAnsi" w:cstheme="minorHAnsi"/>
                <w:color w:val="000000"/>
              </w:rPr>
              <w:t xml:space="preserve"> (Dz. U. z 2018 r., poz. 800 ze zm.) stanowi, że strona ma prawo wglądu w akta sprawy, sporządzania z nich notatek, odpisów oraz sporządzania kopii przy wykorzystaniu własnych przenośnych urządzeń. Prawo to przysługuje również po zakończeniu postępowania (</w:t>
            </w:r>
            <w:r w:rsidRPr="004314C4">
              <w:rPr>
                <w:rFonts w:asciiTheme="minorHAnsi" w:hAnsiTheme="minorHAnsi" w:cstheme="minorHAnsi"/>
                <w:b/>
                <w:bCs/>
                <w:color w:val="000000"/>
              </w:rPr>
              <w:t>§1</w:t>
            </w:r>
            <w:r w:rsidRPr="005B0CD2">
              <w:rPr>
                <w:rFonts w:asciiTheme="minorHAnsi" w:hAnsiTheme="minorHAnsi" w:cstheme="minorHAnsi"/>
                <w:color w:val="000000"/>
              </w:rPr>
              <w:t xml:space="preserve">). Czynności określone w </w:t>
            </w:r>
            <w:r w:rsidRPr="004314C4">
              <w:rPr>
                <w:rFonts w:asciiTheme="minorHAnsi" w:hAnsiTheme="minorHAnsi" w:cstheme="minorHAnsi"/>
                <w:b/>
                <w:bCs/>
                <w:color w:val="000000"/>
              </w:rPr>
              <w:t>§ 1</w:t>
            </w:r>
            <w:r w:rsidRPr="005B0CD2">
              <w:rPr>
                <w:rFonts w:asciiTheme="minorHAnsi" w:hAnsiTheme="minorHAnsi" w:cstheme="minorHAnsi"/>
                <w:color w:val="000000"/>
              </w:rPr>
              <w:t xml:space="preserve"> dokonywane są w lokalu organu podatkowego w obecności pracownika tego organu (</w:t>
            </w:r>
            <w:r w:rsidRPr="004314C4">
              <w:rPr>
                <w:rFonts w:asciiTheme="minorHAnsi" w:hAnsiTheme="minorHAnsi" w:cstheme="minorHAnsi"/>
                <w:b/>
                <w:bCs/>
                <w:color w:val="000000"/>
              </w:rPr>
              <w:t>§2</w:t>
            </w:r>
            <w:r w:rsidRPr="005B0CD2">
              <w:rPr>
                <w:rFonts w:asciiTheme="minorHAnsi" w:hAnsiTheme="minorHAnsi" w:cstheme="minorHAnsi"/>
                <w:color w:val="000000"/>
              </w:rPr>
              <w:t>). Strona może żądać wydania jej kopii akt sprawy lub uwierzytelnionych odpisów akt sprawy albo uwierzytelnienia kopii akt sprawy (</w:t>
            </w:r>
            <w:r w:rsidRPr="004314C4">
              <w:rPr>
                <w:rFonts w:asciiTheme="minorHAnsi" w:hAnsiTheme="minorHAnsi" w:cstheme="minorHAnsi"/>
                <w:b/>
                <w:bCs/>
                <w:color w:val="000000"/>
              </w:rPr>
              <w:t>§3</w:t>
            </w:r>
            <w:r w:rsidRPr="005B0CD2">
              <w:rPr>
                <w:rFonts w:asciiTheme="minorHAnsi" w:hAnsiTheme="minorHAnsi" w:cstheme="minorHAnsi"/>
                <w:color w:val="000000"/>
              </w:rPr>
              <w:t xml:space="preserve">). Organ podatkowy może zapewnić stronie dokonanie czynności, o których mowa w </w:t>
            </w:r>
            <w:r w:rsidRPr="004314C4">
              <w:rPr>
                <w:rFonts w:asciiTheme="minorHAnsi" w:hAnsiTheme="minorHAnsi" w:cstheme="minorHAnsi"/>
                <w:b/>
                <w:bCs/>
                <w:color w:val="000000"/>
              </w:rPr>
              <w:t>§ 1</w:t>
            </w:r>
            <w:r w:rsidRPr="005B0CD2">
              <w:rPr>
                <w:rFonts w:asciiTheme="minorHAnsi" w:hAnsiTheme="minorHAnsi" w:cstheme="minorHAnsi"/>
                <w:color w:val="000000"/>
              </w:rPr>
              <w:t xml:space="preserve">, w swoim systemie teleinformatycznym, po identyfikacji strony w sposób, o którym mowa w </w:t>
            </w:r>
            <w:r w:rsidRPr="004314C4">
              <w:rPr>
                <w:rFonts w:asciiTheme="minorHAnsi" w:hAnsiTheme="minorHAnsi" w:cstheme="minorHAnsi"/>
                <w:b/>
                <w:bCs/>
                <w:color w:val="000000"/>
              </w:rPr>
              <w:t>art. 20a ust. 1</w:t>
            </w:r>
            <w:r w:rsidRPr="005B0CD2">
              <w:rPr>
                <w:rFonts w:asciiTheme="minorHAnsi" w:hAnsiTheme="minorHAnsi" w:cstheme="minorHAnsi"/>
                <w:color w:val="000000"/>
              </w:rPr>
              <w:t xml:space="preserve"> albo </w:t>
            </w:r>
            <w:r w:rsidRPr="004314C4">
              <w:rPr>
                <w:rFonts w:asciiTheme="minorHAnsi" w:hAnsiTheme="minorHAnsi" w:cstheme="minorHAnsi"/>
                <w:b/>
                <w:bCs/>
                <w:color w:val="000000"/>
              </w:rPr>
              <w:t>2</w:t>
            </w:r>
            <w:r w:rsidRPr="005B0CD2">
              <w:rPr>
                <w:rFonts w:asciiTheme="minorHAnsi" w:hAnsiTheme="minorHAnsi" w:cstheme="minorHAnsi"/>
                <w:color w:val="000000"/>
              </w:rPr>
              <w:t xml:space="preserve"> ustawy z dnia 17 lutego 2005 r. </w:t>
            </w:r>
            <w:r w:rsidRPr="004314C4">
              <w:rPr>
                <w:rFonts w:asciiTheme="minorHAnsi" w:hAnsiTheme="minorHAnsi" w:cstheme="minorHAnsi"/>
                <w:b/>
                <w:bCs/>
                <w:color w:val="000000"/>
              </w:rPr>
              <w:t>o informatyzacji działalności podmiotów realizujących zadania publiczne</w:t>
            </w:r>
            <w:r w:rsidRPr="005B0CD2">
              <w:rPr>
                <w:rFonts w:asciiTheme="minorHAnsi" w:hAnsiTheme="minorHAnsi" w:cstheme="minorHAnsi"/>
                <w:color w:val="000000"/>
              </w:rPr>
              <w:t xml:space="preserve"> (</w:t>
            </w:r>
            <w:r w:rsidRPr="004314C4">
              <w:rPr>
                <w:rFonts w:asciiTheme="minorHAnsi" w:hAnsiTheme="minorHAnsi" w:cstheme="minorHAnsi"/>
                <w:b/>
                <w:bCs/>
                <w:color w:val="000000"/>
              </w:rPr>
              <w:t>§4</w:t>
            </w:r>
            <w:r w:rsidRPr="005B0CD2">
              <w:rPr>
                <w:rFonts w:asciiTheme="minorHAnsi" w:hAnsiTheme="minorHAnsi" w:cstheme="minorHAnsi"/>
                <w:color w:val="000000"/>
              </w:rPr>
              <w:t>).</w:t>
            </w:r>
          </w:p>
          <w:p w14:paraId="3659949E"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Zgodnie z </w:t>
            </w:r>
            <w:r w:rsidRPr="004314C4">
              <w:rPr>
                <w:rFonts w:asciiTheme="minorHAnsi" w:hAnsiTheme="minorHAnsi" w:cstheme="minorHAnsi"/>
                <w:b/>
                <w:bCs/>
                <w:color w:val="000000"/>
              </w:rPr>
              <w:t>art. 12a § 2 P.p.s.a</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akta sprawy udostępnia się stronom postępowania, strony mają prawo przeglądać akta sprawy i otrzymywać odpisy, kopie lub wyciągi z tych akt</w:t>
            </w:r>
            <w:r w:rsidRPr="005B0CD2">
              <w:rPr>
                <w:rFonts w:asciiTheme="minorHAnsi" w:hAnsiTheme="minorHAnsi" w:cstheme="minorHAnsi"/>
                <w:color w:val="000000"/>
              </w:rPr>
              <w:t>.</w:t>
            </w:r>
          </w:p>
          <w:p w14:paraId="25A74DA3"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myśl </w:t>
            </w:r>
            <w:r w:rsidRPr="004314C4">
              <w:rPr>
                <w:rFonts w:asciiTheme="minorHAnsi" w:hAnsiTheme="minorHAnsi" w:cstheme="minorHAnsi"/>
                <w:b/>
                <w:bCs/>
                <w:color w:val="000000"/>
              </w:rPr>
              <w:t>art. 156 § 1-5</w:t>
            </w:r>
            <w:r w:rsidRPr="005B0CD2">
              <w:rPr>
                <w:rFonts w:asciiTheme="minorHAnsi" w:hAnsiTheme="minorHAnsi" w:cstheme="minorHAnsi"/>
                <w:color w:val="000000"/>
              </w:rPr>
              <w:t xml:space="preserve"> ustawy z dnia 6 czerwca 1997 r. </w:t>
            </w:r>
            <w:r w:rsidRPr="00641090">
              <w:rPr>
                <w:rFonts w:asciiTheme="minorHAnsi" w:hAnsiTheme="minorHAnsi" w:cstheme="minorHAnsi"/>
                <w:b/>
                <w:bCs/>
                <w:color w:val="000000"/>
              </w:rPr>
              <w:t>Kodeks postępowania karnego</w:t>
            </w:r>
            <w:r w:rsidRPr="005B0CD2">
              <w:rPr>
                <w:rFonts w:asciiTheme="minorHAnsi" w:hAnsiTheme="minorHAnsi" w:cstheme="minorHAnsi"/>
                <w:color w:val="000000"/>
              </w:rPr>
              <w:t xml:space="preserve"> (Dz. U. z 2017 r., poz. 1904 ze zm.) </w:t>
            </w:r>
            <w:r w:rsidRPr="00641090">
              <w:rPr>
                <w:rFonts w:asciiTheme="minorHAnsi" w:hAnsiTheme="minorHAnsi" w:cstheme="minorHAnsi"/>
                <w:b/>
                <w:bCs/>
                <w:color w:val="000000"/>
              </w:rPr>
              <w:t>stronom, obrońcom, pełnomocnikom i przedstawicielom ustawowym udostępnia się akta sprawy sądowej oraz daje możność sporządzenia z nich odpisów lub kopii. Informacje o aktach sprawy mogą być udostępnione także za pomocą systemu teleinformatycznego, jeżeli względy techniczne nie stoją temu na przeszkodzie</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§1</w:t>
            </w:r>
            <w:r w:rsidRPr="005B0CD2">
              <w:rPr>
                <w:rFonts w:asciiTheme="minorHAnsi" w:hAnsiTheme="minorHAnsi" w:cstheme="minorHAnsi"/>
                <w:color w:val="000000"/>
              </w:rPr>
              <w:t>). Na wniosek oskarżonego lub jego obrońcy wydaje się odpłatnie kopie dokumentów z akt sprawy. Kopie takie wydaje się odpłatnie, na wniosek, również innym stronom, pełnomocnikom i przedstawicielom ustawowym. Zarządzenie w przedmiocie wniosku może wydać również referendarz sądowy. Od kopii wykonanej samodzielnie nie pobiera się opłaty (</w:t>
            </w:r>
            <w:r w:rsidRPr="00641090">
              <w:rPr>
                <w:rFonts w:asciiTheme="minorHAnsi" w:hAnsiTheme="minorHAnsi" w:cstheme="minorHAnsi"/>
                <w:b/>
                <w:bCs/>
                <w:color w:val="000000"/>
              </w:rPr>
              <w:t>§2</w:t>
            </w:r>
            <w:r w:rsidRPr="005B0CD2">
              <w:rPr>
                <w:rFonts w:asciiTheme="minorHAnsi" w:hAnsiTheme="minorHAnsi" w:cstheme="minorHAnsi"/>
                <w:color w:val="000000"/>
              </w:rPr>
              <w:t>). Prezes sądu lub referendarz sądowy może w razie uzasadnionej potrzeby zarządzić wydanie odpłatnie uwierzytelnionych odpisów z akt sprawy (</w:t>
            </w:r>
            <w:r w:rsidRPr="00641090">
              <w:rPr>
                <w:rFonts w:asciiTheme="minorHAnsi" w:hAnsiTheme="minorHAnsi" w:cstheme="minorHAnsi"/>
                <w:b/>
                <w:bCs/>
                <w:color w:val="000000"/>
              </w:rPr>
              <w:t>§3</w:t>
            </w:r>
            <w:r w:rsidRPr="005B0CD2">
              <w:rPr>
                <w:rFonts w:asciiTheme="minorHAnsi" w:hAnsiTheme="minorHAnsi" w:cstheme="minorHAnsi"/>
                <w:color w:val="000000"/>
              </w:rPr>
              <w:t>). Jeżeli zachodzi niebezpieczeństwo ujawnienia informacji niejawnych o klauzuli tajności "</w:t>
            </w:r>
            <w:r w:rsidRPr="00641090">
              <w:rPr>
                <w:rFonts w:asciiTheme="minorHAnsi" w:hAnsiTheme="minorHAnsi" w:cstheme="minorHAnsi"/>
                <w:b/>
                <w:bCs/>
                <w:i/>
                <w:color w:val="000000"/>
              </w:rPr>
              <w:t>tajne</w:t>
            </w:r>
            <w:r w:rsidRPr="005B0CD2">
              <w:rPr>
                <w:rFonts w:asciiTheme="minorHAnsi" w:hAnsiTheme="minorHAnsi" w:cstheme="minorHAnsi"/>
                <w:color w:val="000000"/>
              </w:rPr>
              <w:t>" lub "</w:t>
            </w:r>
            <w:r w:rsidRPr="00641090">
              <w:rPr>
                <w:rFonts w:asciiTheme="minorHAnsi" w:hAnsiTheme="minorHAnsi" w:cstheme="minorHAnsi"/>
                <w:b/>
                <w:bCs/>
                <w:i/>
                <w:color w:val="000000"/>
              </w:rPr>
              <w:t>ściśle tajne</w:t>
            </w:r>
            <w:r w:rsidRPr="005B0CD2">
              <w:rPr>
                <w:rFonts w:asciiTheme="minorHAnsi" w:hAnsiTheme="minorHAnsi" w:cstheme="minorHAnsi"/>
                <w:color w:val="000000"/>
              </w:rPr>
              <w:t xml:space="preserve">", przeglądanie akt, sporządzanie odpisów i kopii odbywa się </w:t>
            </w:r>
            <w:r w:rsidRPr="00641090">
              <w:rPr>
                <w:rFonts w:asciiTheme="minorHAnsi" w:hAnsiTheme="minorHAnsi" w:cstheme="minorHAnsi"/>
                <w:b/>
                <w:bCs/>
                <w:color w:val="000000"/>
              </w:rPr>
              <w:t>z zachowaniem rygorów</w:t>
            </w:r>
            <w:r w:rsidRPr="005B0CD2">
              <w:rPr>
                <w:rFonts w:asciiTheme="minorHAnsi" w:hAnsiTheme="minorHAnsi" w:cstheme="minorHAnsi"/>
                <w:color w:val="000000"/>
              </w:rPr>
              <w:t xml:space="preserve"> określonych przez prezesa sądu lub sąd. Uwierzytelnionych odpisów i kopii nie wydaje się, chyba że ustawa stanowi inaczej (</w:t>
            </w:r>
            <w:r w:rsidRPr="00641090">
              <w:rPr>
                <w:rFonts w:asciiTheme="minorHAnsi" w:hAnsiTheme="minorHAnsi" w:cstheme="minorHAnsi"/>
                <w:b/>
                <w:bCs/>
                <w:color w:val="000000"/>
              </w:rPr>
              <w:t>§4</w:t>
            </w:r>
            <w:r w:rsidRPr="005B0CD2">
              <w:rPr>
                <w:rFonts w:asciiTheme="minorHAnsi" w:hAnsiTheme="minorHAnsi" w:cstheme="minorHAnsi"/>
                <w:color w:val="000000"/>
              </w:rPr>
              <w:t xml:space="preserve">). Jeżeli nie zachodzi potrzeba zabezpieczenia </w:t>
            </w:r>
            <w:r w:rsidRPr="005B0CD2">
              <w:rPr>
                <w:rFonts w:asciiTheme="minorHAnsi" w:hAnsiTheme="minorHAnsi" w:cstheme="minorHAnsi"/>
                <w:color w:val="000000"/>
              </w:rPr>
              <w:lastRenderedPageBreak/>
              <w:t>prawidłowego toku postępowania lub ochrony ważnego interesu państwa, w toku postępowania przygotowawczego stronom, obrońcom, pełnomocnikom i przedstawicielom ustawowym udostępnia się akta, umożliwia sporządzanie odpisów lub kopii oraz wydaje odpłatnie uwierzytelnione odpisy lub kopie; prawo to przysługuje stronom także po zakończeniu postępowania przygotowawczego. W przedmiocie udostępnienia akt, sporządzenia odpisów lub kopii lub wydania uwierzytelnionych odpisów lub kopii prowadzący postępowanie przygotowawcze wydaje zarządzenie. W wypadku odmowy udostępnienia akt pokrzywdzonemu na jego wniosek należy poinformować go o możliwości udostępnienia mu akt w późniejszym terminie. Z chwilą powiadomienia podejrzanego lub obrońcy o terminie końcowego zaznajomienia z materiałami postępowania przygotowawczego pokrzywdzonemu, jego pełnomocnikowi lub przedstawicielowi ustawowemu nie można odmówić udostępnienia akt, umożliwienia sporządzania odpisów lub kopii oraz wydania odpisów lub kopii. Za zgodą prokuratora akta w toku postępowania przygotowawczego mogą być w wyjątkowych wypadkach udostępnione innym osobom. Prokurator może udostępnić akta w postaci elektronicznej (§5).</w:t>
            </w:r>
          </w:p>
          <w:p w14:paraId="1E5A30B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Z kolei przepis </w:t>
            </w:r>
            <w:r w:rsidRPr="00A527DD">
              <w:rPr>
                <w:rFonts w:asciiTheme="minorHAnsi" w:hAnsiTheme="minorHAnsi" w:cstheme="minorHAnsi"/>
                <w:b/>
                <w:bCs/>
                <w:color w:val="000000"/>
              </w:rPr>
              <w:t>art. 9</w:t>
            </w:r>
            <w:r w:rsidRPr="005B0CD2">
              <w:rPr>
                <w:rFonts w:asciiTheme="minorHAnsi" w:hAnsiTheme="minorHAnsi" w:cstheme="minorHAnsi"/>
                <w:color w:val="000000"/>
              </w:rPr>
              <w:t xml:space="preserve"> ustawy z dnia 17 listopada 1964 r. </w:t>
            </w:r>
            <w:r w:rsidRPr="00A527DD">
              <w:rPr>
                <w:rFonts w:asciiTheme="minorHAnsi" w:hAnsiTheme="minorHAnsi" w:cstheme="minorHAnsi"/>
                <w:b/>
                <w:bCs/>
                <w:color w:val="000000"/>
              </w:rPr>
              <w:t>Kodeks postępowania cywilnego</w:t>
            </w:r>
            <w:r w:rsidRPr="005B0CD2">
              <w:rPr>
                <w:rFonts w:asciiTheme="minorHAnsi" w:hAnsiTheme="minorHAnsi" w:cstheme="minorHAnsi"/>
                <w:color w:val="000000"/>
              </w:rPr>
              <w:t xml:space="preserve"> (Dz. U. z 2018 r., poz. 1360 ze zm.) stanowi, że rozpoznawanie spraw odbywa się jawnie, chyba że przepis szczególny stanowi inaczej. Strony i uczestnicy postępowania mają prawo przeglądać akta sprawy i otrzymywać odpisy, kopie lub wyciągi z tych akt. Treść protokołów i pism może być także udostępniana w postaci elektronicznej za pośrednictwem systemu teleinformatycznego obsługującego postępowanie sądowe (system teleinformatyczny) albo innego systemu teleinformatycznego służącego udostępnianiu tych protokołów lub pism. Strony i uczestnicy postępowania mają prawo do otrzymania z akt sprawy zapisu dźwięku albo obrazu i dźwięku, chyba że protokół został sporządzony wyłącznie pisemnie. Przewodniczący wydaje z akt sprawy zapis dźwięku, jeżeli wydaniu zapisu obrazu i dźwięku sprzeciwia się ważny interes publiczny lub prywatny. Jeżeli posiedzenie odbyło się przy drzwiach zamkniętych strony i uczestnicy postępowania mają prawo do otrzymania z akt sprawy jedynie zapisu dźwięku.</w:t>
            </w:r>
          </w:p>
          <w:p w14:paraId="050AE546"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Przedstawione porównanie ma tym większe znaczenie, jeśli zważy się, że prawo dostępu do akt, które poprzez </w:t>
            </w:r>
            <w:r w:rsidRPr="00A527DD">
              <w:rPr>
                <w:rFonts w:asciiTheme="minorHAnsi" w:hAnsiTheme="minorHAnsi" w:cstheme="minorHAnsi"/>
                <w:b/>
                <w:bCs/>
                <w:color w:val="000000"/>
              </w:rPr>
              <w:t>art. 51 ust. 3</w:t>
            </w:r>
            <w:r w:rsidRPr="005B0CD2">
              <w:rPr>
                <w:rFonts w:asciiTheme="minorHAnsi" w:hAnsiTheme="minorHAnsi" w:cstheme="minorHAnsi"/>
                <w:color w:val="000000"/>
              </w:rPr>
              <w:t xml:space="preserve"> gwarantuje </w:t>
            </w:r>
            <w:r w:rsidRPr="00A527DD">
              <w:rPr>
                <w:rFonts w:asciiTheme="minorHAnsi" w:hAnsiTheme="minorHAnsi" w:cstheme="minorHAnsi"/>
                <w:b/>
                <w:bCs/>
                <w:color w:val="000000"/>
              </w:rPr>
              <w:t>Konstytucja RP</w:t>
            </w:r>
            <w:r w:rsidRPr="005B0CD2">
              <w:rPr>
                <w:rFonts w:asciiTheme="minorHAnsi" w:hAnsiTheme="minorHAnsi" w:cstheme="minorHAnsi"/>
                <w:color w:val="000000"/>
              </w:rPr>
              <w:t>, prawodawca zobowiązany jest urzeczywistnić wszędzie tam, gdzie gromadzone są urzędowe dokumenty i zbiory danych. Konkretyzacja gwarantowanego prawa nie może więc być tak kształtowana w ramach różnych procedur, by prowadziło to do niczym nieuzasadnionych ograniczeń w dostępie do akt. Utrzymywanie nieuzasadnionych rozbieżności pomiędzy procedurami w zakresie gwarantowanego konstytucyjnie prawa do udostępniania akt prowadzi, zdaniem Naczelnego Sądu Administracyjnego, do naruszenia konstytucyjnej zasady równości (</w:t>
            </w:r>
            <w:r w:rsidRPr="00A527DD">
              <w:rPr>
                <w:rFonts w:asciiTheme="minorHAnsi" w:hAnsiTheme="minorHAnsi" w:cstheme="minorHAnsi"/>
                <w:b/>
                <w:bCs/>
                <w:color w:val="000000"/>
              </w:rPr>
              <w:t>art. 32 Konstytucji RP</w:t>
            </w:r>
            <w:r w:rsidRPr="005B0CD2">
              <w:rPr>
                <w:rFonts w:asciiTheme="minorHAnsi" w:hAnsiTheme="minorHAnsi" w:cstheme="minorHAnsi"/>
                <w:color w:val="000000"/>
              </w:rPr>
              <w:t xml:space="preserve">), która nakazuje nadawanie takich treści unormowaniom prawnym, aby kształtowały one w jednakowy (podobny) sposób sytuację prawną podmiotów jednakowych (podobnych). Równość w prawie wymaga, aby przepisy prawa ujmowały prawa i obowiązki w sposób wolny </w:t>
            </w:r>
            <w:r w:rsidRPr="005B0CD2">
              <w:rPr>
                <w:rFonts w:asciiTheme="minorHAnsi" w:hAnsiTheme="minorHAnsi" w:cstheme="minorHAnsi"/>
                <w:color w:val="000000"/>
              </w:rPr>
              <w:lastRenderedPageBreak/>
              <w:t>od dyskryminacji i przywilejów. Naruszenie tej zasady mogłoby znaleźć uzasadnienie wyłącznie w przypadku przekonujących (uzasadnionych) argumentów takiego zróżnicowania, którego w analizowanym przypadku brak, a które powinny nadto pozostawać w związku z innymi wartościami, zasadami czy normami konstytucyjnymi, uzasadniającymi odmienne traktowanie podmiotów podobnych. Zróżnicowania w tym zakresie nie można usprawiedliwić tylko z tej przyczyny, że co do zasady minimalne wymogi rzetelnej procedury nie są jednolite dla wszystkich rodzajów spraw, jakie toczą się przed organami władzy publicznej. Decydujące znaczenie przypisać należy w tym względzie funkcji, jaką analizowane uprawnienie spełnia. Skoro zatem stanowi konkretyzację zasady jawności, a przez to urzeczywistnia prawo do obrony nie sposób odmówić mu doniosłości, niezależnie od tego przed którymi organami władzy sprawa się toczy i ochrony jakich dóbr dotyczy. Nie można w rozważaniach pominąć, że w ramach procedury administracyjnej w sposób wiążący kształtuje się sytuację prawną adresata. Wydawane rozstrzygnięcia kreują prawa, nakładają obowiązki skutkujące nierzadko obciążeniami znacznej wartości. Jako przykład można podać np. sprawy z zakresu prawa budowlanego: pozwolenia na budowę, nakazy rozbiórki, w ramach tej procedury dokonuje się wywłaszczeń nieruchomości na potrzeby publiczne, przyznaje się prawa rzeczowe, stwierdza nieważność decyzji o przejęciu mienia w trybie nacjonalizacji. Akta administracyjne są nierzadko wielotomowe, zawierają kilkudziesięciostronicowe operaty, ekspertyzy, decyzje organów administracji liczą czasem po kilkanaście, bądź kilkadziesiąt stron.</w:t>
            </w:r>
          </w:p>
          <w:p w14:paraId="0E0A6249"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Z tego też względu nie sposób przyjąć by rozważana forma dostępu była zbędna lub mniej istotna z punktu widzenia wymogów gwarancyjnych właściwych dla postępowania administracyjnego. O ich znaczeniu świadczą m.in. działania prawodawcy zmierzające do zapewnienia wysokiej jakości usług administracji publicznej w zakresie stworzenia ułatwień dla obywateli poprzez wprowadzenie do kodeksu postępowania administracyjnego przepisów, służących dostosowaniu do funkcjonowania narzędzi stworzonych dla realizacji czynności administracyjnych drogą elektroniczną w oparciu o ustawę z dnia 17 lutego 2005 r. o informatyzacji działalności podmiotów realizujących zadania publiczne (Dz. U. z 2017 r., poz. 570 z ze zm.).</w:t>
            </w:r>
          </w:p>
          <w:p w14:paraId="3F69324F"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Wskazywane różnice w formie dostępu do akt pomiędzy procedurami nie wpisują się w ideę nowoczesnego państwa.</w:t>
            </w:r>
          </w:p>
          <w:p w14:paraId="41BBC57C"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 niniejszej sprawie ma to tym większe znaczenie, jeśli weźmie się pod uwagę fakt, iż zasada z </w:t>
            </w:r>
            <w:r w:rsidRPr="00A527DD">
              <w:rPr>
                <w:rFonts w:asciiTheme="minorHAnsi" w:hAnsiTheme="minorHAnsi" w:cstheme="minorHAnsi"/>
                <w:b/>
                <w:bCs/>
                <w:color w:val="000000"/>
              </w:rPr>
              <w:t>art. 32 Konstytucji RP</w:t>
            </w:r>
            <w:r w:rsidRPr="005B0CD2">
              <w:rPr>
                <w:rFonts w:asciiTheme="minorHAnsi" w:hAnsiTheme="minorHAnsi" w:cstheme="minorHAnsi"/>
                <w:color w:val="000000"/>
              </w:rPr>
              <w:t xml:space="preserve"> skierowana jest do władz publicznych, które zobowiązane są w świetle </w:t>
            </w:r>
            <w:r w:rsidRPr="00A527DD">
              <w:rPr>
                <w:rFonts w:asciiTheme="minorHAnsi" w:hAnsiTheme="minorHAnsi" w:cstheme="minorHAnsi"/>
                <w:b/>
                <w:bCs/>
                <w:color w:val="000000"/>
              </w:rPr>
              <w:t>art. 51 ust. 3 Konstytucji</w:t>
            </w:r>
            <w:r w:rsidRPr="005B0CD2">
              <w:rPr>
                <w:rFonts w:asciiTheme="minorHAnsi" w:hAnsiTheme="minorHAnsi" w:cstheme="minorHAnsi"/>
                <w:color w:val="000000"/>
              </w:rPr>
              <w:t xml:space="preserve"> do zapewnienia każdemu dostępu do dotyczących go urzędowych dokumentów i zbiorów danych.</w:t>
            </w:r>
          </w:p>
          <w:p w14:paraId="5B93F625"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Dokonując interpretacji przepisu </w:t>
            </w:r>
            <w:r w:rsidRPr="00A527DD">
              <w:rPr>
                <w:rFonts w:asciiTheme="minorHAnsi" w:hAnsiTheme="minorHAnsi" w:cstheme="minorHAnsi"/>
                <w:b/>
                <w:bCs/>
                <w:color w:val="000000"/>
              </w:rPr>
              <w:t>art. 73 § 1 k.p.a</w:t>
            </w:r>
            <w:r w:rsidRPr="005B0CD2">
              <w:rPr>
                <w:rFonts w:asciiTheme="minorHAnsi" w:hAnsiTheme="minorHAnsi" w:cstheme="minorHAnsi"/>
                <w:color w:val="000000"/>
              </w:rPr>
              <w:t xml:space="preserve">. mieć należy również na względzie, że odmowa udostępnienia stronom urządzeń pozostających na wyposażeniu organu stawia w gorszym położeniu osoby o niższym statusie materialnym, których na takie urządzenia nie stać </w:t>
            </w:r>
            <w:r w:rsidRPr="005B0CD2">
              <w:rPr>
                <w:rFonts w:asciiTheme="minorHAnsi" w:hAnsiTheme="minorHAnsi" w:cstheme="minorHAnsi"/>
                <w:color w:val="000000"/>
              </w:rPr>
              <w:lastRenderedPageBreak/>
              <w:t>bądź też osoby, które z racji wieku lub ułomności np. fizycznych, nie mogą samodzielnie z nich skorzystać.</w:t>
            </w:r>
          </w:p>
          <w:p w14:paraId="5656C9F3"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Także z tego względu omawiane ograniczenie w dostępie do akt pozostawałoby więc w sprzeczności z </w:t>
            </w:r>
            <w:r w:rsidRPr="008001A0">
              <w:rPr>
                <w:rFonts w:asciiTheme="minorHAnsi" w:hAnsiTheme="minorHAnsi" w:cstheme="minorHAnsi"/>
                <w:b/>
                <w:bCs/>
                <w:color w:val="000000"/>
              </w:rPr>
              <w:t>art. 32 Konstytucji RP</w:t>
            </w:r>
            <w:r w:rsidRPr="005B0CD2">
              <w:rPr>
                <w:rFonts w:asciiTheme="minorHAnsi" w:hAnsiTheme="minorHAnsi" w:cstheme="minorHAnsi"/>
                <w:color w:val="000000"/>
              </w:rPr>
              <w:t xml:space="preserve">, naruszając również zasady sprawiedliwości społecznej, których gwarantem jest </w:t>
            </w:r>
            <w:r w:rsidRPr="008001A0">
              <w:rPr>
                <w:rFonts w:asciiTheme="minorHAnsi" w:hAnsiTheme="minorHAnsi" w:cstheme="minorHAnsi"/>
                <w:b/>
                <w:bCs/>
                <w:color w:val="000000"/>
              </w:rPr>
              <w:t>art. 2 Konstytucji RP</w:t>
            </w:r>
            <w:r w:rsidRPr="005B0CD2">
              <w:rPr>
                <w:rFonts w:asciiTheme="minorHAnsi" w:hAnsiTheme="minorHAnsi" w:cstheme="minorHAnsi"/>
                <w:color w:val="000000"/>
              </w:rPr>
              <w:t>.</w:t>
            </w:r>
          </w:p>
          <w:p w14:paraId="5A8E4751"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Wobec powyższego, rekonstruując wzór zachowania organu administracji w przedmiocie udostępniania akt na podstawie </w:t>
            </w:r>
            <w:r w:rsidRPr="008001A0">
              <w:rPr>
                <w:rFonts w:asciiTheme="minorHAnsi" w:hAnsiTheme="minorHAnsi" w:cstheme="minorHAnsi"/>
                <w:b/>
                <w:bCs/>
                <w:color w:val="000000"/>
              </w:rPr>
              <w:t>art. 73 § 1 i § 2 k.p.a</w:t>
            </w:r>
            <w:r w:rsidRPr="005B0CD2">
              <w:rPr>
                <w:rFonts w:asciiTheme="minorHAnsi" w:hAnsiTheme="minorHAnsi" w:cstheme="minorHAnsi"/>
                <w:color w:val="000000"/>
              </w:rPr>
              <w:t xml:space="preserve">. należało wyjść poza jego literalne brzmienie i zgodnie z systemowymi regułami wykładni rozszerzyć zakres uprawnień strony, tak aby w razie uzasadnionej potrzeby mogła żądać od organu sporządzenia kopii dokumentów z akt sprawy. Za takim rozwiązaniem przemawia bowiem konieczność zharmonizowania </w:t>
            </w:r>
            <w:r w:rsidRPr="008001A0">
              <w:rPr>
                <w:rFonts w:asciiTheme="minorHAnsi" w:hAnsiTheme="minorHAnsi" w:cstheme="minorHAnsi"/>
                <w:b/>
                <w:bCs/>
                <w:color w:val="000000"/>
              </w:rPr>
              <w:t>art. 73 k.p.a</w:t>
            </w:r>
            <w:r w:rsidRPr="005B0CD2">
              <w:rPr>
                <w:rFonts w:asciiTheme="minorHAnsi" w:hAnsiTheme="minorHAnsi" w:cstheme="minorHAnsi"/>
                <w:color w:val="000000"/>
              </w:rPr>
              <w:t xml:space="preserve">. z zasadami ogólnymi postępowania administracyjnego, uregulowaniami innych procedur, dotyczącymi udostępniania akt, a także konieczność dokonywania interpretacji z uwzględnieniem gwarancji konstytucyjnych. Z tego względu, dokonując wykładni </w:t>
            </w:r>
            <w:r w:rsidRPr="008001A0">
              <w:rPr>
                <w:rFonts w:asciiTheme="minorHAnsi" w:hAnsiTheme="minorHAnsi" w:cstheme="minorHAnsi"/>
                <w:b/>
                <w:bCs/>
                <w:color w:val="000000"/>
              </w:rPr>
              <w:t>art. 73 § 1 k.p.a</w:t>
            </w:r>
            <w:r w:rsidRPr="005B0CD2">
              <w:rPr>
                <w:rFonts w:asciiTheme="minorHAnsi" w:hAnsiTheme="minorHAnsi" w:cstheme="minorHAnsi"/>
                <w:color w:val="000000"/>
              </w:rPr>
              <w:t>. trzeba mieć również na uwadze, że możliwość rzetelnego zapoznania się z materiałem zebranym w aktach sprawy jest istotnym uprawnieniem procesowym gwarantującym stronie czynny udział w postępowaniu (</w:t>
            </w:r>
            <w:r w:rsidRPr="008001A0">
              <w:rPr>
                <w:rFonts w:asciiTheme="minorHAnsi" w:hAnsiTheme="minorHAnsi" w:cstheme="minorHAnsi"/>
                <w:b/>
                <w:bCs/>
                <w:color w:val="000000"/>
              </w:rPr>
              <w:t>art. 10 § 1 k.p.a</w:t>
            </w:r>
            <w:r w:rsidRPr="005B0CD2">
              <w:rPr>
                <w:rFonts w:asciiTheme="minorHAnsi" w:hAnsiTheme="minorHAnsi" w:cstheme="minorHAnsi"/>
                <w:color w:val="000000"/>
              </w:rPr>
              <w:t>.), a w efekcie podejmowanie inicjatywy dowodowej, co ma istotne znaczenie w dochodzeniu do prawdy obiektywnej (</w:t>
            </w:r>
            <w:r w:rsidRPr="006B452E">
              <w:rPr>
                <w:rFonts w:asciiTheme="minorHAnsi" w:hAnsiTheme="minorHAnsi" w:cstheme="minorHAnsi"/>
                <w:b/>
                <w:bCs/>
                <w:color w:val="000000"/>
              </w:rPr>
              <w:t>art. 7 k.p.a</w:t>
            </w:r>
            <w:r w:rsidRPr="005B0CD2">
              <w:rPr>
                <w:rFonts w:asciiTheme="minorHAnsi" w:hAnsiTheme="minorHAnsi" w:cstheme="minorHAnsi"/>
                <w:color w:val="000000"/>
              </w:rPr>
              <w:t>.) Interpretacja powinna uwzględniać także wymogi standardów określonych zasadą pogłębiania zaufania obywatela do władzy publicznej (</w:t>
            </w:r>
            <w:r w:rsidRPr="006B452E">
              <w:rPr>
                <w:rFonts w:asciiTheme="minorHAnsi" w:hAnsiTheme="minorHAnsi" w:cstheme="minorHAnsi"/>
                <w:b/>
                <w:bCs/>
                <w:color w:val="000000"/>
              </w:rPr>
              <w:t>art. 8 k.p.a</w:t>
            </w:r>
            <w:r w:rsidRPr="005B0CD2">
              <w:rPr>
                <w:rFonts w:asciiTheme="minorHAnsi" w:hAnsiTheme="minorHAnsi" w:cstheme="minorHAnsi"/>
                <w:color w:val="000000"/>
              </w:rPr>
              <w:t>.) oraz zasady szybkości i prostoty postępowania (</w:t>
            </w:r>
            <w:r w:rsidRPr="006B452E">
              <w:rPr>
                <w:rFonts w:asciiTheme="minorHAnsi" w:hAnsiTheme="minorHAnsi" w:cstheme="minorHAnsi"/>
                <w:b/>
                <w:bCs/>
                <w:color w:val="000000"/>
              </w:rPr>
              <w:t>art. 12 k.p.a.</w:t>
            </w:r>
            <w:r w:rsidRPr="005B0CD2">
              <w:rPr>
                <w:rFonts w:asciiTheme="minorHAnsi" w:hAnsiTheme="minorHAnsi" w:cstheme="minorHAnsi"/>
                <w:color w:val="000000"/>
              </w:rPr>
              <w:t>).</w:t>
            </w:r>
          </w:p>
          <w:p w14:paraId="1F52D8A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Nie można pominąć również wymogów rzetelnej i sprawiedliwiej procedury wynikających z zasady państwa prawnego (art. 2 Konstytucji RP), w tym także stanowiska przedstawicieli doktryny, w myśl którego prawo jednostki do obrony stanowi podstawowy element standardów przyjętych w prawie unijnym, a co za tym idzie, że wszelkiego rodzaju ograniczenia czy utrudnienia dla stron postępowania w dostępie do akt stanowią zagrożenie dla zasad rzetelnej procedury (por. T. Lewandowski glosa do wyroku WSA w Szczecinie z dnia 29 maja 2014 r., sygn. akt II SAB/</w:t>
            </w:r>
            <w:proofErr w:type="spellStart"/>
            <w:r w:rsidRPr="005B0CD2">
              <w:rPr>
                <w:rFonts w:asciiTheme="minorHAnsi" w:hAnsiTheme="minorHAnsi" w:cstheme="minorHAnsi"/>
                <w:color w:val="000000"/>
              </w:rPr>
              <w:t>Sz</w:t>
            </w:r>
            <w:proofErr w:type="spellEnd"/>
            <w:r w:rsidRPr="005B0CD2">
              <w:rPr>
                <w:rFonts w:asciiTheme="minorHAnsi" w:hAnsiTheme="minorHAnsi" w:cstheme="minorHAnsi"/>
                <w:color w:val="000000"/>
              </w:rPr>
              <w:t xml:space="preserve"> 27/14 </w:t>
            </w:r>
            <w:proofErr w:type="spellStart"/>
            <w:r w:rsidRPr="005B0CD2">
              <w:rPr>
                <w:rFonts w:asciiTheme="minorHAnsi" w:hAnsiTheme="minorHAnsi" w:cstheme="minorHAnsi"/>
                <w:color w:val="000000"/>
              </w:rPr>
              <w:t>publ</w:t>
            </w:r>
            <w:proofErr w:type="spellEnd"/>
            <w:r w:rsidRPr="005B0CD2">
              <w:rPr>
                <w:rFonts w:asciiTheme="minorHAnsi" w:hAnsiTheme="minorHAnsi" w:cstheme="minorHAnsi"/>
                <w:color w:val="000000"/>
              </w:rPr>
              <w:t>. LEX/el. 2015; J. Chlebny, Udostępnianie stronie akt sprawy administracyjnej a prawo do sądu).</w:t>
            </w:r>
          </w:p>
          <w:p w14:paraId="484F2E0D"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641090">
              <w:rPr>
                <w:rFonts w:asciiTheme="minorHAnsi" w:hAnsiTheme="minorHAnsi" w:cstheme="minorHAnsi"/>
                <w:b/>
                <w:bCs/>
                <w:color w:val="000000"/>
              </w:rPr>
              <w:t>Zdaniem Naczelnego Sądu</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Administracyjnego</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trudno znaleźć przekonujące argumenty, aby rozwiązania zagadnienia postawionego we wniosku Rzecznika poszukiwać wyłącznie w literalnej wykładni</w:t>
            </w:r>
            <w:r w:rsidRPr="005B0CD2">
              <w:rPr>
                <w:rFonts w:asciiTheme="minorHAnsi" w:hAnsiTheme="minorHAnsi" w:cstheme="minorHAnsi"/>
                <w:color w:val="000000"/>
              </w:rPr>
              <w:t xml:space="preserve"> </w:t>
            </w:r>
            <w:r w:rsidRPr="006B452E">
              <w:rPr>
                <w:rFonts w:asciiTheme="minorHAnsi" w:hAnsiTheme="minorHAnsi" w:cstheme="minorHAnsi"/>
                <w:b/>
                <w:bCs/>
                <w:color w:val="000000"/>
              </w:rPr>
              <w:t>art. 73 § 1 k.p.a</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wskazującym formalistycznie, że czynność sporządzenia kserokopii (odpisów) musi być w każdym przypadku wykonywana samodzielnie przez stronę</w:t>
            </w:r>
            <w:r w:rsidRPr="005B0CD2">
              <w:rPr>
                <w:rFonts w:asciiTheme="minorHAnsi" w:hAnsiTheme="minorHAnsi" w:cstheme="minorHAnsi"/>
                <w:color w:val="000000"/>
              </w:rPr>
              <w:t>, przy użyciu własnych urządzeń przydatnych do utrwalenia i powielania materiałów zgromadzonych w aktach sprawy.</w:t>
            </w:r>
          </w:p>
          <w:p w14:paraId="20A6945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Naczelny Sąd Administracyjny podkreśla, że </w:t>
            </w:r>
            <w:r w:rsidRPr="00641090">
              <w:rPr>
                <w:rFonts w:asciiTheme="minorHAnsi" w:hAnsiTheme="minorHAnsi" w:cstheme="minorHAnsi"/>
                <w:b/>
                <w:bCs/>
                <w:color w:val="000000"/>
              </w:rPr>
              <w:t>na gruncie tej samej gałęzi prawa</w:t>
            </w:r>
            <w:r w:rsidRPr="005B0CD2">
              <w:rPr>
                <w:rFonts w:asciiTheme="minorHAnsi" w:hAnsiTheme="minorHAnsi" w:cstheme="minorHAnsi"/>
                <w:color w:val="000000"/>
              </w:rPr>
              <w:t xml:space="preserve">, mianowicie </w:t>
            </w:r>
            <w:r w:rsidRPr="00641090">
              <w:rPr>
                <w:rFonts w:asciiTheme="minorHAnsi" w:hAnsiTheme="minorHAnsi" w:cstheme="minorHAnsi"/>
                <w:b/>
                <w:bCs/>
                <w:color w:val="000000"/>
              </w:rPr>
              <w:t>prawa administracyjnego</w:t>
            </w:r>
            <w:r w:rsidRPr="005B0CD2">
              <w:rPr>
                <w:rFonts w:asciiTheme="minorHAnsi" w:hAnsiTheme="minorHAnsi" w:cstheme="minorHAnsi"/>
                <w:color w:val="000000"/>
              </w:rPr>
              <w:t xml:space="preserve">, instytucja </w:t>
            </w:r>
            <w:r w:rsidRPr="00641090">
              <w:rPr>
                <w:rFonts w:asciiTheme="minorHAnsi" w:hAnsiTheme="minorHAnsi" w:cstheme="minorHAnsi"/>
                <w:b/>
                <w:bCs/>
                <w:color w:val="000000"/>
              </w:rPr>
              <w:t>udostępniania akt stronie powinna być jednolicie stosowana</w:t>
            </w:r>
            <w:r w:rsidRPr="005B0CD2">
              <w:rPr>
                <w:rFonts w:asciiTheme="minorHAnsi" w:hAnsiTheme="minorHAnsi" w:cstheme="minorHAnsi"/>
                <w:color w:val="000000"/>
              </w:rPr>
              <w:t xml:space="preserve">, zgodnie z zasadą </w:t>
            </w:r>
            <w:r w:rsidRPr="00641090">
              <w:rPr>
                <w:rFonts w:asciiTheme="minorHAnsi" w:hAnsiTheme="minorHAnsi" w:cstheme="minorHAnsi"/>
                <w:b/>
                <w:bCs/>
                <w:color w:val="000000"/>
              </w:rPr>
              <w:t>równości wobec prawa</w:t>
            </w:r>
            <w:r w:rsidRPr="005B0CD2">
              <w:rPr>
                <w:rFonts w:asciiTheme="minorHAnsi" w:hAnsiTheme="minorHAnsi" w:cstheme="minorHAnsi"/>
                <w:color w:val="000000"/>
              </w:rPr>
              <w:t xml:space="preserve">. Okoliczność, że ustawodawca w </w:t>
            </w:r>
            <w:r w:rsidRPr="00641090">
              <w:rPr>
                <w:rFonts w:asciiTheme="minorHAnsi" w:hAnsiTheme="minorHAnsi" w:cstheme="minorHAnsi"/>
                <w:b/>
                <w:bCs/>
                <w:color w:val="000000"/>
              </w:rPr>
              <w:lastRenderedPageBreak/>
              <w:t>Ordynacji podatkowej</w:t>
            </w:r>
            <w:r w:rsidRPr="005B0CD2">
              <w:rPr>
                <w:rFonts w:asciiTheme="minorHAnsi" w:hAnsiTheme="minorHAnsi" w:cstheme="minorHAnsi"/>
                <w:color w:val="000000"/>
              </w:rPr>
              <w:t xml:space="preserve"> (</w:t>
            </w:r>
            <w:r w:rsidRPr="006B452E">
              <w:rPr>
                <w:rFonts w:asciiTheme="minorHAnsi" w:hAnsiTheme="minorHAnsi" w:cstheme="minorHAnsi"/>
                <w:b/>
                <w:bCs/>
                <w:color w:val="000000"/>
              </w:rPr>
              <w:t>art. 178 § 3</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wyraźnie uregulował uprawnienie stron do otrzymywania kopii z akt</w:t>
            </w:r>
            <w:r w:rsidRPr="005B0CD2">
              <w:rPr>
                <w:rFonts w:asciiTheme="minorHAnsi" w:hAnsiTheme="minorHAnsi" w:cstheme="minorHAnsi"/>
                <w:color w:val="000000"/>
              </w:rPr>
              <w:t xml:space="preserve"> oznacza tylko, że </w:t>
            </w:r>
            <w:r w:rsidRPr="00641090">
              <w:rPr>
                <w:rFonts w:asciiTheme="minorHAnsi" w:hAnsiTheme="minorHAnsi" w:cstheme="minorHAnsi"/>
                <w:b/>
                <w:bCs/>
                <w:color w:val="000000"/>
              </w:rPr>
              <w:t>w tym postępowaniu usunięte zostało źródło wątpliwości interpretacyjnych</w:t>
            </w:r>
            <w:r w:rsidRPr="005B0CD2">
              <w:rPr>
                <w:rFonts w:asciiTheme="minorHAnsi" w:hAnsiTheme="minorHAnsi" w:cstheme="minorHAnsi"/>
                <w:color w:val="000000"/>
              </w:rPr>
              <w:t>.</w:t>
            </w:r>
          </w:p>
          <w:p w14:paraId="3194E156"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Natomiast </w:t>
            </w:r>
            <w:r w:rsidRPr="00641090">
              <w:rPr>
                <w:rFonts w:asciiTheme="minorHAnsi" w:hAnsiTheme="minorHAnsi" w:cstheme="minorHAnsi"/>
                <w:b/>
                <w:bCs/>
                <w:color w:val="000000"/>
              </w:rPr>
              <w:t>brak zmiany</w:t>
            </w:r>
            <w:r w:rsidRPr="005B0CD2">
              <w:rPr>
                <w:rFonts w:asciiTheme="minorHAnsi" w:hAnsiTheme="minorHAnsi" w:cstheme="minorHAnsi"/>
                <w:color w:val="000000"/>
              </w:rPr>
              <w:t xml:space="preserve"> w tym kierunku unormowania </w:t>
            </w:r>
            <w:r w:rsidRPr="006B452E">
              <w:rPr>
                <w:rFonts w:asciiTheme="minorHAnsi" w:hAnsiTheme="minorHAnsi" w:cstheme="minorHAnsi"/>
                <w:b/>
                <w:bCs/>
                <w:color w:val="000000"/>
              </w:rPr>
              <w:t>art. 73 § 1 k.p.a</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nie musi być automatycznie odczytywany</w:t>
            </w:r>
            <w:r w:rsidRPr="005B0CD2">
              <w:rPr>
                <w:rFonts w:asciiTheme="minorHAnsi" w:hAnsiTheme="minorHAnsi" w:cstheme="minorHAnsi"/>
                <w:color w:val="000000"/>
              </w:rPr>
              <w:t xml:space="preserve"> </w:t>
            </w:r>
            <w:r w:rsidRPr="00641090">
              <w:rPr>
                <w:rFonts w:asciiTheme="minorHAnsi" w:hAnsiTheme="minorHAnsi" w:cstheme="minorHAnsi"/>
                <w:b/>
                <w:bCs/>
                <w:color w:val="000000"/>
              </w:rPr>
              <w:t>jako wola</w:t>
            </w:r>
            <w:r w:rsidRPr="005B0CD2">
              <w:rPr>
                <w:rFonts w:asciiTheme="minorHAnsi" w:hAnsiTheme="minorHAnsi" w:cstheme="minorHAnsi"/>
                <w:color w:val="000000"/>
              </w:rPr>
              <w:t xml:space="preserve"> ustawodawcy do </w:t>
            </w:r>
            <w:r w:rsidRPr="00641090">
              <w:rPr>
                <w:rFonts w:asciiTheme="minorHAnsi" w:hAnsiTheme="minorHAnsi" w:cstheme="minorHAnsi"/>
                <w:b/>
                <w:bCs/>
                <w:color w:val="000000"/>
              </w:rPr>
              <w:t>różnicowania omawianej instytucji we wskazanych procedurach</w:t>
            </w:r>
            <w:r w:rsidRPr="005B0CD2">
              <w:rPr>
                <w:rFonts w:asciiTheme="minorHAnsi" w:hAnsiTheme="minorHAnsi" w:cstheme="minorHAnsi"/>
                <w:color w:val="000000"/>
              </w:rPr>
              <w:t>, z konsekwencją ograniczenia uprawnień strony ogólnego postępowania administracyjnego.</w:t>
            </w:r>
          </w:p>
          <w:p w14:paraId="37956806"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i/>
                <w:color w:val="000000"/>
              </w:rPr>
            </w:pPr>
            <w:r w:rsidRPr="005B0CD2">
              <w:rPr>
                <w:rFonts w:asciiTheme="minorHAnsi" w:hAnsiTheme="minorHAnsi" w:cstheme="minorHAnsi"/>
                <w:color w:val="000000"/>
              </w:rPr>
              <w:t xml:space="preserve">Podobny zabieg interpretacyjny został zastosowany w uchwale NSA z dnia 15 czerwca 2011 r. (I OPS 1/11), dotyczącej przepisu </w:t>
            </w:r>
            <w:r w:rsidRPr="006B452E">
              <w:rPr>
                <w:rFonts w:asciiTheme="minorHAnsi" w:hAnsiTheme="minorHAnsi" w:cstheme="minorHAnsi"/>
                <w:b/>
                <w:bCs/>
                <w:color w:val="000000"/>
              </w:rPr>
              <w:t>art. 57 § 4 k.p.a</w:t>
            </w:r>
            <w:r w:rsidRPr="005B0CD2">
              <w:rPr>
                <w:rFonts w:asciiTheme="minorHAnsi" w:hAnsiTheme="minorHAnsi" w:cstheme="minorHAnsi"/>
                <w:color w:val="000000"/>
              </w:rPr>
              <w:t>., w uzasadnieniu której odwołano się do wyroków Trybunału Konstytucyjnego wskazujących, że "</w:t>
            </w:r>
            <w:r w:rsidRPr="00641090">
              <w:rPr>
                <w:rFonts w:asciiTheme="minorHAnsi" w:hAnsiTheme="minorHAnsi" w:cstheme="minorHAnsi"/>
                <w:b/>
                <w:bCs/>
                <w:i/>
                <w:color w:val="000000"/>
              </w:rPr>
              <w:t xml:space="preserve">ukształtowany w procesie stosowania prawa określony sposób rozumienia przepisu odbiegać może dalece od literalnego brzmienia, </w:t>
            </w:r>
            <w:r w:rsidRPr="00641090">
              <w:rPr>
                <w:rFonts w:asciiTheme="minorHAnsi" w:hAnsiTheme="minorHAnsi" w:cstheme="minorHAnsi"/>
                <w:i/>
                <w:color w:val="000000"/>
              </w:rPr>
              <w:t>jakie nadał mu prawodawca</w:t>
            </w:r>
            <w:r w:rsidRPr="00641090">
              <w:rPr>
                <w:rFonts w:asciiTheme="minorHAnsi" w:hAnsiTheme="minorHAnsi" w:cstheme="minorHAnsi"/>
                <w:b/>
                <w:bCs/>
                <w:i/>
                <w:color w:val="000000"/>
              </w:rPr>
              <w:t>. Organy stosujące prawo, w tym przede wszystkim sądy, mogą w drodze wykładni prawa wydobywać z aktów normatywnych treści, które są do pogodzenia z normami, zasadami lub wartościami, których poszanowania wymaga Konstytucja</w:t>
            </w:r>
            <w:r w:rsidRPr="005B0CD2">
              <w:rPr>
                <w:rFonts w:asciiTheme="minorHAnsi" w:hAnsiTheme="minorHAnsi" w:cstheme="minorHAnsi"/>
                <w:i/>
                <w:color w:val="000000"/>
              </w:rPr>
              <w:t>."</w:t>
            </w:r>
          </w:p>
          <w:p w14:paraId="79C4887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Określając relacje podmiotu uprawnionego do korzystania z akt oraz organu administracji akcentować należy konieczność ich współdziałania celem zapewnienia efektywnego prowadzenia postępowania, zgodnie z obowiązującymi współcześnie standardami dobrej administracji. To na organie ciąży obowiązek stworzenia warunków gwarantujących stronie realną możliwość zapoznania się z materiałem dowodowym zgromadzonym w aktach administracyjnych i jego wykorzystania w ramach uprawnień procesowych. Z tego też względu nie może w sposób dowolny ograniczać możliwości sporządzania kserokopii dokumentów przy użyciu sprzętu będącego w posiadaniu organu. Jak słusznie zaznaczono w postanowieniu NSA z dnia 19 stycznia 2010 r., sygn. akt II OSK 2043/09 "</w:t>
            </w:r>
            <w:r w:rsidRPr="006B452E">
              <w:rPr>
                <w:rFonts w:asciiTheme="minorHAnsi" w:hAnsiTheme="minorHAnsi" w:cstheme="minorHAnsi"/>
                <w:b/>
                <w:bCs/>
                <w:i/>
                <w:color w:val="000000"/>
              </w:rPr>
              <w:t>kwestie techniki sporządzania kserokopii i jego kosztów wprawdzie wymagają organizacyjnego rozwiązania przez organ, lecz nie należą do istoty obowiązku organu wyrażonego w art. 73 § 1 k.p.a., a tym bardziej nie mogą organu z tego obowiązku zwolnić</w:t>
            </w:r>
            <w:r w:rsidRPr="005B0CD2">
              <w:rPr>
                <w:rFonts w:asciiTheme="minorHAnsi" w:hAnsiTheme="minorHAnsi" w:cstheme="minorHAnsi"/>
                <w:color w:val="000000"/>
              </w:rPr>
              <w:t xml:space="preserve">". Zdaniem Naczelnego Sądu Administracyjnego, przepis </w:t>
            </w:r>
            <w:r w:rsidRPr="006B452E">
              <w:rPr>
                <w:rFonts w:asciiTheme="minorHAnsi" w:hAnsiTheme="minorHAnsi" w:cstheme="minorHAnsi"/>
                <w:b/>
                <w:bCs/>
                <w:color w:val="000000"/>
              </w:rPr>
              <w:t>art. 262 § 1 pkt 2 k.p.a</w:t>
            </w:r>
            <w:r w:rsidRPr="005B0CD2">
              <w:rPr>
                <w:rFonts w:asciiTheme="minorHAnsi" w:hAnsiTheme="minorHAnsi" w:cstheme="minorHAnsi"/>
                <w:color w:val="000000"/>
              </w:rPr>
              <w:t>. stanowi podstawę do obciążenia strony kosztami sporządzenia kopii dokumentacji, gdyż mieszczą się one w kosztach postępowania administracyjnego poniesionych na jej żądanie. Koszty te nie pozostają bowiem w bezpośrednim związku z rozstrzygnięciem sprawy, a tylko przez ten pryzmat odczytywać należy ustawowe obowiązki organu, o których mowa w tym przepisie, co w konsekwencji wyklucza obciążenie nimi organu.</w:t>
            </w:r>
          </w:p>
          <w:p w14:paraId="03B438B7"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641090">
              <w:rPr>
                <w:rFonts w:asciiTheme="minorHAnsi" w:hAnsiTheme="minorHAnsi" w:cstheme="minorHAnsi"/>
                <w:b/>
                <w:bCs/>
                <w:color w:val="000000"/>
              </w:rPr>
              <w:t>Odmowa uwzględnienia wniosku strony o sporządzenie kserokopii z akt mogłaby nastąpić jedynie, gdyby organ wykazał konkretne utrudnienia wynikające z braku potrzebnego sprzętu lub dużej liczby dokumentów przewidzianych do kopiowania</w:t>
            </w:r>
            <w:r w:rsidRPr="005B0CD2">
              <w:rPr>
                <w:rFonts w:asciiTheme="minorHAnsi" w:hAnsiTheme="minorHAnsi" w:cstheme="minorHAnsi"/>
                <w:color w:val="000000"/>
              </w:rPr>
              <w:t xml:space="preserve">. Tylko więc w sytuacjach wymagających większego organizacyjnego zaangażowania ze strony pracowników organu dopuszczalne byłoby wyznaczenie stronie określonych warunków realizacji wniosku w przedmiocie sporządzenia kserokopii dokumentów. Oczywiście odmowa wydania kopii z akt </w:t>
            </w:r>
            <w:r w:rsidRPr="005B0CD2">
              <w:rPr>
                <w:rFonts w:asciiTheme="minorHAnsi" w:hAnsiTheme="minorHAnsi" w:cstheme="minorHAnsi"/>
                <w:color w:val="000000"/>
              </w:rPr>
              <w:lastRenderedPageBreak/>
              <w:t xml:space="preserve">sprawy może być też usprawiedliwiona w sytuacji, gdy strona w sposób oczywisty i świadomy nadużywa prawa wynikającego z </w:t>
            </w:r>
            <w:r w:rsidRPr="006B452E">
              <w:rPr>
                <w:rFonts w:asciiTheme="minorHAnsi" w:hAnsiTheme="minorHAnsi" w:cstheme="minorHAnsi"/>
                <w:b/>
                <w:bCs/>
                <w:color w:val="000000"/>
              </w:rPr>
              <w:t>art. 73 § 1 k.p.a</w:t>
            </w:r>
            <w:r w:rsidRPr="005B0CD2">
              <w:rPr>
                <w:rFonts w:asciiTheme="minorHAnsi" w:hAnsiTheme="minorHAnsi" w:cstheme="minorHAnsi"/>
                <w:color w:val="000000"/>
              </w:rPr>
              <w:t>.</w:t>
            </w:r>
          </w:p>
          <w:p w14:paraId="33F08525"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Takie rozumienie </w:t>
            </w:r>
            <w:r w:rsidRPr="006B452E">
              <w:rPr>
                <w:rFonts w:asciiTheme="minorHAnsi" w:hAnsiTheme="minorHAnsi" w:cstheme="minorHAnsi"/>
                <w:b/>
                <w:bCs/>
                <w:color w:val="000000"/>
              </w:rPr>
              <w:t>art. 73 § 1 k.p.a</w:t>
            </w:r>
            <w:r w:rsidRPr="005B0CD2">
              <w:rPr>
                <w:rFonts w:asciiTheme="minorHAnsi" w:hAnsiTheme="minorHAnsi" w:cstheme="minorHAnsi"/>
                <w:color w:val="000000"/>
              </w:rPr>
              <w:t xml:space="preserve">. nie oznacza zatem bezwzględnego związania organu żądaniem strony o wydanie kserokopii dokumentów z akt sprawy, lecz </w:t>
            </w:r>
            <w:r w:rsidRPr="00641090">
              <w:rPr>
                <w:rFonts w:asciiTheme="minorHAnsi" w:hAnsiTheme="minorHAnsi" w:cstheme="minorHAnsi"/>
                <w:b/>
                <w:bCs/>
                <w:color w:val="000000"/>
              </w:rPr>
              <w:t>wprowadza ograniczenia mające wykluczyć nieuzasadnioną odmowę załatwienia wniosku</w:t>
            </w:r>
            <w:r w:rsidRPr="005B0CD2">
              <w:rPr>
                <w:rFonts w:asciiTheme="minorHAnsi" w:hAnsiTheme="minorHAnsi" w:cstheme="minorHAnsi"/>
                <w:color w:val="000000"/>
              </w:rPr>
              <w:t xml:space="preserve"> w tym przedmiocie.</w:t>
            </w:r>
          </w:p>
          <w:p w14:paraId="2D30ACEA"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Jak wskazano w doktrynie: "</w:t>
            </w:r>
            <w:r w:rsidRPr="008F32DB">
              <w:rPr>
                <w:rFonts w:asciiTheme="minorHAnsi" w:hAnsiTheme="minorHAnsi" w:cstheme="minorHAnsi"/>
                <w:b/>
                <w:bCs/>
                <w:i/>
                <w:color w:val="000000"/>
              </w:rPr>
              <w:t>Współczesne wymogi państwa praworządnego wzmacniają rolę tzw. aksjologii proceduralnej (stanowiącej aspekt formuły sprawiedliwości proceduralnej) zarówno w odniesieniu do ogólnych reguł działania organów, jak i do określenia treści poszczególnych działań w procesie decyzyjnym</w:t>
            </w:r>
            <w:r w:rsidRPr="005B0CD2">
              <w:rPr>
                <w:rFonts w:asciiTheme="minorHAnsi" w:hAnsiTheme="minorHAnsi" w:cstheme="minorHAnsi"/>
                <w:i/>
                <w:color w:val="000000"/>
              </w:rPr>
              <w:t>."</w:t>
            </w:r>
            <w:r w:rsidRPr="005B0CD2">
              <w:rPr>
                <w:rFonts w:asciiTheme="minorHAnsi" w:hAnsiTheme="minorHAnsi" w:cstheme="minorHAnsi"/>
                <w:color w:val="000000"/>
              </w:rPr>
              <w:t xml:space="preserve"> (L. Leszczyński w: System Prawa Administracyjnego, Wykładnia w prawie administracyjnym Tom 4, C.H. BECK INP, Warszawa 2012 r., str. 257).</w:t>
            </w:r>
          </w:p>
          <w:p w14:paraId="3F6669FF"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Na akceptację zasługuje zatem stanowisko ukształtowane orzeczeniami sądów, w których przyjęto prokonstytucyjną, systemową i celowościową wykładnię </w:t>
            </w:r>
            <w:r w:rsidRPr="006B452E">
              <w:rPr>
                <w:rFonts w:asciiTheme="minorHAnsi" w:hAnsiTheme="minorHAnsi" w:cstheme="minorHAnsi"/>
                <w:b/>
                <w:bCs/>
                <w:color w:val="000000"/>
              </w:rPr>
              <w:t>art. 73 § 1 k.p.a</w:t>
            </w:r>
            <w:r w:rsidRPr="005B0CD2">
              <w:rPr>
                <w:rFonts w:asciiTheme="minorHAnsi" w:hAnsiTheme="minorHAnsi" w:cstheme="minorHAnsi"/>
                <w:color w:val="000000"/>
              </w:rPr>
              <w:t>. z konkluzją, że w ramach udostępniania akt stronie mieści się sporządzanie przez organ, w sposób wynikający z posiadanych możliwości technicznych i organizacyjnych, kopii dokumentacji zgromadzonej w aktach sprawy.</w:t>
            </w:r>
          </w:p>
          <w:p w14:paraId="56FD1F12"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 xml:space="preserve">Mając na względzie powyższe </w:t>
            </w:r>
            <w:r w:rsidRPr="008F32DB">
              <w:rPr>
                <w:rFonts w:asciiTheme="minorHAnsi" w:hAnsiTheme="minorHAnsi" w:cstheme="minorHAnsi"/>
                <w:b/>
                <w:bCs/>
                <w:color w:val="000000"/>
              </w:rPr>
              <w:t>Naczelny Sąd Administracyjny</w:t>
            </w:r>
            <w:r w:rsidRPr="005B0CD2">
              <w:rPr>
                <w:rFonts w:asciiTheme="minorHAnsi" w:hAnsiTheme="minorHAnsi" w:cstheme="minorHAnsi"/>
                <w:color w:val="000000"/>
              </w:rPr>
              <w:t xml:space="preserve">, na podstawie </w:t>
            </w:r>
            <w:r w:rsidRPr="006B452E">
              <w:rPr>
                <w:rFonts w:asciiTheme="minorHAnsi" w:hAnsiTheme="minorHAnsi" w:cstheme="minorHAnsi"/>
                <w:b/>
                <w:bCs/>
                <w:color w:val="000000"/>
              </w:rPr>
              <w:t>art. 15 § 1 pkt 2</w:t>
            </w:r>
            <w:r w:rsidRPr="005B0CD2">
              <w:rPr>
                <w:rFonts w:asciiTheme="minorHAnsi" w:hAnsiTheme="minorHAnsi" w:cstheme="minorHAnsi"/>
                <w:color w:val="000000"/>
              </w:rPr>
              <w:t xml:space="preserve"> oraz </w:t>
            </w:r>
            <w:r w:rsidRPr="006B452E">
              <w:rPr>
                <w:rFonts w:asciiTheme="minorHAnsi" w:hAnsiTheme="minorHAnsi" w:cstheme="minorHAnsi"/>
                <w:b/>
                <w:bCs/>
                <w:color w:val="000000"/>
              </w:rPr>
              <w:t>art. 264 § 1 i 2 P.p.s.a</w:t>
            </w:r>
            <w:r w:rsidRPr="005B0CD2">
              <w:rPr>
                <w:rFonts w:asciiTheme="minorHAnsi" w:hAnsiTheme="minorHAnsi" w:cstheme="minorHAnsi"/>
                <w:color w:val="000000"/>
              </w:rPr>
              <w:t xml:space="preserve">., </w:t>
            </w:r>
            <w:r w:rsidRPr="008F32DB">
              <w:rPr>
                <w:rFonts w:asciiTheme="minorHAnsi" w:hAnsiTheme="minorHAnsi" w:cstheme="minorHAnsi"/>
                <w:b/>
                <w:bCs/>
                <w:color w:val="000000"/>
              </w:rPr>
              <w:t>orzekł jak w sentencji uchwały</w:t>
            </w:r>
            <w:r w:rsidRPr="005B0CD2">
              <w:rPr>
                <w:rFonts w:asciiTheme="minorHAnsi" w:hAnsiTheme="minorHAnsi" w:cstheme="minorHAnsi"/>
                <w:color w:val="000000"/>
              </w:rPr>
              <w:t>.</w:t>
            </w:r>
          </w:p>
          <w:p w14:paraId="479DE1A9" w14:textId="77777777" w:rsidR="00F34079" w:rsidRPr="005B0CD2" w:rsidRDefault="00F34079" w:rsidP="00F45910">
            <w:pPr>
              <w:pStyle w:val="NormalnyWeb"/>
              <w:spacing w:before="0" w:beforeAutospacing="0" w:after="111" w:afterAutospacing="0" w:line="360" w:lineRule="atLeast"/>
              <w:jc w:val="both"/>
              <w:rPr>
                <w:rFonts w:asciiTheme="minorHAnsi" w:hAnsiTheme="minorHAnsi" w:cstheme="minorHAnsi"/>
                <w:color w:val="000000"/>
              </w:rPr>
            </w:pPr>
            <w:r w:rsidRPr="005B0CD2">
              <w:rPr>
                <w:rFonts w:asciiTheme="minorHAnsi" w:hAnsiTheme="minorHAnsi" w:cstheme="minorHAnsi"/>
                <w:color w:val="000000"/>
              </w:rPr>
              <w:t>C.V.S.</w:t>
            </w:r>
          </w:p>
        </w:tc>
      </w:tr>
      <w:tr w:rsidR="00F34079" w:rsidRPr="00EC4F25" w14:paraId="613CA791" w14:textId="77777777" w:rsidTr="009E76FD">
        <w:trPr>
          <w:tblCellSpacing w:w="5" w:type="dxa"/>
        </w:trPr>
        <w:tc>
          <w:tcPr>
            <w:tcW w:w="10251" w:type="dxa"/>
            <w:gridSpan w:val="3"/>
            <w:tcBorders>
              <w:top w:val="nil"/>
              <w:left w:val="single" w:sz="4" w:space="0" w:color="auto"/>
            </w:tcBorders>
            <w:shd w:val="clear" w:color="auto" w:fill="FFFFFF"/>
            <w:tcMar>
              <w:top w:w="0" w:type="dxa"/>
              <w:left w:w="30" w:type="dxa"/>
              <w:bottom w:w="0" w:type="dxa"/>
              <w:right w:w="0" w:type="dxa"/>
            </w:tcMar>
            <w:hideMark/>
          </w:tcPr>
          <w:p w14:paraId="4C52EA5B" w14:textId="77777777" w:rsidR="00F34079" w:rsidRPr="002D7F0E" w:rsidRDefault="00F34079" w:rsidP="00F45910">
            <w:pPr>
              <w:shd w:val="clear" w:color="auto" w:fill="FFFFFF"/>
              <w:spacing w:after="148"/>
              <w:ind w:right="1114"/>
              <w:jc w:val="both"/>
              <w:rPr>
                <w:rFonts w:cstheme="minorHAnsi"/>
                <w:b/>
                <w:bCs/>
                <w:caps/>
                <w:color w:val="000000"/>
                <w:sz w:val="24"/>
                <w:szCs w:val="24"/>
              </w:rPr>
            </w:pPr>
            <w:r w:rsidRPr="002D7F0E">
              <w:rPr>
                <w:rFonts w:cstheme="minorHAnsi"/>
                <w:b/>
                <w:bCs/>
                <w:caps/>
                <w:color w:val="000000"/>
                <w:sz w:val="24"/>
                <w:szCs w:val="24"/>
              </w:rPr>
              <w:lastRenderedPageBreak/>
              <w:t>ZDANIE ODRĘBNE</w:t>
            </w:r>
          </w:p>
          <w:p w14:paraId="23F581F9"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Zdanie odrębne s. Roberta Sawuły</w:t>
            </w:r>
          </w:p>
          <w:p w14:paraId="1C87E9ED"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i/>
                <w:color w:val="000000"/>
              </w:rPr>
            </w:pPr>
            <w:r w:rsidRPr="00F1398B">
              <w:rPr>
                <w:rFonts w:asciiTheme="minorHAnsi" w:hAnsiTheme="minorHAnsi" w:cstheme="minorHAnsi"/>
                <w:b/>
                <w:bCs/>
                <w:color w:val="000000"/>
              </w:rPr>
              <w:t>A.</w:t>
            </w:r>
            <w:r w:rsidRPr="002D7F0E">
              <w:rPr>
                <w:rFonts w:asciiTheme="minorHAnsi" w:hAnsiTheme="minorHAnsi" w:cstheme="minorHAnsi"/>
                <w:color w:val="000000"/>
              </w:rPr>
              <w:t xml:space="preserve"> Naczelny Sąd Administracyjny podejmując w dniu 8 października 2018 r. w składzie siedmiu sędziów uchwałę I OPS 1/18 rozpoznał na podstawie </w:t>
            </w:r>
            <w:r w:rsidRPr="006B452E">
              <w:rPr>
                <w:rFonts w:asciiTheme="minorHAnsi" w:hAnsiTheme="minorHAnsi" w:cstheme="minorHAnsi"/>
                <w:b/>
                <w:bCs/>
                <w:color w:val="000000"/>
              </w:rPr>
              <w:t>art. 264 § 2</w:t>
            </w:r>
            <w:r w:rsidRPr="002D7F0E">
              <w:rPr>
                <w:rFonts w:asciiTheme="minorHAnsi" w:hAnsiTheme="minorHAnsi" w:cstheme="minorHAnsi"/>
                <w:color w:val="000000"/>
              </w:rPr>
              <w:t xml:space="preserve"> w związku z </w:t>
            </w:r>
            <w:r w:rsidRPr="006B452E">
              <w:rPr>
                <w:rFonts w:asciiTheme="minorHAnsi" w:hAnsiTheme="minorHAnsi" w:cstheme="minorHAnsi"/>
                <w:b/>
                <w:bCs/>
                <w:color w:val="000000"/>
              </w:rPr>
              <w:t>art. 15 § 1 pkt 2</w:t>
            </w:r>
            <w:r w:rsidRPr="002D7F0E">
              <w:rPr>
                <w:rFonts w:asciiTheme="minorHAnsi" w:hAnsiTheme="minorHAnsi" w:cstheme="minorHAnsi"/>
                <w:color w:val="000000"/>
              </w:rPr>
              <w:t xml:space="preserve"> ustawy z dnia 30 sierpnia 2002 r. – Prawo o postępowaniu przed sądami administracyjnymi (tekst jedn. Dz. U. z 2017, poz. 1369 ze zm., </w:t>
            </w:r>
            <w:proofErr w:type="spellStart"/>
            <w:r w:rsidRPr="002D7F0E">
              <w:rPr>
                <w:rFonts w:asciiTheme="minorHAnsi" w:hAnsiTheme="minorHAnsi" w:cstheme="minorHAnsi"/>
                <w:color w:val="000000"/>
              </w:rPr>
              <w:t>Ppsa</w:t>
            </w:r>
            <w:proofErr w:type="spellEnd"/>
            <w:r w:rsidRPr="002D7F0E">
              <w:rPr>
                <w:rFonts w:asciiTheme="minorHAnsi" w:hAnsiTheme="minorHAnsi" w:cstheme="minorHAnsi"/>
                <w:color w:val="000000"/>
              </w:rPr>
              <w:t xml:space="preserve">) w Izbie </w:t>
            </w:r>
            <w:proofErr w:type="spellStart"/>
            <w:r w:rsidRPr="002D7F0E">
              <w:rPr>
                <w:rFonts w:asciiTheme="minorHAnsi" w:hAnsiTheme="minorHAnsi" w:cstheme="minorHAnsi"/>
                <w:color w:val="000000"/>
              </w:rPr>
              <w:t>Ogólnoadministracyjnej</w:t>
            </w:r>
            <w:proofErr w:type="spellEnd"/>
            <w:r w:rsidRPr="002D7F0E">
              <w:rPr>
                <w:rFonts w:asciiTheme="minorHAnsi" w:hAnsiTheme="minorHAnsi" w:cstheme="minorHAnsi"/>
                <w:color w:val="000000"/>
              </w:rPr>
              <w:t xml:space="preserve"> wniosek Rzecznika Praw Obywatelskich, mający na celu wyjaśnienie: "</w:t>
            </w:r>
            <w:r w:rsidRPr="006B452E">
              <w:rPr>
                <w:rFonts w:asciiTheme="minorHAnsi" w:hAnsiTheme="minorHAnsi" w:cstheme="minorHAnsi"/>
                <w:b/>
                <w:bCs/>
                <w:i/>
                <w:color w:val="000000"/>
              </w:rPr>
              <w:t>Czy w ramach udostępnienia akt stronie, na podstawie art. 73 § 1 ustawy z dnia 14 czerwca 1960 r. Kodeks postępowania administracyjnego (tekst jedn. Dz. U. z 2017 r., poz. 1257 ze zm., K.p.a.) mieści się sporządzenie przez organ, w sposób wynikający z posiadanych możliwości technicznych i organizacyjnych, na wniosek strony, kopii dokumentacji zgromadzonej w aktach sprawy</w:t>
            </w:r>
            <w:r w:rsidRPr="002D7F0E">
              <w:rPr>
                <w:rFonts w:asciiTheme="minorHAnsi" w:hAnsiTheme="minorHAnsi" w:cstheme="minorHAnsi"/>
                <w:i/>
                <w:color w:val="000000"/>
              </w:rPr>
              <w:t>?",</w:t>
            </w:r>
            <w:r w:rsidRPr="002D7F0E">
              <w:rPr>
                <w:rFonts w:asciiTheme="minorHAnsi" w:hAnsiTheme="minorHAnsi" w:cstheme="minorHAnsi"/>
                <w:color w:val="000000"/>
              </w:rPr>
              <w:t xml:space="preserve"> udzielając następującej odpowiedzi: "</w:t>
            </w:r>
            <w:r w:rsidRPr="002D7F0E">
              <w:rPr>
                <w:rFonts w:asciiTheme="minorHAnsi" w:hAnsiTheme="minorHAnsi" w:cstheme="minorHAnsi"/>
                <w:i/>
                <w:color w:val="000000"/>
              </w:rPr>
              <w:t xml:space="preserve">W ramach udostępnienia akt stronie na podstawie art. 73 § 1 ustawy z dnia 14 czerwca 1960 r. Kodeks postępowania administracyjnego (tekst jedn. Dz. U. z 2017 r., poz. 1257 ze zm.) mieści się sporządzenie przez organ, w sposób wynikający z </w:t>
            </w:r>
            <w:r w:rsidRPr="002D7F0E">
              <w:rPr>
                <w:rFonts w:asciiTheme="minorHAnsi" w:hAnsiTheme="minorHAnsi" w:cstheme="minorHAnsi"/>
                <w:i/>
                <w:color w:val="000000"/>
              </w:rPr>
              <w:lastRenderedPageBreak/>
              <w:t>jego możliwości technicznych i organizacyjnych, na wniosek strony, kopii dokumentacji zgromadzonej w aktach sprawy".</w:t>
            </w:r>
          </w:p>
          <w:p w14:paraId="2525F2FB"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W konkluzji uchwały przyjęto, że udzielona odpowiedź akceptuje stanowisko ukształtowane orzeczeniami sądów, w których przyjęto prokonstytucyjną, systemową i celowościową wykładnię </w:t>
            </w:r>
            <w:r w:rsidRPr="00D611AB">
              <w:rPr>
                <w:rFonts w:asciiTheme="minorHAnsi" w:hAnsiTheme="minorHAnsi" w:cstheme="minorHAnsi"/>
                <w:b/>
                <w:bCs/>
                <w:color w:val="000000"/>
              </w:rPr>
              <w:t>art. 73 § 1 K.p.a</w:t>
            </w:r>
            <w:r w:rsidRPr="002D7F0E">
              <w:rPr>
                <w:rFonts w:asciiTheme="minorHAnsi" w:hAnsiTheme="minorHAnsi" w:cstheme="minorHAnsi"/>
                <w:color w:val="000000"/>
              </w:rPr>
              <w:t>. w taki sposób, że w ramach udostępniania akt stronie mieści się sporządzanie przez organ, w sposób wynikający z posiadanych możliwości technicznych i organizacyjnych, kopii dokumentacji zgromadzonej w aktach sprawy.</w:t>
            </w:r>
          </w:p>
          <w:p w14:paraId="3BE73E68"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Na podstawie </w:t>
            </w:r>
            <w:r w:rsidRPr="00D611AB">
              <w:rPr>
                <w:rFonts w:asciiTheme="minorHAnsi" w:hAnsiTheme="minorHAnsi" w:cstheme="minorHAnsi"/>
                <w:b/>
                <w:bCs/>
                <w:color w:val="000000"/>
              </w:rPr>
              <w:t>art. 137 § 2</w:t>
            </w:r>
            <w:r w:rsidRPr="002D7F0E">
              <w:rPr>
                <w:rFonts w:asciiTheme="minorHAnsi" w:hAnsiTheme="minorHAnsi" w:cstheme="minorHAnsi"/>
                <w:color w:val="000000"/>
              </w:rPr>
              <w:t xml:space="preserve"> w zw. z </w:t>
            </w:r>
            <w:r w:rsidRPr="00D611AB">
              <w:rPr>
                <w:rFonts w:asciiTheme="minorHAnsi" w:hAnsiTheme="minorHAnsi" w:cstheme="minorHAnsi"/>
                <w:b/>
                <w:bCs/>
                <w:color w:val="000000"/>
              </w:rPr>
              <w:t>art. 193</w:t>
            </w:r>
            <w:r w:rsidRPr="002D7F0E">
              <w:rPr>
                <w:rFonts w:asciiTheme="minorHAnsi" w:hAnsiTheme="minorHAnsi" w:cstheme="minorHAnsi"/>
                <w:color w:val="000000"/>
              </w:rPr>
              <w:t xml:space="preserve"> i </w:t>
            </w:r>
            <w:r w:rsidRPr="00D611AB">
              <w:rPr>
                <w:rFonts w:asciiTheme="minorHAnsi" w:hAnsiTheme="minorHAnsi" w:cstheme="minorHAnsi"/>
                <w:b/>
                <w:bCs/>
                <w:color w:val="000000"/>
              </w:rPr>
              <w:t xml:space="preserve">art. 15 § 1 pkt 2 </w:t>
            </w:r>
            <w:proofErr w:type="spellStart"/>
            <w:r w:rsidRPr="00D611AB">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przy podpisaniu sentencji w/w uchwały nie zgodziłem się z większością i zgłosiłem zdanie odrębne. Nie podzielam stanowiska wyrażonego w sentencji tej uchwały, jak również znaczącej części motywów, wyrażonych w jej uzasadnieniu, z następujących przyczyn:</w:t>
            </w:r>
          </w:p>
          <w:p w14:paraId="3151F09A"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F1398B">
              <w:rPr>
                <w:rFonts w:asciiTheme="minorHAnsi" w:hAnsiTheme="minorHAnsi" w:cstheme="minorHAnsi"/>
                <w:b/>
                <w:bCs/>
                <w:color w:val="000000"/>
              </w:rPr>
              <w:t>B.</w:t>
            </w:r>
            <w:r w:rsidRPr="002D7F0E">
              <w:rPr>
                <w:rFonts w:asciiTheme="minorHAnsi" w:hAnsiTheme="minorHAnsi" w:cstheme="minorHAnsi"/>
                <w:color w:val="000000"/>
              </w:rPr>
              <w:t xml:space="preserve"> Problem podniesiony we wniosku Rzecznika Praw Obywatelskich dotyczy wykładni </w:t>
            </w:r>
            <w:r w:rsidRPr="00F1398B">
              <w:rPr>
                <w:rFonts w:asciiTheme="minorHAnsi" w:hAnsiTheme="minorHAnsi" w:cstheme="minorHAnsi"/>
                <w:b/>
                <w:bCs/>
                <w:color w:val="000000"/>
              </w:rPr>
              <w:t>art. 73 § 1 K.p.a</w:t>
            </w:r>
            <w:r w:rsidRPr="002D7F0E">
              <w:rPr>
                <w:rFonts w:asciiTheme="minorHAnsi" w:hAnsiTheme="minorHAnsi" w:cstheme="minorHAnsi"/>
                <w:color w:val="000000"/>
              </w:rPr>
              <w:t>. zamieszczonego w rozdziale 3 "</w:t>
            </w:r>
            <w:r w:rsidRPr="002D7F0E">
              <w:rPr>
                <w:rFonts w:asciiTheme="minorHAnsi" w:hAnsiTheme="minorHAnsi" w:cstheme="minorHAnsi"/>
                <w:i/>
                <w:color w:val="000000"/>
              </w:rPr>
              <w:t>Udostępnianie akt</w:t>
            </w:r>
            <w:r w:rsidRPr="002D7F0E">
              <w:rPr>
                <w:rFonts w:asciiTheme="minorHAnsi" w:hAnsiTheme="minorHAnsi" w:cstheme="minorHAnsi"/>
                <w:color w:val="000000"/>
              </w:rPr>
              <w:t>" Działu II "</w:t>
            </w:r>
            <w:r w:rsidRPr="002D7F0E">
              <w:rPr>
                <w:rFonts w:asciiTheme="minorHAnsi" w:hAnsiTheme="minorHAnsi" w:cstheme="minorHAnsi"/>
                <w:i/>
                <w:color w:val="000000"/>
              </w:rPr>
              <w:t>Postępowanie</w:t>
            </w:r>
            <w:r w:rsidRPr="002D7F0E">
              <w:rPr>
                <w:rFonts w:asciiTheme="minorHAnsi" w:hAnsiTheme="minorHAnsi" w:cstheme="minorHAnsi"/>
                <w:color w:val="000000"/>
              </w:rPr>
              <w:t xml:space="preserve">". W moim przekonaniu prawidłowa egzegeza tam zawartego unormowania wymaga uwzględnienia kontekstu całości </w:t>
            </w:r>
            <w:r w:rsidRPr="00F1398B">
              <w:rPr>
                <w:rFonts w:asciiTheme="minorHAnsi" w:hAnsiTheme="minorHAnsi" w:cstheme="minorHAnsi"/>
                <w:b/>
                <w:bCs/>
                <w:color w:val="000000"/>
              </w:rPr>
              <w:t>art. 73</w:t>
            </w:r>
            <w:r w:rsidRPr="002D7F0E">
              <w:rPr>
                <w:rFonts w:asciiTheme="minorHAnsi" w:hAnsiTheme="minorHAnsi" w:cstheme="minorHAnsi"/>
                <w:color w:val="000000"/>
              </w:rPr>
              <w:t xml:space="preserve"> tego Kodeksu, w tym także posłużenia się wykładnią historyczną.</w:t>
            </w:r>
          </w:p>
          <w:p w14:paraId="2F880F1A"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W pierwotnej wersji Kodeksu normujący kwestię udostępniania akt </w:t>
            </w:r>
            <w:r w:rsidRPr="00F1398B">
              <w:rPr>
                <w:rFonts w:asciiTheme="minorHAnsi" w:hAnsiTheme="minorHAnsi" w:cstheme="minorHAnsi"/>
                <w:b/>
                <w:bCs/>
                <w:color w:val="000000"/>
              </w:rPr>
              <w:t>art. 68</w:t>
            </w:r>
            <w:r w:rsidRPr="002D7F0E">
              <w:rPr>
                <w:rFonts w:asciiTheme="minorHAnsi" w:hAnsiTheme="minorHAnsi" w:cstheme="minorHAnsi"/>
                <w:color w:val="000000"/>
              </w:rPr>
              <w:t xml:space="preserve"> posiadał następującą treść: "</w:t>
            </w:r>
            <w:r w:rsidRPr="00F1398B">
              <w:rPr>
                <w:rFonts w:asciiTheme="minorHAnsi" w:hAnsiTheme="minorHAnsi" w:cstheme="minorHAnsi"/>
                <w:b/>
                <w:bCs/>
                <w:i/>
                <w:color w:val="000000"/>
              </w:rPr>
              <w:t>W każdym stadium postępowania organ administracji publicznej obowiązany jest umożliwić stronie przeglądanie akt sprawy oraz sporządzanie z nich notatek i odpisów</w:t>
            </w:r>
            <w:r w:rsidRPr="002D7F0E">
              <w:rPr>
                <w:rFonts w:asciiTheme="minorHAnsi" w:hAnsiTheme="minorHAnsi" w:cstheme="minorHAnsi"/>
                <w:color w:val="000000"/>
              </w:rPr>
              <w:t>" (</w:t>
            </w:r>
            <w:r w:rsidRPr="00F1398B">
              <w:rPr>
                <w:rFonts w:asciiTheme="minorHAnsi" w:hAnsiTheme="minorHAnsi" w:cstheme="minorHAnsi"/>
                <w:b/>
                <w:bCs/>
                <w:color w:val="000000"/>
              </w:rPr>
              <w:t>§ 1</w:t>
            </w:r>
            <w:r w:rsidRPr="002D7F0E">
              <w:rPr>
                <w:rFonts w:asciiTheme="minorHAnsi" w:hAnsiTheme="minorHAnsi" w:cstheme="minorHAnsi"/>
                <w:color w:val="000000"/>
              </w:rPr>
              <w:t>), "</w:t>
            </w:r>
            <w:r w:rsidRPr="00F1398B">
              <w:rPr>
                <w:rFonts w:asciiTheme="minorHAnsi" w:hAnsiTheme="minorHAnsi" w:cstheme="minorHAnsi"/>
                <w:b/>
                <w:bCs/>
                <w:i/>
                <w:color w:val="000000"/>
              </w:rPr>
              <w:t>Strona może żądać uwierzytelnienia sporządzonych przez siebie odpisów z akt sprawy lub wydania jej z akt sprawy uwierzytelnionych odpisów, o ile jest to uzasadnione ważnym interesem strony</w:t>
            </w:r>
            <w:r w:rsidRPr="002D7F0E">
              <w:rPr>
                <w:rFonts w:asciiTheme="minorHAnsi" w:hAnsiTheme="minorHAnsi" w:cstheme="minorHAnsi"/>
                <w:i/>
                <w:color w:val="000000"/>
              </w:rPr>
              <w:t>"</w:t>
            </w:r>
            <w:r w:rsidRPr="002D7F0E">
              <w:rPr>
                <w:rFonts w:asciiTheme="minorHAnsi" w:hAnsiTheme="minorHAnsi" w:cstheme="minorHAnsi"/>
                <w:color w:val="000000"/>
              </w:rPr>
              <w:t xml:space="preserve"> (</w:t>
            </w:r>
            <w:r w:rsidRPr="00F1398B">
              <w:rPr>
                <w:rFonts w:asciiTheme="minorHAnsi" w:hAnsiTheme="minorHAnsi" w:cstheme="minorHAnsi"/>
                <w:b/>
                <w:bCs/>
                <w:color w:val="000000"/>
              </w:rPr>
              <w:t>§ 2</w:t>
            </w:r>
            <w:r w:rsidRPr="002D7F0E">
              <w:rPr>
                <w:rFonts w:asciiTheme="minorHAnsi" w:hAnsiTheme="minorHAnsi" w:cstheme="minorHAnsi"/>
                <w:color w:val="000000"/>
              </w:rPr>
              <w:t>). Zatem od samego początku obowiązywania Kodeksu nie ulegało wątpliwości, że uwierzytelnienie odpisów z akt sprawy dotyczyło tylko tych odpisów, które strona dokonywała samodzielnie.</w:t>
            </w:r>
          </w:p>
          <w:p w14:paraId="11B8130B"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Po gruntownej nowelizacji Kodeksu w 1980 r. problematyka udostępniania akt sprawy znalazła unormowanie w </w:t>
            </w:r>
            <w:r w:rsidRPr="00F1398B">
              <w:rPr>
                <w:rFonts w:asciiTheme="minorHAnsi" w:hAnsiTheme="minorHAnsi" w:cstheme="minorHAnsi"/>
                <w:b/>
                <w:bCs/>
                <w:color w:val="000000"/>
              </w:rPr>
              <w:t>art. 73</w:t>
            </w:r>
            <w:r w:rsidRPr="002D7F0E">
              <w:rPr>
                <w:rFonts w:asciiTheme="minorHAnsi" w:hAnsiTheme="minorHAnsi" w:cstheme="minorHAnsi"/>
                <w:color w:val="000000"/>
              </w:rPr>
              <w:t xml:space="preserve"> i </w:t>
            </w:r>
            <w:r w:rsidRPr="00F1398B">
              <w:rPr>
                <w:rFonts w:asciiTheme="minorHAnsi" w:hAnsiTheme="minorHAnsi" w:cstheme="minorHAnsi"/>
                <w:b/>
                <w:bCs/>
                <w:color w:val="000000"/>
              </w:rPr>
              <w:t>74</w:t>
            </w:r>
            <w:r w:rsidRPr="002D7F0E">
              <w:rPr>
                <w:rFonts w:asciiTheme="minorHAnsi" w:hAnsiTheme="minorHAnsi" w:cstheme="minorHAnsi"/>
                <w:color w:val="000000"/>
              </w:rPr>
              <w:t xml:space="preserve">. Do czasu zmiany dokonanej na podstawie </w:t>
            </w:r>
            <w:r w:rsidRPr="00F1398B">
              <w:rPr>
                <w:rFonts w:asciiTheme="minorHAnsi" w:hAnsiTheme="minorHAnsi" w:cstheme="minorHAnsi"/>
                <w:b/>
                <w:bCs/>
                <w:color w:val="000000"/>
              </w:rPr>
              <w:t>art. 1 pkt 14</w:t>
            </w:r>
            <w:r w:rsidRPr="002D7F0E">
              <w:rPr>
                <w:rFonts w:asciiTheme="minorHAnsi" w:hAnsiTheme="minorHAnsi" w:cstheme="minorHAnsi"/>
                <w:color w:val="000000"/>
              </w:rPr>
              <w:t xml:space="preserve"> ustawy z dnia 3 grudnia 2010 r. </w:t>
            </w:r>
            <w:r w:rsidRPr="00F1398B">
              <w:rPr>
                <w:rFonts w:asciiTheme="minorHAnsi" w:hAnsiTheme="minorHAnsi" w:cstheme="minorHAnsi"/>
                <w:b/>
                <w:bCs/>
                <w:color w:val="000000"/>
              </w:rPr>
              <w:t>o zmianie ustawy</w:t>
            </w:r>
            <w:r w:rsidRPr="002D7F0E">
              <w:rPr>
                <w:rFonts w:asciiTheme="minorHAnsi" w:hAnsiTheme="minorHAnsi" w:cstheme="minorHAnsi"/>
                <w:color w:val="000000"/>
              </w:rPr>
              <w:t xml:space="preserve"> - </w:t>
            </w:r>
            <w:r w:rsidRPr="00F1398B">
              <w:rPr>
                <w:rFonts w:asciiTheme="minorHAnsi" w:hAnsiTheme="minorHAnsi" w:cstheme="minorHAnsi"/>
                <w:b/>
                <w:bCs/>
                <w:color w:val="000000"/>
              </w:rPr>
              <w:t>Kodeks postępowania administracyjnego</w:t>
            </w:r>
            <w:r w:rsidRPr="002D7F0E">
              <w:rPr>
                <w:rFonts w:asciiTheme="minorHAnsi" w:hAnsiTheme="minorHAnsi" w:cstheme="minorHAnsi"/>
                <w:color w:val="000000"/>
              </w:rPr>
              <w:t xml:space="preserve"> oraz ustawy - </w:t>
            </w:r>
            <w:r w:rsidRPr="00F1398B">
              <w:rPr>
                <w:rFonts w:asciiTheme="minorHAnsi" w:hAnsiTheme="minorHAnsi" w:cstheme="minorHAnsi"/>
                <w:b/>
                <w:bCs/>
                <w:color w:val="000000"/>
              </w:rPr>
              <w:t>Prawo o postępowaniu przed sądami administracyjnymi</w:t>
            </w:r>
            <w:r w:rsidRPr="002D7F0E">
              <w:rPr>
                <w:rFonts w:asciiTheme="minorHAnsi" w:hAnsiTheme="minorHAnsi" w:cstheme="minorHAnsi"/>
                <w:color w:val="000000"/>
              </w:rPr>
              <w:t xml:space="preserve"> (Dz. U. z 2011 r., Nr 6, poz. 18 ze zm.), </w:t>
            </w:r>
            <w:r w:rsidRPr="00F1398B">
              <w:rPr>
                <w:rFonts w:asciiTheme="minorHAnsi" w:hAnsiTheme="minorHAnsi" w:cstheme="minorHAnsi"/>
                <w:b/>
                <w:bCs/>
                <w:color w:val="000000"/>
              </w:rPr>
              <w:t>art. 73 Kodeksu</w:t>
            </w:r>
            <w:r w:rsidRPr="002D7F0E">
              <w:rPr>
                <w:rFonts w:asciiTheme="minorHAnsi" w:hAnsiTheme="minorHAnsi" w:cstheme="minorHAnsi"/>
                <w:color w:val="000000"/>
              </w:rPr>
              <w:t xml:space="preserve"> w </w:t>
            </w:r>
            <w:r w:rsidRPr="00F1398B">
              <w:rPr>
                <w:rFonts w:asciiTheme="minorHAnsi" w:hAnsiTheme="minorHAnsi" w:cstheme="minorHAnsi"/>
                <w:b/>
                <w:bCs/>
                <w:color w:val="000000"/>
              </w:rPr>
              <w:t>§ 1</w:t>
            </w:r>
            <w:r w:rsidRPr="002D7F0E">
              <w:rPr>
                <w:rFonts w:asciiTheme="minorHAnsi" w:hAnsiTheme="minorHAnsi" w:cstheme="minorHAnsi"/>
                <w:color w:val="000000"/>
              </w:rPr>
              <w:t xml:space="preserve"> określał, że "</w:t>
            </w:r>
            <w:r w:rsidRPr="00F1398B">
              <w:rPr>
                <w:rFonts w:asciiTheme="minorHAnsi" w:hAnsiTheme="minorHAnsi" w:cstheme="minorHAnsi"/>
                <w:b/>
                <w:bCs/>
                <w:i/>
                <w:color w:val="000000"/>
              </w:rPr>
              <w:t>W każdym stadium postępowania organ administracji publicznej obowiązany jest umożliwić stronie przeglądanie akt sprawy oraz sporządzanie z nich notatek i odpisów</w:t>
            </w:r>
            <w:r w:rsidRPr="002D7F0E">
              <w:rPr>
                <w:rFonts w:asciiTheme="minorHAnsi" w:hAnsiTheme="minorHAnsi" w:cstheme="minorHAnsi"/>
                <w:color w:val="000000"/>
              </w:rPr>
              <w:t xml:space="preserve">", zaś w </w:t>
            </w:r>
            <w:r w:rsidRPr="00F1398B">
              <w:rPr>
                <w:rFonts w:asciiTheme="minorHAnsi" w:hAnsiTheme="minorHAnsi" w:cstheme="minorHAnsi"/>
                <w:b/>
                <w:bCs/>
                <w:color w:val="000000"/>
              </w:rPr>
              <w:t>§ 2</w:t>
            </w:r>
            <w:r w:rsidRPr="002D7F0E">
              <w:rPr>
                <w:rFonts w:asciiTheme="minorHAnsi" w:hAnsiTheme="minorHAnsi" w:cstheme="minorHAnsi"/>
                <w:color w:val="000000"/>
              </w:rPr>
              <w:t>, iż "</w:t>
            </w:r>
            <w:r w:rsidRPr="00F1398B">
              <w:rPr>
                <w:rFonts w:asciiTheme="minorHAnsi" w:hAnsiTheme="minorHAnsi" w:cstheme="minorHAnsi"/>
                <w:b/>
                <w:bCs/>
                <w:i/>
                <w:color w:val="000000"/>
              </w:rPr>
              <w:t>Strona może żądać uwierzytelnienia sporządzonych przez siebie odpisów z akt sprawy lub wydania jej z akt sprawy uwierzytelnionych odpisów, o ile jest to uzasadnione ważnym interesem strony</w:t>
            </w:r>
            <w:r w:rsidRPr="002D7F0E">
              <w:rPr>
                <w:rFonts w:asciiTheme="minorHAnsi" w:hAnsiTheme="minorHAnsi" w:cstheme="minorHAnsi"/>
                <w:color w:val="000000"/>
              </w:rPr>
              <w:t>". Nie ulegało przeto wątpliwości, że to stronie pozostawiono możliwość sporządzania z akt sprawy odpisów, zaś organ mógł wydać uwierzytelniony odpis z akt, o ile było to uzasadnione "</w:t>
            </w:r>
            <w:r w:rsidRPr="002D7F0E">
              <w:rPr>
                <w:rFonts w:asciiTheme="minorHAnsi" w:hAnsiTheme="minorHAnsi" w:cstheme="minorHAnsi"/>
                <w:i/>
                <w:color w:val="000000"/>
              </w:rPr>
              <w:t>ważnym interesem strony</w:t>
            </w:r>
            <w:r w:rsidRPr="002D7F0E">
              <w:rPr>
                <w:rFonts w:asciiTheme="minorHAnsi" w:hAnsiTheme="minorHAnsi" w:cstheme="minorHAnsi"/>
                <w:color w:val="000000"/>
              </w:rPr>
              <w:t xml:space="preserve">". Na mocy wyżej wskazanej nowelizacji Kodeksu przepis </w:t>
            </w:r>
            <w:r w:rsidRPr="00F1398B">
              <w:rPr>
                <w:rFonts w:asciiTheme="minorHAnsi" w:hAnsiTheme="minorHAnsi" w:cstheme="minorHAnsi"/>
                <w:b/>
                <w:bCs/>
                <w:color w:val="000000"/>
              </w:rPr>
              <w:t>art. 73 § 1</w:t>
            </w:r>
            <w:r w:rsidRPr="002D7F0E">
              <w:rPr>
                <w:rFonts w:asciiTheme="minorHAnsi" w:hAnsiTheme="minorHAnsi" w:cstheme="minorHAnsi"/>
                <w:color w:val="000000"/>
              </w:rPr>
              <w:t xml:space="preserve"> uzyskał następującą treść "</w:t>
            </w:r>
            <w:r w:rsidRPr="002D7F0E">
              <w:rPr>
                <w:rFonts w:asciiTheme="minorHAnsi" w:hAnsiTheme="minorHAnsi" w:cstheme="minorHAnsi"/>
                <w:i/>
                <w:color w:val="000000"/>
              </w:rPr>
              <w:t>Strona ma prawo wglądu w akta sprawy, sporządzania z nich notatek, kopii lub odpisów. Prawo to przysługuje również po zakończeniu postępowania</w:t>
            </w:r>
            <w:r w:rsidRPr="002D7F0E">
              <w:rPr>
                <w:rFonts w:asciiTheme="minorHAnsi" w:hAnsiTheme="minorHAnsi" w:cstheme="minorHAnsi"/>
                <w:color w:val="000000"/>
              </w:rPr>
              <w:t xml:space="preserve">". Dodano także w </w:t>
            </w:r>
            <w:r w:rsidRPr="00F1398B">
              <w:rPr>
                <w:rFonts w:asciiTheme="minorHAnsi" w:hAnsiTheme="minorHAnsi" w:cstheme="minorHAnsi"/>
                <w:b/>
                <w:bCs/>
                <w:color w:val="000000"/>
              </w:rPr>
              <w:lastRenderedPageBreak/>
              <w:t>art. 73 Kodeksu przepis § 1a</w:t>
            </w:r>
            <w:r w:rsidRPr="002D7F0E">
              <w:rPr>
                <w:rFonts w:asciiTheme="minorHAnsi" w:hAnsiTheme="minorHAnsi" w:cstheme="minorHAnsi"/>
                <w:color w:val="000000"/>
              </w:rPr>
              <w:t xml:space="preserve"> w brzmieniu: "</w:t>
            </w:r>
            <w:r w:rsidRPr="00F1398B">
              <w:rPr>
                <w:rFonts w:asciiTheme="minorHAnsi" w:hAnsiTheme="minorHAnsi" w:cstheme="minorHAnsi"/>
                <w:b/>
                <w:bCs/>
                <w:i/>
                <w:color w:val="000000"/>
              </w:rPr>
              <w:t>Czynności określone w § 1 są dokonywane w lokalu organu administracji publicznej w obecności pracownika tego organu</w:t>
            </w:r>
            <w:r w:rsidRPr="002D7F0E">
              <w:rPr>
                <w:rFonts w:asciiTheme="minorHAnsi" w:hAnsiTheme="minorHAnsi" w:cstheme="minorHAnsi"/>
                <w:color w:val="000000"/>
              </w:rPr>
              <w:t xml:space="preserve">". Zmodyfikowano ponadto treść </w:t>
            </w:r>
            <w:r w:rsidRPr="00F1398B">
              <w:rPr>
                <w:rFonts w:asciiTheme="minorHAnsi" w:hAnsiTheme="minorHAnsi" w:cstheme="minorHAnsi"/>
                <w:b/>
                <w:bCs/>
                <w:color w:val="000000"/>
              </w:rPr>
              <w:t>art. 73 § 2</w:t>
            </w:r>
            <w:r w:rsidRPr="002D7F0E">
              <w:rPr>
                <w:rFonts w:asciiTheme="minorHAnsi" w:hAnsiTheme="minorHAnsi" w:cstheme="minorHAnsi"/>
                <w:color w:val="000000"/>
              </w:rPr>
              <w:t xml:space="preserve"> w ten sposób, że otrzymał on następujące brzmienie: "</w:t>
            </w:r>
            <w:r w:rsidRPr="00F1398B">
              <w:rPr>
                <w:rFonts w:asciiTheme="minorHAnsi" w:hAnsiTheme="minorHAnsi" w:cstheme="minorHAnsi"/>
                <w:b/>
                <w:bCs/>
                <w:i/>
                <w:color w:val="000000"/>
              </w:rPr>
              <w:t>Strona może żądać uwierzytelnienia odpisów lub kopii akt sprawy lub wydania jej z akt sprawy uwierzytelnionych odpisów, o ile jest to uzasadnione ważnym interesem strony</w:t>
            </w:r>
            <w:r w:rsidRPr="002D7F0E">
              <w:rPr>
                <w:rFonts w:asciiTheme="minorHAnsi" w:hAnsiTheme="minorHAnsi" w:cstheme="minorHAnsi"/>
                <w:color w:val="000000"/>
              </w:rPr>
              <w:t xml:space="preserve">". Wypadnie zauważyć, że w </w:t>
            </w:r>
            <w:r w:rsidRPr="00F1398B">
              <w:rPr>
                <w:rFonts w:asciiTheme="minorHAnsi" w:hAnsiTheme="minorHAnsi" w:cstheme="minorHAnsi"/>
                <w:b/>
                <w:bCs/>
                <w:color w:val="000000"/>
              </w:rPr>
              <w:t>projekcie nowelizacji K.p.a. z 2010</w:t>
            </w:r>
            <w:r w:rsidRPr="002D7F0E">
              <w:rPr>
                <w:rFonts w:asciiTheme="minorHAnsi" w:hAnsiTheme="minorHAnsi" w:cstheme="minorHAnsi"/>
                <w:color w:val="000000"/>
              </w:rPr>
              <w:t xml:space="preserve"> w źródłowym przedłożeniu rządowym (druk Nr 2987 z dnia 16 kwietnia 2010 r., Sejm VI kadencji) </w:t>
            </w:r>
            <w:r w:rsidRPr="00F1398B">
              <w:rPr>
                <w:rFonts w:asciiTheme="minorHAnsi" w:hAnsiTheme="minorHAnsi" w:cstheme="minorHAnsi"/>
                <w:b/>
                <w:bCs/>
                <w:color w:val="000000"/>
              </w:rPr>
              <w:t>proponowano zmianę Kodeksu</w:t>
            </w:r>
            <w:r w:rsidRPr="002D7F0E">
              <w:rPr>
                <w:rFonts w:asciiTheme="minorHAnsi" w:hAnsiTheme="minorHAnsi" w:cstheme="minorHAnsi"/>
                <w:color w:val="000000"/>
              </w:rPr>
              <w:t xml:space="preserve">, motywując to m. in. </w:t>
            </w:r>
            <w:r w:rsidRPr="00F1398B">
              <w:rPr>
                <w:rFonts w:asciiTheme="minorHAnsi" w:hAnsiTheme="minorHAnsi" w:cstheme="minorHAnsi"/>
                <w:b/>
                <w:bCs/>
                <w:color w:val="000000"/>
              </w:rPr>
              <w:t>wzorowaniem się na redakcji art. 178 Ordynacji podatkowej</w:t>
            </w:r>
            <w:r w:rsidRPr="002D7F0E">
              <w:rPr>
                <w:rFonts w:asciiTheme="minorHAnsi" w:hAnsiTheme="minorHAnsi" w:cstheme="minorHAnsi"/>
                <w:color w:val="000000"/>
              </w:rPr>
              <w:t xml:space="preserve">, uznając że przepis </w:t>
            </w:r>
            <w:r w:rsidRPr="00F1398B">
              <w:rPr>
                <w:rFonts w:asciiTheme="minorHAnsi" w:hAnsiTheme="minorHAnsi" w:cstheme="minorHAnsi"/>
                <w:b/>
                <w:bCs/>
                <w:color w:val="000000"/>
              </w:rPr>
              <w:t>art. 73 K.p.a</w:t>
            </w:r>
            <w:r w:rsidRPr="002D7F0E">
              <w:rPr>
                <w:rFonts w:asciiTheme="minorHAnsi" w:hAnsiTheme="minorHAnsi" w:cstheme="minorHAnsi"/>
                <w:color w:val="000000"/>
              </w:rPr>
              <w:t xml:space="preserve">. w obecnym brzmieniu nie przystaje do realiów, szczególnie w zakresie postępu technicznego (nie przewiduje możliwości sporządzania kopii z akt sprawy). Warto jednak również zauważyć, że </w:t>
            </w:r>
            <w:r w:rsidRPr="00F1398B">
              <w:rPr>
                <w:rFonts w:asciiTheme="minorHAnsi" w:hAnsiTheme="minorHAnsi" w:cstheme="minorHAnsi"/>
                <w:b/>
                <w:bCs/>
                <w:color w:val="000000"/>
              </w:rPr>
              <w:t>w wyniku przyjęcia poprawki Senatu</w:t>
            </w:r>
            <w:r w:rsidRPr="002D7F0E">
              <w:rPr>
                <w:rFonts w:asciiTheme="minorHAnsi" w:hAnsiTheme="minorHAnsi" w:cstheme="minorHAnsi"/>
                <w:color w:val="000000"/>
              </w:rPr>
              <w:t xml:space="preserve"> (druk nr 3633, uchwała Senatu z dnia 25 listopada 2010 r., Senat VI kadencji) zmieniono treść rządowego projektu nowelizacji </w:t>
            </w:r>
            <w:r w:rsidRPr="00F1398B">
              <w:rPr>
                <w:rFonts w:asciiTheme="minorHAnsi" w:hAnsiTheme="minorHAnsi" w:cstheme="minorHAnsi"/>
                <w:b/>
                <w:bCs/>
                <w:color w:val="000000"/>
              </w:rPr>
              <w:t>art. 73 K.p.a</w:t>
            </w:r>
            <w:r w:rsidRPr="002D7F0E">
              <w:rPr>
                <w:rFonts w:asciiTheme="minorHAnsi" w:hAnsiTheme="minorHAnsi" w:cstheme="minorHAnsi"/>
                <w:color w:val="000000"/>
              </w:rPr>
              <w:t xml:space="preserve">., nadto zmieniono treść </w:t>
            </w:r>
            <w:r w:rsidRPr="00F1398B">
              <w:rPr>
                <w:rFonts w:asciiTheme="minorHAnsi" w:hAnsiTheme="minorHAnsi" w:cstheme="minorHAnsi"/>
                <w:b/>
                <w:bCs/>
                <w:color w:val="000000"/>
              </w:rPr>
              <w:t>art. 74 § 2</w:t>
            </w:r>
            <w:r w:rsidRPr="002D7F0E">
              <w:rPr>
                <w:rFonts w:asciiTheme="minorHAnsi" w:hAnsiTheme="minorHAnsi" w:cstheme="minorHAnsi"/>
                <w:color w:val="000000"/>
              </w:rPr>
              <w:t xml:space="preserve"> tego Kodeksu. W uzasadnieniu tych poprawek senackich wyraźnie wyłuszczono, że na podstawie </w:t>
            </w:r>
            <w:r w:rsidRPr="00F1398B">
              <w:rPr>
                <w:rFonts w:asciiTheme="minorHAnsi" w:hAnsiTheme="minorHAnsi" w:cstheme="minorHAnsi"/>
                <w:b/>
                <w:bCs/>
                <w:color w:val="000000"/>
              </w:rPr>
              <w:t>art. 73 K.p.a</w:t>
            </w:r>
            <w:r w:rsidRPr="002D7F0E">
              <w:rPr>
                <w:rFonts w:asciiTheme="minorHAnsi" w:hAnsiTheme="minorHAnsi" w:cstheme="minorHAnsi"/>
                <w:color w:val="000000"/>
              </w:rPr>
              <w:t>. strona uzyskuje prawo do sporządzania i żądania uwierzytelnienia kopii akt sprawy. Wyraźnie przeto w toku prac legislacyjnych utożsamiano wprowadzoną zmianę z prawem strony do sporządzenia przez nią kopii akt sprawy i ewentualnie ich uwierzytelnienia przez organ administracji publicznej.</w:t>
            </w:r>
          </w:p>
          <w:p w14:paraId="5DBF421E"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Wprowadzone zmiany, poza wyeksponowaniem prawa strony w aspekcie udostępniania akt także po zakończeniu postępowania, sprowadzały się do egzemplifikacji czynności składających się na to prawo, w ramach których </w:t>
            </w:r>
            <w:r w:rsidRPr="00F1398B">
              <w:rPr>
                <w:rFonts w:asciiTheme="minorHAnsi" w:hAnsiTheme="minorHAnsi" w:cstheme="minorHAnsi"/>
                <w:b/>
                <w:bCs/>
                <w:color w:val="000000"/>
              </w:rPr>
              <w:t>dodano możliwość sporządzania z akt kopii i ich uwierzytelnienia</w:t>
            </w:r>
            <w:r w:rsidRPr="002D7F0E">
              <w:rPr>
                <w:rFonts w:asciiTheme="minorHAnsi" w:hAnsiTheme="minorHAnsi" w:cstheme="minorHAnsi"/>
                <w:color w:val="000000"/>
              </w:rPr>
              <w:t xml:space="preserve">, a także usunięcia uprzednio już sygnalizowanego w dawniejszej literaturze przedmiotu (por. np. Z. Janowicz, Kodeks postępowania administracyjnego, Komentarz, Warszawa-Poznań 1987, s. 17-171) </w:t>
            </w:r>
            <w:r w:rsidRPr="00F1398B">
              <w:rPr>
                <w:rFonts w:asciiTheme="minorHAnsi" w:hAnsiTheme="minorHAnsi" w:cstheme="minorHAnsi"/>
                <w:b/>
                <w:bCs/>
                <w:color w:val="000000"/>
              </w:rPr>
              <w:t>braku normy wyraźnie określającej miejsce dokonywania czynności</w:t>
            </w:r>
            <w:r w:rsidRPr="002D7F0E">
              <w:rPr>
                <w:rFonts w:asciiTheme="minorHAnsi" w:hAnsiTheme="minorHAnsi" w:cstheme="minorHAnsi"/>
                <w:color w:val="000000"/>
              </w:rPr>
              <w:t xml:space="preserve"> w ramach udostępniania akt oraz warunku zapewnienia ich integralności. Ten ostatni aspekt wyraża się w przepisie </w:t>
            </w:r>
            <w:r w:rsidRPr="00F1398B">
              <w:rPr>
                <w:rFonts w:asciiTheme="minorHAnsi" w:hAnsiTheme="minorHAnsi" w:cstheme="minorHAnsi"/>
                <w:b/>
                <w:bCs/>
                <w:color w:val="000000"/>
              </w:rPr>
              <w:t>art. 73 § 1a K.p.a</w:t>
            </w:r>
            <w:r w:rsidRPr="002D7F0E">
              <w:rPr>
                <w:rFonts w:asciiTheme="minorHAnsi" w:hAnsiTheme="minorHAnsi" w:cstheme="minorHAnsi"/>
                <w:color w:val="000000"/>
              </w:rPr>
              <w:t xml:space="preserve">. W uchwale powyższemu przepisowi </w:t>
            </w:r>
            <w:r w:rsidRPr="00F1398B">
              <w:rPr>
                <w:rFonts w:asciiTheme="minorHAnsi" w:hAnsiTheme="minorHAnsi" w:cstheme="minorHAnsi"/>
                <w:b/>
                <w:bCs/>
                <w:color w:val="000000"/>
              </w:rPr>
              <w:t>nie poświęcono większej uwagi</w:t>
            </w:r>
            <w:r w:rsidRPr="002D7F0E">
              <w:rPr>
                <w:rFonts w:asciiTheme="minorHAnsi" w:hAnsiTheme="minorHAnsi" w:cstheme="minorHAnsi"/>
                <w:color w:val="000000"/>
              </w:rPr>
              <w:t>, postrzegając go jako normę określającą "</w:t>
            </w:r>
            <w:r w:rsidRPr="00F1398B">
              <w:rPr>
                <w:rFonts w:asciiTheme="minorHAnsi" w:hAnsiTheme="minorHAnsi" w:cstheme="minorHAnsi"/>
                <w:b/>
                <w:bCs/>
                <w:i/>
                <w:color w:val="000000"/>
              </w:rPr>
              <w:t>techniczne warunki wykonywania czynności</w:t>
            </w:r>
            <w:r w:rsidRPr="002D7F0E">
              <w:rPr>
                <w:rFonts w:asciiTheme="minorHAnsi" w:hAnsiTheme="minorHAnsi" w:cstheme="minorHAnsi"/>
                <w:color w:val="000000"/>
              </w:rPr>
              <w:t xml:space="preserve">", o których mowa w </w:t>
            </w:r>
            <w:r w:rsidRPr="00F1398B">
              <w:rPr>
                <w:rFonts w:asciiTheme="minorHAnsi" w:hAnsiTheme="minorHAnsi" w:cstheme="minorHAnsi"/>
                <w:b/>
                <w:bCs/>
                <w:color w:val="000000"/>
              </w:rPr>
              <w:t>art. 73 § 1 K.p.a</w:t>
            </w:r>
            <w:r w:rsidRPr="002D7F0E">
              <w:rPr>
                <w:rFonts w:asciiTheme="minorHAnsi" w:hAnsiTheme="minorHAnsi" w:cstheme="minorHAnsi"/>
                <w:color w:val="000000"/>
              </w:rPr>
              <w:t xml:space="preserve">. </w:t>
            </w:r>
            <w:r w:rsidRPr="00F1398B">
              <w:rPr>
                <w:rFonts w:asciiTheme="minorHAnsi" w:hAnsiTheme="minorHAnsi" w:cstheme="minorHAnsi"/>
                <w:b/>
                <w:bCs/>
                <w:color w:val="000000"/>
              </w:rPr>
              <w:t>Tymczasem</w:t>
            </w:r>
            <w:r w:rsidRPr="002D7F0E">
              <w:rPr>
                <w:rFonts w:asciiTheme="minorHAnsi" w:hAnsiTheme="minorHAnsi" w:cstheme="minorHAnsi"/>
                <w:color w:val="000000"/>
              </w:rPr>
              <w:t xml:space="preserve">, w moim przekonaniu, przepis </w:t>
            </w:r>
            <w:r w:rsidRPr="00F1398B">
              <w:rPr>
                <w:rFonts w:asciiTheme="minorHAnsi" w:hAnsiTheme="minorHAnsi" w:cstheme="minorHAnsi"/>
                <w:b/>
                <w:bCs/>
                <w:color w:val="000000"/>
              </w:rPr>
              <w:t>art. 73 § 1a K.p.a. ma kapitalne znaczenie dla udzielenia poprawnej odpowiedzi na wniosek Rzecznika</w:t>
            </w:r>
            <w:r w:rsidRPr="002D7F0E">
              <w:rPr>
                <w:rFonts w:asciiTheme="minorHAnsi" w:hAnsiTheme="minorHAnsi" w:cstheme="minorHAnsi"/>
                <w:color w:val="000000"/>
              </w:rPr>
              <w:t>.</w:t>
            </w:r>
          </w:p>
          <w:p w14:paraId="0D5870CA"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F1398B">
              <w:rPr>
                <w:rFonts w:asciiTheme="minorHAnsi" w:hAnsiTheme="minorHAnsi" w:cstheme="minorHAnsi"/>
                <w:b/>
                <w:bCs/>
                <w:color w:val="000000"/>
              </w:rPr>
              <w:t>C.</w:t>
            </w:r>
            <w:r w:rsidRPr="002D7F0E">
              <w:rPr>
                <w:rFonts w:asciiTheme="minorHAnsi" w:hAnsiTheme="minorHAnsi" w:cstheme="minorHAnsi"/>
                <w:color w:val="000000"/>
              </w:rPr>
              <w:t xml:space="preserve"> Nie ulega wątpliwości, że przewidziane w </w:t>
            </w:r>
            <w:r w:rsidRPr="00F1398B">
              <w:rPr>
                <w:rFonts w:asciiTheme="minorHAnsi" w:hAnsiTheme="minorHAnsi" w:cstheme="minorHAnsi"/>
                <w:b/>
                <w:bCs/>
                <w:color w:val="000000"/>
              </w:rPr>
              <w:t>art. 73 § 1 K.p.a</w:t>
            </w:r>
            <w:r w:rsidRPr="002D7F0E">
              <w:rPr>
                <w:rFonts w:asciiTheme="minorHAnsi" w:hAnsiTheme="minorHAnsi" w:cstheme="minorHAnsi"/>
                <w:color w:val="000000"/>
              </w:rPr>
              <w:t xml:space="preserve">. postaci uprawnień strony mają charakter zbiorczy, składający się na różne formy takich czynności strony, które łącznie stanowią formułę obowiązku organu w aspekcie udostępniania akt sprawy. Zdaniem G. </w:t>
            </w:r>
            <w:proofErr w:type="spellStart"/>
            <w:r w:rsidRPr="002D7F0E">
              <w:rPr>
                <w:rFonts w:asciiTheme="minorHAnsi" w:hAnsiTheme="minorHAnsi" w:cstheme="minorHAnsi"/>
                <w:color w:val="000000"/>
              </w:rPr>
              <w:t>Łaszczycy</w:t>
            </w:r>
            <w:proofErr w:type="spellEnd"/>
            <w:r w:rsidRPr="002D7F0E">
              <w:rPr>
                <w:rFonts w:asciiTheme="minorHAnsi" w:hAnsiTheme="minorHAnsi" w:cstheme="minorHAnsi"/>
                <w:color w:val="000000"/>
              </w:rPr>
              <w:t xml:space="preserve"> kodeksowy katalog uprawnień w zakresie dostępu do akt sprawy ma charakter wyczerpujący, w granicach tej regulacji strona nie może zatem domagać się zrealizowania innego uprawnienia, np. sporządzenia kopii (nieuwierzytelnionych) z akt sprawy przez organ administracji publicznej. Autor ten podkreśla, że ewentualne sporządzenie takich kopii nie ma podstawy prawnej i nie stanowi jej w szczególności przepis </w:t>
            </w:r>
            <w:r w:rsidRPr="00F1398B">
              <w:rPr>
                <w:rFonts w:asciiTheme="minorHAnsi" w:hAnsiTheme="minorHAnsi" w:cstheme="minorHAnsi"/>
                <w:b/>
                <w:bCs/>
                <w:color w:val="000000"/>
              </w:rPr>
              <w:t>art. 8 K.p.a</w:t>
            </w:r>
            <w:r w:rsidRPr="002D7F0E">
              <w:rPr>
                <w:rFonts w:asciiTheme="minorHAnsi" w:hAnsiTheme="minorHAnsi" w:cstheme="minorHAnsi"/>
                <w:color w:val="000000"/>
              </w:rPr>
              <w:t xml:space="preserve">. (zasada prowadzenia </w:t>
            </w:r>
            <w:r w:rsidRPr="002D7F0E">
              <w:rPr>
                <w:rFonts w:asciiTheme="minorHAnsi" w:hAnsiTheme="minorHAnsi" w:cstheme="minorHAnsi"/>
                <w:color w:val="000000"/>
              </w:rPr>
              <w:lastRenderedPageBreak/>
              <w:t>postępowania w sposób budzący zaufanie uczestników postępowania do władzy publicznej) (por. G. Łaszczyca, Akta sprawy w ogólnym postępowaniu administracyjnym, Warszawa 2014, s. 209, op. cit.). Do tego poglądu doktrynalnego przyłączam się.</w:t>
            </w:r>
          </w:p>
          <w:p w14:paraId="14EB9A7A"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Językowa wykładnia </w:t>
            </w:r>
            <w:r w:rsidRPr="00F1398B">
              <w:rPr>
                <w:rFonts w:asciiTheme="minorHAnsi" w:hAnsiTheme="minorHAnsi" w:cstheme="minorHAnsi"/>
                <w:b/>
                <w:bCs/>
                <w:color w:val="000000"/>
              </w:rPr>
              <w:t>art. 73 § 1 K.p.a.</w:t>
            </w:r>
            <w:r w:rsidRPr="002D7F0E">
              <w:rPr>
                <w:rFonts w:asciiTheme="minorHAnsi" w:hAnsiTheme="minorHAnsi" w:cstheme="minorHAnsi"/>
                <w:color w:val="000000"/>
              </w:rPr>
              <w:t xml:space="preserve"> wskazuje, że w przepisie tym mowa jest wyłącznie o prawach strony, realizowanych w formie następujących czynności: wglądu w akta sprawy, sporządzenia z nich notatek, sporządzenia z nich kopii oraz sporządzenia z nich odpisów. Rolą organu jest wyłącznie umożliwienie (zapewnienie) realizacji takich uprawnień, nie zaś wyręczanie strony w ich realizacji. Wyraźnie taki wniosek można wyciągnąć chociażby z motywów nowelizacji przepisu </w:t>
            </w:r>
            <w:r w:rsidRPr="00F1398B">
              <w:rPr>
                <w:rFonts w:asciiTheme="minorHAnsi" w:hAnsiTheme="minorHAnsi" w:cstheme="minorHAnsi"/>
                <w:b/>
                <w:bCs/>
                <w:color w:val="000000"/>
              </w:rPr>
              <w:t>art. 73 § 3 K.p.a</w:t>
            </w:r>
            <w:r w:rsidRPr="002D7F0E">
              <w:rPr>
                <w:rFonts w:asciiTheme="minorHAnsi" w:hAnsiTheme="minorHAnsi" w:cstheme="minorHAnsi"/>
                <w:color w:val="000000"/>
              </w:rPr>
              <w:t xml:space="preserve">. Ustawą z dnia 10 stycznia 2014 r. </w:t>
            </w:r>
            <w:r w:rsidRPr="00F1398B">
              <w:rPr>
                <w:rFonts w:asciiTheme="minorHAnsi" w:hAnsiTheme="minorHAnsi" w:cstheme="minorHAnsi"/>
                <w:b/>
                <w:bCs/>
                <w:color w:val="000000"/>
              </w:rPr>
              <w:t>o zmianie ustawy o informatyzacji działalności podmiotów realizujących zadania publiczne oraz niektórych innych ustaw</w:t>
            </w:r>
            <w:r w:rsidRPr="002D7F0E">
              <w:rPr>
                <w:rFonts w:asciiTheme="minorHAnsi" w:hAnsiTheme="minorHAnsi" w:cstheme="minorHAnsi"/>
                <w:color w:val="000000"/>
              </w:rPr>
              <w:t xml:space="preserve"> (Dz. U. z 2014 r., poz. 183) art. 73 § 3 otrzymał brzmienie: "</w:t>
            </w:r>
            <w:r w:rsidRPr="00F1398B">
              <w:rPr>
                <w:rFonts w:asciiTheme="minorHAnsi" w:hAnsiTheme="minorHAnsi" w:cstheme="minorHAnsi"/>
                <w:b/>
                <w:bCs/>
                <w:i/>
                <w:color w:val="000000"/>
              </w:rPr>
              <w:t>Organ administracji publicznej może zapewnić stronie dokonanie czynności, o których mowa w § 1, w swoim systemie teleinformatycznym, po identyfikacji strony w sposób określony w art. 20a ust. 1 albo 2 ustawy z dnia 17 lutego 2005 r. o informatyzacji działalności podmiotów realizujących zadania publiczne</w:t>
            </w:r>
            <w:r w:rsidRPr="002D7F0E">
              <w:rPr>
                <w:rFonts w:asciiTheme="minorHAnsi" w:hAnsiTheme="minorHAnsi" w:cstheme="minorHAnsi"/>
                <w:color w:val="000000"/>
              </w:rPr>
              <w:t>". W uzasadnieniu projektu powyższej ustawy (druk Nr 1637 z dnia 21 sierpnia 2013 r., Sejm VII Kadencja) wskazano, że: "</w:t>
            </w:r>
            <w:r w:rsidRPr="00F1398B">
              <w:rPr>
                <w:rFonts w:asciiTheme="minorHAnsi" w:hAnsiTheme="minorHAnsi" w:cstheme="minorHAnsi"/>
                <w:b/>
                <w:bCs/>
                <w:i/>
                <w:color w:val="000000"/>
              </w:rPr>
              <w:t>W art. 73 § 3 K.p.a. rozszerza się zakres elektronicznego wglądu w akta sprawy. W obecnym stanie prawnym dostęp on-line do akt sprawy zawężony pozostaje jedynie do</w:t>
            </w:r>
            <w:r w:rsidRPr="00F1398B">
              <w:rPr>
                <w:rFonts w:asciiTheme="minorHAnsi" w:hAnsiTheme="minorHAnsi" w:cstheme="minorHAnsi"/>
                <w:b/>
                <w:bCs/>
                <w:color w:val="000000"/>
              </w:rPr>
              <w:t xml:space="preserve"> "</w:t>
            </w:r>
            <w:r w:rsidRPr="00F1398B">
              <w:rPr>
                <w:rFonts w:asciiTheme="minorHAnsi" w:hAnsiTheme="minorHAnsi" w:cstheme="minorHAnsi"/>
                <w:b/>
                <w:bCs/>
                <w:i/>
                <w:color w:val="000000"/>
              </w:rPr>
              <w:t>pism w formie dokumentu elektronicznego wnoszonych do organu administracji publicznej lub przez niego doręczanych. Wyłącza to możliwość zapewnienia dostępu w pozostałym zakresie akt sprawy, w tym elektronicznego dostępu do metryki sprawy (art. 66a K.p.a.). Projekt nowelizacji dopuszcza elektroniczny wgląd w akta sprawy w pełnym zakresie, co zwalnia obywatela z konieczności stawiania się w siedzibie organu w celu realizacji tego uprawnienia</w:t>
            </w:r>
            <w:r w:rsidRPr="002D7F0E">
              <w:rPr>
                <w:rFonts w:asciiTheme="minorHAnsi" w:hAnsiTheme="minorHAnsi" w:cstheme="minorHAnsi"/>
                <w:color w:val="000000"/>
              </w:rPr>
              <w:t xml:space="preserve">" – </w:t>
            </w:r>
            <w:proofErr w:type="spellStart"/>
            <w:r w:rsidRPr="002D7F0E">
              <w:rPr>
                <w:rFonts w:asciiTheme="minorHAnsi" w:hAnsiTheme="minorHAnsi" w:cstheme="minorHAnsi"/>
                <w:color w:val="000000"/>
              </w:rPr>
              <w:t>podkr</w:t>
            </w:r>
            <w:proofErr w:type="spellEnd"/>
            <w:r w:rsidRPr="002D7F0E">
              <w:rPr>
                <w:rFonts w:asciiTheme="minorHAnsi" w:hAnsiTheme="minorHAnsi" w:cstheme="minorHAnsi"/>
                <w:color w:val="000000"/>
              </w:rPr>
              <w:t xml:space="preserve">. R.S. Innymi słowy, ustawodawca w przepisie </w:t>
            </w:r>
            <w:r w:rsidRPr="00F1398B">
              <w:rPr>
                <w:rFonts w:asciiTheme="minorHAnsi" w:hAnsiTheme="minorHAnsi" w:cstheme="minorHAnsi"/>
                <w:b/>
                <w:bCs/>
                <w:color w:val="000000"/>
              </w:rPr>
              <w:t>art. 73 § 3 K.p.a</w:t>
            </w:r>
            <w:r w:rsidRPr="002D7F0E">
              <w:rPr>
                <w:rFonts w:asciiTheme="minorHAnsi" w:hAnsiTheme="minorHAnsi" w:cstheme="minorHAnsi"/>
                <w:color w:val="000000"/>
              </w:rPr>
              <w:t xml:space="preserve">. określił sposób zapewnienia stronie dokonywania przez nią czynności, o których mowa w </w:t>
            </w:r>
            <w:r w:rsidRPr="00F1398B">
              <w:rPr>
                <w:rFonts w:asciiTheme="minorHAnsi" w:hAnsiTheme="minorHAnsi" w:cstheme="minorHAnsi"/>
                <w:b/>
                <w:bCs/>
                <w:color w:val="000000"/>
              </w:rPr>
              <w:t>art. 73 § 1</w:t>
            </w:r>
            <w:r w:rsidRPr="002D7F0E">
              <w:rPr>
                <w:rFonts w:asciiTheme="minorHAnsi" w:hAnsiTheme="minorHAnsi" w:cstheme="minorHAnsi"/>
                <w:color w:val="000000"/>
              </w:rPr>
              <w:t xml:space="preserve"> Kodeksu. Aktualnie </w:t>
            </w:r>
            <w:r w:rsidRPr="00F1398B">
              <w:rPr>
                <w:rFonts w:asciiTheme="minorHAnsi" w:hAnsiTheme="minorHAnsi" w:cstheme="minorHAnsi"/>
                <w:b/>
                <w:bCs/>
                <w:color w:val="000000"/>
              </w:rPr>
              <w:t>art. 73 § 3 K.p.a</w:t>
            </w:r>
            <w:r w:rsidRPr="002D7F0E">
              <w:rPr>
                <w:rFonts w:asciiTheme="minorHAnsi" w:hAnsiTheme="minorHAnsi" w:cstheme="minorHAnsi"/>
                <w:color w:val="000000"/>
              </w:rPr>
              <w:t>. określa, że "</w:t>
            </w:r>
            <w:r w:rsidRPr="00F1398B">
              <w:rPr>
                <w:rFonts w:asciiTheme="minorHAnsi" w:hAnsiTheme="minorHAnsi" w:cstheme="minorHAnsi"/>
                <w:b/>
                <w:bCs/>
                <w:i/>
                <w:color w:val="000000"/>
              </w:rPr>
              <w:t>Organ administracji publicznej może zapewnić stronie dokonanie czynności, o których mowa w § 1, w swoim systemie teleinformatycznym, po uwierzytelnieniu strony w sposób określony w art. 20a ust. 1 albo 2 ustawy z dnia 17 lutego 2005 r. o informatyzacji działalności podmiotów realizujących zadania publiczne</w:t>
            </w:r>
            <w:r w:rsidRPr="002D7F0E">
              <w:rPr>
                <w:rFonts w:asciiTheme="minorHAnsi" w:hAnsiTheme="minorHAnsi" w:cstheme="minorHAnsi"/>
                <w:color w:val="000000"/>
              </w:rPr>
              <w:t>".</w:t>
            </w:r>
          </w:p>
          <w:p w14:paraId="2D91EA6D"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Dodatkowo warto także pamiętać, że podobne co strona prawa dostępu do akt sprawy posiada także mediator w postępowaniu administracyjnym, z </w:t>
            </w:r>
            <w:r w:rsidRPr="0002376D">
              <w:rPr>
                <w:rFonts w:asciiTheme="minorHAnsi" w:hAnsiTheme="minorHAnsi" w:cstheme="minorHAnsi"/>
                <w:b/>
                <w:bCs/>
                <w:color w:val="000000"/>
              </w:rPr>
              <w:t>art. 96i § 1 K.p.a</w:t>
            </w:r>
            <w:r w:rsidRPr="002D7F0E">
              <w:rPr>
                <w:rFonts w:asciiTheme="minorHAnsi" w:hAnsiTheme="minorHAnsi" w:cstheme="minorHAnsi"/>
                <w:color w:val="000000"/>
              </w:rPr>
              <w:t>. wynika, że ma on prawo do sporządzania z akt sprawy notatek, kopii lub odpisów, z tym że uwarunkowane jest to brakiem odmowy zgody strony na zapoznanie się mediatora z aktami. Gdyby przyjąć kierunek prezentowany w uchwale, w konsekwencji należałoby także opowiedzieć się za tym, że i mediator mógłby oczekiwać od organu sporządzenia na swój wniosek kopii akt sprawy, np. z powodu braku dostępu do "</w:t>
            </w:r>
            <w:r w:rsidRPr="002D7F0E">
              <w:rPr>
                <w:rFonts w:asciiTheme="minorHAnsi" w:hAnsiTheme="minorHAnsi" w:cstheme="minorHAnsi"/>
                <w:i/>
                <w:color w:val="000000"/>
              </w:rPr>
              <w:t>najnowocześniejszych</w:t>
            </w:r>
            <w:r w:rsidRPr="002D7F0E">
              <w:rPr>
                <w:rFonts w:asciiTheme="minorHAnsi" w:hAnsiTheme="minorHAnsi" w:cstheme="minorHAnsi"/>
                <w:color w:val="000000"/>
              </w:rPr>
              <w:t xml:space="preserve">" urządzeń kopiujących. Mediator mógłby być osobiście zainteresowany w przerzuceniu na organ konsekwencji finansowych sporządzenia kopii akt sprawy, skoro w </w:t>
            </w:r>
            <w:r w:rsidRPr="0002376D">
              <w:rPr>
                <w:rFonts w:asciiTheme="minorHAnsi" w:hAnsiTheme="minorHAnsi" w:cstheme="minorHAnsi"/>
                <w:b/>
                <w:bCs/>
                <w:color w:val="000000"/>
              </w:rPr>
              <w:t>§ 3 rozporządzenia</w:t>
            </w:r>
            <w:r w:rsidRPr="002D7F0E">
              <w:rPr>
                <w:rFonts w:asciiTheme="minorHAnsi" w:hAnsiTheme="minorHAnsi" w:cstheme="minorHAnsi"/>
                <w:color w:val="000000"/>
              </w:rPr>
              <w:t xml:space="preserve"> Ministra Spraw Wewnętrznych i </w:t>
            </w:r>
            <w:r w:rsidRPr="002D7F0E">
              <w:rPr>
                <w:rFonts w:asciiTheme="minorHAnsi" w:hAnsiTheme="minorHAnsi" w:cstheme="minorHAnsi"/>
                <w:color w:val="000000"/>
              </w:rPr>
              <w:lastRenderedPageBreak/>
              <w:t xml:space="preserve">Administracji z dnia 2 czerwca 2017 r. </w:t>
            </w:r>
            <w:r w:rsidRPr="0002376D">
              <w:rPr>
                <w:rFonts w:asciiTheme="minorHAnsi" w:hAnsiTheme="minorHAnsi" w:cstheme="minorHAnsi"/>
                <w:b/>
                <w:bCs/>
                <w:color w:val="000000"/>
              </w:rPr>
              <w:t>w sprawie wysokości wynagrodzenia i podlegających zwrotowi wydatków mediatora w postępowaniu administracyjnym</w:t>
            </w:r>
            <w:r w:rsidRPr="002D7F0E">
              <w:rPr>
                <w:rFonts w:asciiTheme="minorHAnsi" w:hAnsiTheme="minorHAnsi" w:cstheme="minorHAnsi"/>
                <w:color w:val="000000"/>
              </w:rPr>
              <w:t xml:space="preserve"> (Dz. U. z 2017 r., poz. 1088) nie przewidziano, aby koszty sporządzenia kopii akt sprawy przez mediatora podlegały zwrotowi na jego rzecz. Również i ta kwestia nie została wzięta pod rozwagę.</w:t>
            </w:r>
          </w:p>
          <w:p w14:paraId="51DB229A" w14:textId="3DC119C9"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02376D">
              <w:rPr>
                <w:rFonts w:asciiTheme="minorHAnsi" w:hAnsiTheme="minorHAnsi" w:cstheme="minorHAnsi"/>
                <w:b/>
                <w:bCs/>
                <w:color w:val="000000"/>
              </w:rPr>
              <w:t>D.</w:t>
            </w:r>
            <w:r w:rsidRPr="002D7F0E">
              <w:rPr>
                <w:rFonts w:asciiTheme="minorHAnsi" w:hAnsiTheme="minorHAnsi" w:cstheme="minorHAnsi"/>
                <w:color w:val="000000"/>
              </w:rPr>
              <w:t xml:space="preserve"> Nie mogę oprzeć się wrażeniu, że podejmując uchwałę I OPS 1/18 umknęła uwadze większości treść </w:t>
            </w:r>
            <w:r w:rsidRPr="0002376D">
              <w:rPr>
                <w:rFonts w:asciiTheme="minorHAnsi" w:hAnsiTheme="minorHAnsi" w:cstheme="minorHAnsi"/>
                <w:b/>
                <w:bCs/>
                <w:color w:val="000000"/>
              </w:rPr>
              <w:t>art. 73 § 1a K.p.a</w:t>
            </w:r>
            <w:r w:rsidRPr="002D7F0E">
              <w:rPr>
                <w:rFonts w:asciiTheme="minorHAnsi" w:hAnsiTheme="minorHAnsi" w:cstheme="minorHAnsi"/>
                <w:color w:val="000000"/>
              </w:rPr>
              <w:t>., zgodnie z którym "</w:t>
            </w:r>
            <w:r w:rsidRPr="0002376D">
              <w:rPr>
                <w:rFonts w:asciiTheme="minorHAnsi" w:hAnsiTheme="minorHAnsi" w:cstheme="minorHAnsi"/>
                <w:b/>
                <w:bCs/>
                <w:i/>
                <w:color w:val="000000"/>
              </w:rPr>
              <w:t>Czynności określone w § 1 są dokonywane w lokalu organu administracji publicznej w obecności pracownika tego organu</w:t>
            </w:r>
            <w:r w:rsidRPr="002D7F0E">
              <w:rPr>
                <w:rFonts w:asciiTheme="minorHAnsi" w:hAnsiTheme="minorHAnsi" w:cstheme="minorHAnsi"/>
                <w:color w:val="000000"/>
              </w:rPr>
              <w:t xml:space="preserve">", względnie nie wyciągnięto z tam zlokalizowanej normy prawidłowych wniosków odnośnie wykładni roztrząsanego </w:t>
            </w:r>
            <w:r w:rsidRPr="0002376D">
              <w:rPr>
                <w:rFonts w:asciiTheme="minorHAnsi" w:hAnsiTheme="minorHAnsi" w:cstheme="minorHAnsi"/>
                <w:b/>
                <w:bCs/>
                <w:color w:val="000000"/>
              </w:rPr>
              <w:t>art. 73 § 1 K.p.a</w:t>
            </w:r>
            <w:r w:rsidRPr="002D7F0E">
              <w:rPr>
                <w:rFonts w:asciiTheme="minorHAnsi" w:hAnsiTheme="minorHAnsi" w:cstheme="minorHAnsi"/>
                <w:color w:val="000000"/>
              </w:rPr>
              <w:t>. Jeśli przyjąć, jak w sentencji uchwały, że w ramach udostępniania akt stronie na podstawie w/w przepisu mieszczą się czynności organu polegające na sporządzeniu przezeń, na wniosek strony, kopii "</w:t>
            </w:r>
            <w:r w:rsidRPr="0002376D">
              <w:rPr>
                <w:rFonts w:asciiTheme="minorHAnsi" w:hAnsiTheme="minorHAnsi" w:cstheme="minorHAnsi"/>
                <w:b/>
                <w:bCs/>
                <w:i/>
                <w:color w:val="000000"/>
              </w:rPr>
              <w:t>dokumentacji zgromadzonej w aktach sprawy</w:t>
            </w:r>
            <w:r w:rsidRPr="002D7F0E">
              <w:rPr>
                <w:rFonts w:asciiTheme="minorHAnsi" w:hAnsiTheme="minorHAnsi" w:cstheme="minorHAnsi"/>
                <w:color w:val="000000"/>
              </w:rPr>
              <w:t xml:space="preserve">", to treść przepisu </w:t>
            </w:r>
            <w:r w:rsidRPr="0002376D">
              <w:rPr>
                <w:rFonts w:asciiTheme="minorHAnsi" w:hAnsiTheme="minorHAnsi" w:cstheme="minorHAnsi"/>
                <w:b/>
                <w:bCs/>
                <w:color w:val="000000"/>
              </w:rPr>
              <w:t>art. 73 § 1a</w:t>
            </w:r>
            <w:r w:rsidRPr="002D7F0E">
              <w:rPr>
                <w:rFonts w:asciiTheme="minorHAnsi" w:hAnsiTheme="minorHAnsi" w:cstheme="minorHAnsi"/>
                <w:color w:val="000000"/>
              </w:rPr>
              <w:t xml:space="preserve"> Kodeksu stanowi barierę logiczną, dla takiego rozumienia powyższej konstrukcji </w:t>
            </w:r>
            <w:r w:rsidR="0002376D">
              <w:rPr>
                <w:rFonts w:asciiTheme="minorHAnsi" w:hAnsiTheme="minorHAnsi" w:cstheme="minorHAnsi"/>
                <w:color w:val="000000"/>
              </w:rPr>
              <w:t>-</w:t>
            </w:r>
            <w:r w:rsidRPr="002D7F0E">
              <w:rPr>
                <w:rFonts w:asciiTheme="minorHAnsi" w:hAnsiTheme="minorHAnsi" w:cstheme="minorHAnsi"/>
                <w:color w:val="000000"/>
              </w:rPr>
              <w:t xml:space="preserve"> skoro to organ ma sporządzić owe kopie, to </w:t>
            </w:r>
            <w:r w:rsidRPr="0002376D">
              <w:rPr>
                <w:rFonts w:asciiTheme="minorHAnsi" w:hAnsiTheme="minorHAnsi" w:cstheme="minorHAnsi"/>
                <w:b/>
                <w:bCs/>
                <w:color w:val="000000"/>
              </w:rPr>
              <w:t>trudno, aby takiej czynności nie dokonywał pracownik tego organu</w:t>
            </w:r>
            <w:r w:rsidRPr="002D7F0E">
              <w:rPr>
                <w:rFonts w:asciiTheme="minorHAnsi" w:hAnsiTheme="minorHAnsi" w:cstheme="minorHAnsi"/>
                <w:color w:val="000000"/>
              </w:rPr>
              <w:t xml:space="preserve">, tymczasem z </w:t>
            </w:r>
            <w:r w:rsidRPr="0002376D">
              <w:rPr>
                <w:rFonts w:asciiTheme="minorHAnsi" w:hAnsiTheme="minorHAnsi" w:cstheme="minorHAnsi"/>
                <w:b/>
                <w:bCs/>
                <w:color w:val="000000"/>
              </w:rPr>
              <w:t>art. 73 § 1a</w:t>
            </w:r>
            <w:r w:rsidRPr="002D7F0E">
              <w:rPr>
                <w:rFonts w:asciiTheme="minorHAnsi" w:hAnsiTheme="minorHAnsi" w:cstheme="minorHAnsi"/>
                <w:color w:val="000000"/>
              </w:rPr>
              <w:t xml:space="preserve"> Kodeksu, wynika, że wszystkie czynności wymienione w </w:t>
            </w:r>
            <w:r w:rsidRPr="0002376D">
              <w:rPr>
                <w:rFonts w:asciiTheme="minorHAnsi" w:hAnsiTheme="minorHAnsi" w:cstheme="minorHAnsi"/>
                <w:b/>
                <w:bCs/>
                <w:color w:val="000000"/>
              </w:rPr>
              <w:t>§ 1</w:t>
            </w:r>
            <w:r w:rsidRPr="002D7F0E">
              <w:rPr>
                <w:rFonts w:asciiTheme="minorHAnsi" w:hAnsiTheme="minorHAnsi" w:cstheme="minorHAnsi"/>
                <w:color w:val="000000"/>
              </w:rPr>
              <w:t xml:space="preserve"> dokonywane są "</w:t>
            </w:r>
            <w:r w:rsidRPr="0002376D">
              <w:rPr>
                <w:rFonts w:asciiTheme="minorHAnsi" w:hAnsiTheme="minorHAnsi" w:cstheme="minorHAnsi"/>
                <w:b/>
                <w:bCs/>
                <w:i/>
                <w:color w:val="000000"/>
              </w:rPr>
              <w:t>w obecności pracownika tego organu</w:t>
            </w:r>
            <w:r w:rsidRPr="002D7F0E">
              <w:rPr>
                <w:rFonts w:asciiTheme="minorHAnsi" w:hAnsiTheme="minorHAnsi" w:cstheme="minorHAnsi"/>
                <w:i/>
                <w:color w:val="000000"/>
              </w:rPr>
              <w:t>"</w:t>
            </w:r>
            <w:r w:rsidRPr="002D7F0E">
              <w:rPr>
                <w:rFonts w:asciiTheme="minorHAnsi" w:hAnsiTheme="minorHAnsi" w:cstheme="minorHAnsi"/>
                <w:color w:val="000000"/>
              </w:rPr>
              <w:t xml:space="preserve">. Powyższe sformułowanie pozwala sądzić, że pozycja takiego pracownika jest bierna, ma być wyłącznie obecny w lokalu organu, w trakcie czynności strony, stanowiących realizację uprawnień, ujętych w </w:t>
            </w:r>
            <w:r w:rsidRPr="0002376D">
              <w:rPr>
                <w:rFonts w:asciiTheme="minorHAnsi" w:hAnsiTheme="minorHAnsi" w:cstheme="minorHAnsi"/>
                <w:b/>
                <w:bCs/>
                <w:color w:val="000000"/>
              </w:rPr>
              <w:t>art. 73 § 1 K.p.a</w:t>
            </w:r>
            <w:r w:rsidRPr="002D7F0E">
              <w:rPr>
                <w:rFonts w:asciiTheme="minorHAnsi" w:hAnsiTheme="minorHAnsi" w:cstheme="minorHAnsi"/>
                <w:color w:val="000000"/>
              </w:rPr>
              <w:t xml:space="preserve">. Taki też kierunek rozumienia cyt. przepisu aprobuje piśmiennictwo (por. A. Wróbel, w: A. Wróbel, M. Jaśkowska, Kodeks postępowania administracyjnego, Komentarz, Warszawa 2016, s. 436). </w:t>
            </w:r>
            <w:r w:rsidRPr="0002376D">
              <w:rPr>
                <w:rFonts w:asciiTheme="minorHAnsi" w:hAnsiTheme="minorHAnsi" w:cstheme="minorHAnsi"/>
                <w:b/>
                <w:bCs/>
                <w:color w:val="000000"/>
              </w:rPr>
              <w:t>Nie budzi wątpliwości, że organ administracyjny ma obowiązek udostępnić stronie akta sprawy i dać jej</w:t>
            </w:r>
            <w:r w:rsidRPr="002D7F0E">
              <w:rPr>
                <w:rFonts w:asciiTheme="minorHAnsi" w:hAnsiTheme="minorHAnsi" w:cstheme="minorHAnsi"/>
                <w:color w:val="000000"/>
              </w:rPr>
              <w:t xml:space="preserve"> (</w:t>
            </w:r>
            <w:proofErr w:type="spellStart"/>
            <w:r w:rsidRPr="002D7F0E">
              <w:rPr>
                <w:rFonts w:asciiTheme="minorHAnsi" w:hAnsiTheme="minorHAnsi" w:cstheme="minorHAnsi"/>
                <w:color w:val="000000"/>
              </w:rPr>
              <w:t>podkr</w:t>
            </w:r>
            <w:proofErr w:type="spellEnd"/>
            <w:r w:rsidRPr="002D7F0E">
              <w:rPr>
                <w:rFonts w:asciiTheme="minorHAnsi" w:hAnsiTheme="minorHAnsi" w:cstheme="minorHAnsi"/>
                <w:color w:val="000000"/>
              </w:rPr>
              <w:t xml:space="preserve">. R.S.) </w:t>
            </w:r>
            <w:r w:rsidRPr="0002376D">
              <w:rPr>
                <w:rFonts w:asciiTheme="minorHAnsi" w:hAnsiTheme="minorHAnsi" w:cstheme="minorHAnsi"/>
                <w:b/>
                <w:bCs/>
                <w:color w:val="000000"/>
              </w:rPr>
              <w:t>możliwość sporządzania z nich notatek, kopii lub odpisów</w:t>
            </w:r>
            <w:r w:rsidRPr="002D7F0E">
              <w:rPr>
                <w:rFonts w:asciiTheme="minorHAnsi" w:hAnsiTheme="minorHAnsi" w:cstheme="minorHAnsi"/>
                <w:color w:val="000000"/>
              </w:rPr>
              <w:t xml:space="preserve"> (por. A. </w:t>
            </w:r>
            <w:proofErr w:type="spellStart"/>
            <w:r w:rsidRPr="002D7F0E">
              <w:rPr>
                <w:rFonts w:asciiTheme="minorHAnsi" w:hAnsiTheme="minorHAnsi" w:cstheme="minorHAnsi"/>
                <w:color w:val="000000"/>
              </w:rPr>
              <w:t>Golęba</w:t>
            </w:r>
            <w:proofErr w:type="spellEnd"/>
            <w:r w:rsidRPr="002D7F0E">
              <w:rPr>
                <w:rFonts w:asciiTheme="minorHAnsi" w:hAnsiTheme="minorHAnsi" w:cstheme="minorHAnsi"/>
                <w:color w:val="000000"/>
              </w:rPr>
              <w:t xml:space="preserve">, w: Postępowanie administracyjne, redakcja naukowa T. </w:t>
            </w:r>
            <w:proofErr w:type="spellStart"/>
            <w:r w:rsidRPr="002D7F0E">
              <w:rPr>
                <w:rFonts w:asciiTheme="minorHAnsi" w:hAnsiTheme="minorHAnsi" w:cstheme="minorHAnsi"/>
                <w:color w:val="000000"/>
              </w:rPr>
              <w:t>Woś</w:t>
            </w:r>
            <w:proofErr w:type="spellEnd"/>
            <w:r w:rsidRPr="002D7F0E">
              <w:rPr>
                <w:rFonts w:asciiTheme="minorHAnsi" w:hAnsiTheme="minorHAnsi" w:cstheme="minorHAnsi"/>
                <w:color w:val="000000"/>
              </w:rPr>
              <w:t>, Warszawa 2017, s. 271).</w:t>
            </w:r>
          </w:p>
          <w:p w14:paraId="5ECB40F7"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Na marginesie powyższych uwag wypadnie także zgłosić opozycję wobec użytego w sentencji uchwały sformułowania odnośnie "</w:t>
            </w:r>
            <w:r w:rsidRPr="0002376D">
              <w:rPr>
                <w:rFonts w:asciiTheme="minorHAnsi" w:hAnsiTheme="minorHAnsi" w:cstheme="minorHAnsi"/>
                <w:b/>
                <w:bCs/>
                <w:i/>
                <w:color w:val="000000"/>
              </w:rPr>
              <w:t>kopii dokumentacji zgromadzonej w aktach sprawy</w:t>
            </w:r>
            <w:r w:rsidRPr="0002376D">
              <w:rPr>
                <w:rFonts w:asciiTheme="minorHAnsi" w:hAnsiTheme="minorHAnsi" w:cstheme="minorHAnsi"/>
                <w:b/>
                <w:bCs/>
                <w:color w:val="000000"/>
              </w:rPr>
              <w:t>", w całym Kodeksie nie używa się takiego zwrotu</w:t>
            </w:r>
            <w:r w:rsidRPr="002D7F0E">
              <w:rPr>
                <w:rFonts w:asciiTheme="minorHAnsi" w:hAnsiTheme="minorHAnsi" w:cstheme="minorHAnsi"/>
                <w:color w:val="000000"/>
              </w:rPr>
              <w:t xml:space="preserve">, zaś z przepisów </w:t>
            </w:r>
            <w:r w:rsidRPr="0002376D">
              <w:rPr>
                <w:rFonts w:asciiTheme="minorHAnsi" w:hAnsiTheme="minorHAnsi" w:cstheme="minorHAnsi"/>
                <w:b/>
                <w:bCs/>
                <w:color w:val="000000"/>
              </w:rPr>
              <w:t>art. 73-74 K.p.a</w:t>
            </w:r>
            <w:r w:rsidRPr="002D7F0E">
              <w:rPr>
                <w:rFonts w:asciiTheme="minorHAnsi" w:hAnsiTheme="minorHAnsi" w:cstheme="minorHAnsi"/>
                <w:color w:val="000000"/>
              </w:rPr>
              <w:t>. wynika, że ustawodawca posługuje się pojęciem "</w:t>
            </w:r>
            <w:r w:rsidRPr="002D7F0E">
              <w:rPr>
                <w:rFonts w:asciiTheme="minorHAnsi" w:hAnsiTheme="minorHAnsi" w:cstheme="minorHAnsi"/>
                <w:i/>
                <w:color w:val="000000"/>
              </w:rPr>
              <w:t>kopii z akt sprawy</w:t>
            </w:r>
            <w:r w:rsidRPr="002D7F0E">
              <w:rPr>
                <w:rFonts w:asciiTheme="minorHAnsi" w:hAnsiTheme="minorHAnsi" w:cstheme="minorHAnsi"/>
                <w:color w:val="000000"/>
              </w:rPr>
              <w:t xml:space="preserve">". Użycie we wniosku Rzecznika terminologii nie przewidzianej w Kodeksie nie powinno prowadzić Sądu do posłużenia się w sentencji uchwały bliżej </w:t>
            </w:r>
            <w:proofErr w:type="gramStart"/>
            <w:r w:rsidRPr="002D7F0E">
              <w:rPr>
                <w:rFonts w:asciiTheme="minorHAnsi" w:hAnsiTheme="minorHAnsi" w:cstheme="minorHAnsi"/>
                <w:color w:val="000000"/>
              </w:rPr>
              <w:t>nie zdefiniowanym</w:t>
            </w:r>
            <w:proofErr w:type="gramEnd"/>
            <w:r w:rsidRPr="002D7F0E">
              <w:rPr>
                <w:rFonts w:asciiTheme="minorHAnsi" w:hAnsiTheme="minorHAnsi" w:cstheme="minorHAnsi"/>
                <w:color w:val="000000"/>
              </w:rPr>
              <w:t xml:space="preserve"> pojęciem języka prawniczego, nie zaś terminologią ustawową.</w:t>
            </w:r>
          </w:p>
          <w:p w14:paraId="36882776"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Nie mogę, w świetle przedstawionej powyżej argumentacji, zgodzić się z tezą, że przepis </w:t>
            </w:r>
            <w:r w:rsidRPr="0002376D">
              <w:rPr>
                <w:rFonts w:asciiTheme="minorHAnsi" w:hAnsiTheme="minorHAnsi" w:cstheme="minorHAnsi"/>
                <w:b/>
                <w:bCs/>
                <w:color w:val="000000"/>
              </w:rPr>
              <w:t>art. 73 § 1 K.p.a.</w:t>
            </w:r>
            <w:r w:rsidRPr="002D7F0E">
              <w:rPr>
                <w:rFonts w:asciiTheme="minorHAnsi" w:hAnsiTheme="minorHAnsi" w:cstheme="minorHAnsi"/>
                <w:color w:val="000000"/>
              </w:rPr>
              <w:t xml:space="preserve"> może stanowić podstawę do dokonywania czynności organu w postaci sporządzania na wniosek strony kopii z akt sprawy ("</w:t>
            </w:r>
            <w:r w:rsidRPr="002D7F0E">
              <w:rPr>
                <w:rFonts w:asciiTheme="minorHAnsi" w:hAnsiTheme="minorHAnsi" w:cstheme="minorHAnsi"/>
                <w:i/>
                <w:color w:val="000000"/>
              </w:rPr>
              <w:t>dokumentacji zgromadzonej w aktach sprawy</w:t>
            </w:r>
            <w:r w:rsidRPr="002D7F0E">
              <w:rPr>
                <w:rFonts w:asciiTheme="minorHAnsi" w:hAnsiTheme="minorHAnsi" w:cstheme="minorHAnsi"/>
                <w:color w:val="000000"/>
              </w:rPr>
              <w:t>"), skoro mowa w nim jest wyłącznie o czynnościach strony realizowanej w ramach jej prawa dostępu do akt sprawy. To przekonanie wypływa także z treści</w:t>
            </w:r>
            <w:r w:rsidRPr="0002376D">
              <w:rPr>
                <w:rFonts w:asciiTheme="minorHAnsi" w:hAnsiTheme="minorHAnsi" w:cstheme="minorHAnsi"/>
                <w:b/>
                <w:bCs/>
                <w:color w:val="000000"/>
              </w:rPr>
              <w:t xml:space="preserve"> art. 74 § 2 K.p.a</w:t>
            </w:r>
            <w:r w:rsidRPr="002D7F0E">
              <w:rPr>
                <w:rFonts w:asciiTheme="minorHAnsi" w:hAnsiTheme="minorHAnsi" w:cstheme="minorHAnsi"/>
                <w:color w:val="000000"/>
              </w:rPr>
              <w:t>., zgodnie z którym "</w:t>
            </w:r>
            <w:r w:rsidRPr="0002376D">
              <w:rPr>
                <w:rFonts w:asciiTheme="minorHAnsi" w:hAnsiTheme="minorHAnsi" w:cstheme="minorHAnsi"/>
                <w:b/>
                <w:bCs/>
                <w:i/>
                <w:color w:val="000000"/>
              </w:rPr>
              <w:t xml:space="preserve">Odmowa umożliwienia stronie przeglądania akt sprawy, sporządzania z nich notatek, kopii i odpisów, uwierzytelnienia takich kopii i odpisów lub wydania </w:t>
            </w:r>
            <w:r w:rsidRPr="0002376D">
              <w:rPr>
                <w:rFonts w:asciiTheme="minorHAnsi" w:hAnsiTheme="minorHAnsi" w:cstheme="minorHAnsi"/>
                <w:b/>
                <w:bCs/>
                <w:i/>
                <w:color w:val="000000"/>
              </w:rPr>
              <w:lastRenderedPageBreak/>
              <w:t>uwierzytelnionych odpisów następuje w drodze postanowienia, na które służy zażalenie</w:t>
            </w:r>
            <w:r w:rsidRPr="002D7F0E">
              <w:rPr>
                <w:rFonts w:asciiTheme="minorHAnsi" w:hAnsiTheme="minorHAnsi" w:cstheme="minorHAnsi"/>
                <w:color w:val="000000"/>
              </w:rPr>
              <w:t>". Z cyt. przepisu, który także nie był przedmiotem szczególnej uwagi w motywach uchwały I OPS 1/18, zdaje się wynikać dobitnie, że odmowa organu dotyczyć ma m. in. umożliwienia stronie (</w:t>
            </w:r>
            <w:proofErr w:type="spellStart"/>
            <w:r w:rsidRPr="002D7F0E">
              <w:rPr>
                <w:rFonts w:asciiTheme="minorHAnsi" w:hAnsiTheme="minorHAnsi" w:cstheme="minorHAnsi"/>
                <w:color w:val="000000"/>
              </w:rPr>
              <w:t>podkr</w:t>
            </w:r>
            <w:proofErr w:type="spellEnd"/>
            <w:r w:rsidRPr="002D7F0E">
              <w:rPr>
                <w:rFonts w:asciiTheme="minorHAnsi" w:hAnsiTheme="minorHAnsi" w:cstheme="minorHAnsi"/>
                <w:color w:val="000000"/>
              </w:rPr>
              <w:t xml:space="preserve">. R.S.) zarówno przeglądania akt sprawy, jak i sporządzenia z akt notatek, kopii i odpisów. Wyłuszczone w </w:t>
            </w:r>
            <w:r w:rsidRPr="0002376D">
              <w:rPr>
                <w:rFonts w:asciiTheme="minorHAnsi" w:hAnsiTheme="minorHAnsi" w:cstheme="minorHAnsi"/>
                <w:b/>
                <w:bCs/>
                <w:color w:val="000000"/>
              </w:rPr>
              <w:t>art. 74 § 2 K.p.a</w:t>
            </w:r>
            <w:r w:rsidRPr="002D7F0E">
              <w:rPr>
                <w:rFonts w:asciiTheme="minorHAnsi" w:hAnsiTheme="minorHAnsi" w:cstheme="minorHAnsi"/>
                <w:color w:val="000000"/>
              </w:rPr>
              <w:t>. oczekiwania strony od organu zostały przez ustawodawcę określone mianem "</w:t>
            </w:r>
            <w:r w:rsidRPr="002D7F0E">
              <w:rPr>
                <w:rFonts w:asciiTheme="minorHAnsi" w:hAnsiTheme="minorHAnsi" w:cstheme="minorHAnsi"/>
                <w:i/>
                <w:color w:val="000000"/>
              </w:rPr>
              <w:t>żądań"</w:t>
            </w:r>
            <w:r w:rsidRPr="002D7F0E">
              <w:rPr>
                <w:rFonts w:asciiTheme="minorHAnsi" w:hAnsiTheme="minorHAnsi" w:cstheme="minorHAnsi"/>
                <w:color w:val="000000"/>
              </w:rPr>
              <w:t xml:space="preserve"> strony, tym więc żądaniom odpowiadać musi katalog obowiązków organu związanych z udostępnianiem akt sprawy. Nie chodzi zatem o odmowę sporządzenia przez organ kopii, ale o odmowę umożliwienia sporządzenia przez stronę kopii z akt sprawy, co wskazuje na możliwość dokonania tej czynności samodzielnie przez stronę. Nie można oczywiście wykluczyć także działania strony w tym zakresie przez pełnomocnika, ten aspekt także nie był odnotowany w motywach uchwały.</w:t>
            </w:r>
          </w:p>
          <w:p w14:paraId="205EAAA4" w14:textId="7DCACF85"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E. W moim przekonaniu nietrafnie w uchwale przyjęto, że wykładnia przepisu </w:t>
            </w:r>
            <w:r w:rsidRPr="0002376D">
              <w:rPr>
                <w:rFonts w:asciiTheme="minorHAnsi" w:hAnsiTheme="minorHAnsi" w:cstheme="minorHAnsi"/>
                <w:b/>
                <w:bCs/>
                <w:color w:val="000000"/>
              </w:rPr>
              <w:t>art. 73 § 1 K.p.a</w:t>
            </w:r>
            <w:r w:rsidRPr="002D7F0E">
              <w:rPr>
                <w:rFonts w:asciiTheme="minorHAnsi" w:hAnsiTheme="minorHAnsi" w:cstheme="minorHAnsi"/>
                <w:color w:val="000000"/>
              </w:rPr>
              <w:t>. winna odstąpić od jego znaczenia językowego, a wykładnię literalną cyt. przepisu uznać wypadnie za "</w:t>
            </w:r>
            <w:r w:rsidRPr="002D7F0E">
              <w:rPr>
                <w:rFonts w:asciiTheme="minorHAnsi" w:hAnsiTheme="minorHAnsi" w:cstheme="minorHAnsi"/>
                <w:i/>
                <w:color w:val="000000"/>
              </w:rPr>
              <w:t>formalistyczną"</w:t>
            </w:r>
            <w:r w:rsidRPr="002D7F0E">
              <w:rPr>
                <w:rFonts w:asciiTheme="minorHAnsi" w:hAnsiTheme="minorHAnsi" w:cstheme="minorHAnsi"/>
                <w:color w:val="000000"/>
              </w:rPr>
              <w:t>. Etykietowanie sposobu wykładni, którego się nie podziela, nie zastąpi argumentacji merytorycznej, dowodzi raczej słabości intelektualnej własnych wywodów. W motywach uchwały składu siedmiu sędziów Naczelnego Sądu Administracyjnego z dnia 19 października 2015 r., I OPS 1/15 (</w:t>
            </w:r>
            <w:proofErr w:type="spellStart"/>
            <w:r w:rsidRPr="002D7F0E">
              <w:rPr>
                <w:rFonts w:asciiTheme="minorHAnsi" w:hAnsiTheme="minorHAnsi" w:cstheme="minorHAnsi"/>
                <w:color w:val="000000"/>
              </w:rPr>
              <w:t>ONSAiwsa</w:t>
            </w:r>
            <w:proofErr w:type="spellEnd"/>
            <w:r w:rsidRPr="002D7F0E">
              <w:rPr>
                <w:rFonts w:asciiTheme="minorHAnsi" w:hAnsiTheme="minorHAnsi" w:cstheme="minorHAnsi"/>
                <w:color w:val="000000"/>
              </w:rPr>
              <w:t xml:space="preserve"> z 2016 r., z. 2, poz. 15) wyłuszczono, iż w piśmiennictwie wskazuje się, że w państwie prawnym interpretator musi zawsze w pierwszym rzędzie brać pod uwagę językowe znaczenie tekstu prawnego. Jeżeli językowe znaczenie tekstu jest jasne, wówczas </w:t>
            </w:r>
            <w:r w:rsidR="0002376D">
              <w:rPr>
                <w:rFonts w:asciiTheme="minorHAnsi" w:hAnsiTheme="minorHAnsi" w:cstheme="minorHAnsi"/>
                <w:color w:val="000000"/>
              </w:rPr>
              <w:t>-</w:t>
            </w:r>
            <w:r w:rsidRPr="002D7F0E">
              <w:rPr>
                <w:rFonts w:asciiTheme="minorHAnsi" w:hAnsiTheme="minorHAnsi" w:cstheme="minorHAnsi"/>
                <w:color w:val="000000"/>
              </w:rPr>
              <w:t xml:space="preserve"> zgodnie z zasadą </w:t>
            </w:r>
            <w:proofErr w:type="spellStart"/>
            <w:r w:rsidRPr="0002376D">
              <w:rPr>
                <w:rFonts w:asciiTheme="minorHAnsi" w:hAnsiTheme="minorHAnsi" w:cstheme="minorHAnsi"/>
                <w:i/>
                <w:iCs/>
                <w:color w:val="000000"/>
              </w:rPr>
              <w:t>clara</w:t>
            </w:r>
            <w:proofErr w:type="spellEnd"/>
            <w:r w:rsidRPr="0002376D">
              <w:rPr>
                <w:rFonts w:asciiTheme="minorHAnsi" w:hAnsiTheme="minorHAnsi" w:cstheme="minorHAnsi"/>
                <w:i/>
                <w:iCs/>
                <w:color w:val="000000"/>
              </w:rPr>
              <w:t xml:space="preserve"> non </w:t>
            </w:r>
            <w:proofErr w:type="spellStart"/>
            <w:r w:rsidRPr="0002376D">
              <w:rPr>
                <w:rFonts w:asciiTheme="minorHAnsi" w:hAnsiTheme="minorHAnsi" w:cstheme="minorHAnsi"/>
                <w:i/>
                <w:iCs/>
                <w:color w:val="000000"/>
              </w:rPr>
              <w:t>sunt</w:t>
            </w:r>
            <w:proofErr w:type="spellEnd"/>
            <w:r w:rsidRPr="0002376D">
              <w:rPr>
                <w:rFonts w:asciiTheme="minorHAnsi" w:hAnsiTheme="minorHAnsi" w:cstheme="minorHAnsi"/>
                <w:i/>
                <w:iCs/>
                <w:color w:val="000000"/>
              </w:rPr>
              <w:t xml:space="preserve"> </w:t>
            </w:r>
            <w:proofErr w:type="spellStart"/>
            <w:r w:rsidRPr="0002376D">
              <w:rPr>
                <w:rFonts w:asciiTheme="minorHAnsi" w:hAnsiTheme="minorHAnsi" w:cstheme="minorHAnsi"/>
                <w:i/>
                <w:iCs/>
                <w:color w:val="000000"/>
              </w:rPr>
              <w:t>interpretanda</w:t>
            </w:r>
            <w:proofErr w:type="spellEnd"/>
            <w:r w:rsidRPr="002D7F0E">
              <w:rPr>
                <w:rFonts w:asciiTheme="minorHAnsi" w:hAnsiTheme="minorHAnsi" w:cstheme="minorHAnsi"/>
                <w:color w:val="000000"/>
              </w:rPr>
              <w:t xml:space="preserve"> (nie dokonuje się wykładni tego, co jasne) </w:t>
            </w:r>
            <w:r w:rsidR="0002376D">
              <w:rPr>
                <w:rFonts w:asciiTheme="minorHAnsi" w:hAnsiTheme="minorHAnsi" w:cstheme="minorHAnsi"/>
                <w:color w:val="000000"/>
              </w:rPr>
              <w:t>-</w:t>
            </w:r>
            <w:r w:rsidRPr="002D7F0E">
              <w:rPr>
                <w:rFonts w:asciiTheme="minorHAnsi" w:hAnsiTheme="minorHAnsi" w:cstheme="minorHAnsi"/>
                <w:color w:val="000000"/>
              </w:rPr>
              <w:t xml:space="preserve"> nie ma potrzeby sięgania po inne, pozajęzykowe metody wykładni. W takiej sytuacji wykładnia pozajęzykowa może jedynie dodatkowo potwierdzać, a więc wzmacniać, wyniki wykładni językowej wykładnią systemową czy funkcjonalną. Językowe znaczenie tekstu prawnego stanowi granicę wykładni, w tym sensie, że nie jest dopuszczalne przyjęcie swoistych wyników wykładni funkcjonalnej, jeżeli wykładnia językowa prowadzi do jednoznaczności tekstu prawnego. Nie oznacza to jednakże, że granica wykładni, jaką stanowić może językowe znaczenie tekstu, jest granicą bezwzględną. Oznacza to jedynie, że do przekroczenia tej granicy niezbędne jest silne uzasadnienie aksjologiczne, odwołujące się przede wszystkim do wartości konstytucyjnych (K. Płeszka, Językowe znaczenie tekstu prawnego jako granica wykładni [w:] Filozoficzno-teoretyczne problemy sądowego stosowania prawa, pod red. M. </w:t>
            </w:r>
            <w:proofErr w:type="spellStart"/>
            <w:r w:rsidRPr="002D7F0E">
              <w:rPr>
                <w:rFonts w:asciiTheme="minorHAnsi" w:hAnsiTheme="minorHAnsi" w:cstheme="minorHAnsi"/>
                <w:color w:val="000000"/>
              </w:rPr>
              <w:t>Zirka</w:t>
            </w:r>
            <w:proofErr w:type="spellEnd"/>
            <w:r w:rsidRPr="002D7F0E">
              <w:rPr>
                <w:rFonts w:asciiTheme="minorHAnsi" w:hAnsiTheme="minorHAnsi" w:cstheme="minorHAnsi"/>
                <w:color w:val="000000"/>
              </w:rPr>
              <w:t xml:space="preserve">-Sadowskiego, Łódź 1997, s. 69-77). Również w judykaturze sformułowana została reguła określająca następującą kolejność różnych sposobów wykładni: wykładnia językowa, wykładnia systemowa, wykładnia funkcjonalna (celowościowa). W myśl zasady </w:t>
            </w:r>
            <w:proofErr w:type="spellStart"/>
            <w:r w:rsidRPr="002D7F0E">
              <w:rPr>
                <w:rFonts w:asciiTheme="minorHAnsi" w:hAnsiTheme="minorHAnsi" w:cstheme="minorHAnsi"/>
                <w:color w:val="000000"/>
              </w:rPr>
              <w:t>interpretatio</w:t>
            </w:r>
            <w:proofErr w:type="spellEnd"/>
            <w:r w:rsidRPr="002D7F0E">
              <w:rPr>
                <w:rFonts w:asciiTheme="minorHAnsi" w:hAnsiTheme="minorHAnsi" w:cstheme="minorHAnsi"/>
                <w:color w:val="000000"/>
              </w:rPr>
              <w:t xml:space="preserve"> </w:t>
            </w:r>
            <w:proofErr w:type="spellStart"/>
            <w:r w:rsidRPr="002D7F0E">
              <w:rPr>
                <w:rFonts w:asciiTheme="minorHAnsi" w:hAnsiTheme="minorHAnsi" w:cstheme="minorHAnsi"/>
                <w:color w:val="000000"/>
              </w:rPr>
              <w:t>cessat</w:t>
            </w:r>
            <w:proofErr w:type="spellEnd"/>
            <w:r w:rsidRPr="002D7F0E">
              <w:rPr>
                <w:rFonts w:asciiTheme="minorHAnsi" w:hAnsiTheme="minorHAnsi" w:cstheme="minorHAnsi"/>
                <w:color w:val="000000"/>
              </w:rPr>
              <w:t xml:space="preserve"> in </w:t>
            </w:r>
            <w:proofErr w:type="spellStart"/>
            <w:r w:rsidRPr="002D7F0E">
              <w:rPr>
                <w:rFonts w:asciiTheme="minorHAnsi" w:hAnsiTheme="minorHAnsi" w:cstheme="minorHAnsi"/>
                <w:color w:val="000000"/>
              </w:rPr>
              <w:t>claris</w:t>
            </w:r>
            <w:proofErr w:type="spellEnd"/>
            <w:r w:rsidRPr="002D7F0E">
              <w:rPr>
                <w:rFonts w:asciiTheme="minorHAnsi" w:hAnsiTheme="minorHAnsi" w:cstheme="minorHAnsi"/>
                <w:color w:val="000000"/>
              </w:rPr>
              <w:t xml:space="preserve"> (wykładnia kończy się wtedy, gdy osiągamy jasność) nie zawsze zachodzić będzie jednak konieczność użycia kolejno wszystkich tych sposobów, w szczególności nie będzie potrzeby sięgania po dyrektywy celowościowe, jeżeli już po zastosowaniu dyrektyw językowych, czy też językowych i systemowych, uda się uzyskać </w:t>
            </w:r>
            <w:r w:rsidRPr="002D7F0E">
              <w:rPr>
                <w:rFonts w:asciiTheme="minorHAnsi" w:hAnsiTheme="minorHAnsi" w:cstheme="minorHAnsi"/>
                <w:color w:val="000000"/>
              </w:rPr>
              <w:lastRenderedPageBreak/>
              <w:t>właściwy wynik wykładni, to jest ustalić znaczenie interpretowanej normy (por. wyrok Sądu Najwyższego z dnia 8 maja 1998 r., I CKN 664/97, OSNC 1999/1/7).</w:t>
            </w:r>
          </w:p>
          <w:p w14:paraId="6AC52812"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W doktrynie akcentuje się prymat wykładni językowej, jednocześnie przyjmuje się, że nawet w sytuacji, gdy wyniki wykładni językowej prowadzą do rezultatów jednoznacznych, odstąpienie od nich jest możliwe, a niekiedy wręcz konieczne, w sytuacji gdy sens językowy jest ewidentnie sprzeczny z fundamentalnymi wartościami konstytucyjnymi lub też wykładnia ta prowadzi do rozstrzygnięcia, które w świetle powszechnie akceptowanych wartości musi być uznane za rażąco niesłuszne, niesprawiedliwe, nieracjonalne lub niweczące ratio legis interpretowanego przepisu albo prowadzi do absurdalnych, sprzecznych z logiką rezultatów (L. Morawski, Zasady wykładni prawa, Toruń 2010, s. 87). Nie znajduję w przedmiotowej sprawie takich przesłanek, wbrew wywodom przedstawionym w podjętej uchwale, aby odstąpić od wykładni językowej przepisu </w:t>
            </w:r>
            <w:r w:rsidRPr="0002376D">
              <w:rPr>
                <w:rFonts w:asciiTheme="minorHAnsi" w:hAnsiTheme="minorHAnsi" w:cstheme="minorHAnsi"/>
                <w:b/>
                <w:bCs/>
                <w:color w:val="000000"/>
              </w:rPr>
              <w:t>art. 73 § 1 K.p.a</w:t>
            </w:r>
            <w:r w:rsidRPr="002D7F0E">
              <w:rPr>
                <w:rFonts w:asciiTheme="minorHAnsi" w:hAnsiTheme="minorHAnsi" w:cstheme="minorHAnsi"/>
                <w:color w:val="000000"/>
              </w:rPr>
              <w:t xml:space="preserve">., znajdującej wsparcie dodatkowo w wykładni historycznej oraz systemowo wewnętrznej </w:t>
            </w:r>
            <w:proofErr w:type="gramStart"/>
            <w:r w:rsidRPr="002D7F0E">
              <w:rPr>
                <w:rFonts w:asciiTheme="minorHAnsi" w:hAnsiTheme="minorHAnsi" w:cstheme="minorHAnsi"/>
                <w:color w:val="000000"/>
              </w:rPr>
              <w:t>odnośnie</w:t>
            </w:r>
            <w:proofErr w:type="gramEnd"/>
            <w:r w:rsidRPr="002D7F0E">
              <w:rPr>
                <w:rFonts w:asciiTheme="minorHAnsi" w:hAnsiTheme="minorHAnsi" w:cstheme="minorHAnsi"/>
                <w:color w:val="000000"/>
              </w:rPr>
              <w:t xml:space="preserve"> konstrukcji udostępniania akt w Kodeksie, w zamian zaś lansowanie odmiennego rozumienia roztrząsanego przepisu względami prokonstytucyjnej wykładni, postępem technologicznym lub potrzebami "</w:t>
            </w:r>
            <w:r w:rsidRPr="002D7F0E">
              <w:rPr>
                <w:rFonts w:asciiTheme="minorHAnsi" w:hAnsiTheme="minorHAnsi" w:cstheme="minorHAnsi"/>
                <w:i/>
                <w:color w:val="000000"/>
              </w:rPr>
              <w:t>nowoczesnego państwa</w:t>
            </w:r>
            <w:r w:rsidRPr="002D7F0E">
              <w:rPr>
                <w:rFonts w:asciiTheme="minorHAnsi" w:hAnsiTheme="minorHAnsi" w:cstheme="minorHAnsi"/>
                <w:color w:val="000000"/>
              </w:rPr>
              <w:t>".</w:t>
            </w:r>
          </w:p>
          <w:p w14:paraId="289F3A38"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F. Nie podzielam także tezy wyrażonej w uzasadnieniu uchwały I OPS 1/18, że argumentu na rzecz odstąpienia od wykładni literalnej </w:t>
            </w:r>
            <w:r w:rsidRPr="0002376D">
              <w:rPr>
                <w:rFonts w:asciiTheme="minorHAnsi" w:hAnsiTheme="minorHAnsi" w:cstheme="minorHAnsi"/>
                <w:b/>
                <w:bCs/>
                <w:color w:val="000000"/>
              </w:rPr>
              <w:t>art. 73 § 1 K.p.a</w:t>
            </w:r>
            <w:r w:rsidRPr="002D7F0E">
              <w:rPr>
                <w:rFonts w:asciiTheme="minorHAnsi" w:hAnsiTheme="minorHAnsi" w:cstheme="minorHAnsi"/>
                <w:color w:val="000000"/>
              </w:rPr>
              <w:t xml:space="preserve">. doszukiwać należy się w potrzebie respektowania konstytucyjnej zasady równości wobec prawa. Z </w:t>
            </w:r>
            <w:r w:rsidRPr="0002376D">
              <w:rPr>
                <w:rFonts w:asciiTheme="minorHAnsi" w:hAnsiTheme="minorHAnsi" w:cstheme="minorHAnsi"/>
                <w:b/>
                <w:bCs/>
                <w:color w:val="000000"/>
              </w:rPr>
              <w:t>art. 32 ust. 1 Konstytucji RP</w:t>
            </w:r>
            <w:r w:rsidRPr="002D7F0E">
              <w:rPr>
                <w:rFonts w:asciiTheme="minorHAnsi" w:hAnsiTheme="minorHAnsi" w:cstheme="minorHAnsi"/>
                <w:color w:val="000000"/>
              </w:rPr>
              <w:t xml:space="preserve"> wynika nakaz równego (jednakowego) traktowania przez władze publiczne wszystkich adresatów norm prawnych charakteryzujących się w takim samym stopniu tą samą, relewantną cechą. Takie ujęcie zasady równości dopuszcza zatem odmienne traktowanie podmiotów, które takiej cechy nie mają. Równe traktowanie oznacza traktowanie według jednakowej miary, bez zróżnicowań dyskryminujących, ale także faworyzujących. Różnicowanie podmiotów prawa charakteryzujących się wspólną cechą istotną jest dopuszczalne (nie narusza zasady równości), ale warunkiem sine qua non jest jasno sformułowane kryterium, na podstawie którego owo zróżnicowanie jest dokonywane. Kryterium to musi mieć charakter relewantny, czyli pozostawać w bezpośrednim związku z celem i zasadniczą treścią przepisów, w których zawarta jest kontrolowana norma oraz ma służyć realizacji tego celu i treści. Wszelkie odstępstwa od nakazu równego traktowania podmiotów podobnych muszą zawsze znajdować podstawę w odpowiednio przekonywujących argumentach (por. motywy wyroków Trybunału Konstytucyjnego z dnia: 23 listopada 2010 r., K 5/10; 19 kwietnia 2011 r., P 41 /09 (OTK-A 2011/3/25), 18 czerwca 2013 r., K 37/12 (OTK-A 2013/5/60); 5 listopada 2013 r., K 40/12 (OTK-A 2013/8/120); 17 czerwca 2014 r., P 6/12 (OTK-A 2014/6/62). Nie podzielam poglądu wyrażonego w uchwale I OPS 1/18, że takim kryterium pozwalającym na odstępstwo od równego traktowania stron w zakresie udostępniania akt sprawy, a w konsekwencji na sporządzeniu przez organ na wniosek strony kopii z akt sprawy, ma być brak możliwości samodzielnego powielenia zawartości akt sprawy </w:t>
            </w:r>
            <w:r w:rsidRPr="002D7F0E">
              <w:rPr>
                <w:rFonts w:asciiTheme="minorHAnsi" w:hAnsiTheme="minorHAnsi" w:cstheme="minorHAnsi"/>
                <w:color w:val="000000"/>
              </w:rPr>
              <w:lastRenderedPageBreak/>
              <w:t>przez stronę na skutek bądź to braku dostępu do "</w:t>
            </w:r>
            <w:r w:rsidRPr="002D7F0E">
              <w:rPr>
                <w:rFonts w:asciiTheme="minorHAnsi" w:hAnsiTheme="minorHAnsi" w:cstheme="minorHAnsi"/>
                <w:i/>
                <w:color w:val="000000"/>
              </w:rPr>
              <w:t>najnowocześniejszych</w:t>
            </w:r>
            <w:r w:rsidRPr="002D7F0E">
              <w:rPr>
                <w:rFonts w:asciiTheme="minorHAnsi" w:hAnsiTheme="minorHAnsi" w:cstheme="minorHAnsi"/>
                <w:color w:val="000000"/>
              </w:rPr>
              <w:t xml:space="preserve">" (niezależnie od braku wskazania w motywach uchwały, które to urządzenia kopiujące mają taki charakter – uwaga R.S.) urządzeń technicznych, bądź to nieumiejętność posługiwania się nimi. Takie kryterium ma charakter zupełnie subiektywny, nieweryfikowalny w praktyce, bowiem nie wskazano w uchwale w jaki sposób organ ma uznać, że oświadczenie strony o braku dostępu przez nią do owych urządzeń kopiujących lub braku niezbędnych umiejętności, aby samodzielnie wykonać kopię, jest zgodne z prawdą. Gdyby ów dostęp ograniczyć do urządzeń kserograficznych rzeczywiście mogłoby się okazać kłopotliwym dla strony wykonanie kopii przy ich pomocy. Tak jednak, jak w uchwale powoływano się w kategoriach okoliczności notoryjnych co do wyposażenia większości urzędów administracyjnych w urządzenia kserograficzne (nie podzielam takiej kategoryczności powyższego stwierdzenia, zwłaszcza, że przepisy Kodeksu stosują także organy w znaczeniu funkcjonalnym – por. </w:t>
            </w:r>
            <w:r w:rsidRPr="0002376D">
              <w:rPr>
                <w:rFonts w:asciiTheme="minorHAnsi" w:hAnsiTheme="minorHAnsi" w:cstheme="minorHAnsi"/>
                <w:b/>
                <w:bCs/>
                <w:color w:val="000000"/>
              </w:rPr>
              <w:t>art. 1 pkt 2 K.p.a</w:t>
            </w:r>
            <w:r w:rsidRPr="002D7F0E">
              <w:rPr>
                <w:rFonts w:asciiTheme="minorHAnsi" w:hAnsiTheme="minorHAnsi" w:cstheme="minorHAnsi"/>
                <w:color w:val="000000"/>
              </w:rPr>
              <w:t>.), tak nie od rzeczy będzie skonstatowanie powszechnego dostępu stron do telefonów komórkowych wyposażonych w aparaty fotograficzne, umożliwiające wszak samodzielne wykonanie kopii akt sprawy.</w:t>
            </w:r>
          </w:p>
          <w:p w14:paraId="7F893D99"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G. Nie mogę także przyłączyć się do tezy, że uprawnienie strony do otrzymania uwierzytelnionych odpisów z </w:t>
            </w:r>
            <w:r w:rsidRPr="0002376D">
              <w:rPr>
                <w:rFonts w:asciiTheme="minorHAnsi" w:hAnsiTheme="minorHAnsi" w:cstheme="minorHAnsi"/>
                <w:b/>
                <w:bCs/>
                <w:color w:val="000000"/>
              </w:rPr>
              <w:t>art. 73 § 2 K.p.a</w:t>
            </w:r>
            <w:r w:rsidRPr="002D7F0E">
              <w:rPr>
                <w:rFonts w:asciiTheme="minorHAnsi" w:hAnsiTheme="minorHAnsi" w:cstheme="minorHAnsi"/>
                <w:color w:val="000000"/>
              </w:rPr>
              <w:t>. nie zabezpiecza prawa strony do utrwalenia na własne potrzeby zawartości z akt. Istotnie, zgodzić wypadnie się z tym spostrzeżeniem, że powyższe rozwiązanie nie daje stronie pełnej gwarancji, iż w każdym przypadku uzyska odpis uwierzytelnionych dokumentów poprzez powoływanie się na swój "</w:t>
            </w:r>
            <w:r w:rsidRPr="0002376D">
              <w:rPr>
                <w:rFonts w:asciiTheme="minorHAnsi" w:hAnsiTheme="minorHAnsi" w:cstheme="minorHAnsi"/>
                <w:b/>
                <w:bCs/>
                <w:i/>
                <w:color w:val="000000"/>
              </w:rPr>
              <w:t>ważny interes</w:t>
            </w:r>
            <w:r w:rsidRPr="002D7F0E">
              <w:rPr>
                <w:rFonts w:asciiTheme="minorHAnsi" w:hAnsiTheme="minorHAnsi" w:cstheme="minorHAnsi"/>
                <w:color w:val="000000"/>
              </w:rPr>
              <w:t xml:space="preserve">". Umknęło przy tym uwadze większości, że posłużenie się powyższym kwantyfikatorem odczytywane było słusznie w nauce procesu administracyjnego jako konieczne, inaczej bowiem strony mogłyby zupełnie niepotrzebnie żądać czynności organu (por. Z. Janowicz, Kodeks postępowania administracyjnego, Komentarz, Warszawa-Poznań 1987, s. 170). Moim zdaniem konstrukcje zawarte w </w:t>
            </w:r>
            <w:r w:rsidRPr="0002376D">
              <w:rPr>
                <w:rFonts w:asciiTheme="minorHAnsi" w:hAnsiTheme="minorHAnsi" w:cstheme="minorHAnsi"/>
                <w:b/>
                <w:bCs/>
                <w:color w:val="000000"/>
              </w:rPr>
              <w:t>art. 73-74 K.p.a</w:t>
            </w:r>
            <w:r w:rsidRPr="002D7F0E">
              <w:rPr>
                <w:rFonts w:asciiTheme="minorHAnsi" w:hAnsiTheme="minorHAnsi" w:cstheme="minorHAnsi"/>
                <w:color w:val="000000"/>
              </w:rPr>
              <w:t xml:space="preserve">. stanowią rozsądny kompromis i w obecnym brzmieniu dostatecznie zabezpieczają prawo strony do utrwalenia zawartości akt sprawy dla potrzeb obrony jej interesów, gdy odmowa wydania uwierzytelnionych odpisów z akt w wypadkach zaistnienia ważnego interesu strony podlega tak kontroli instancyjnej, jak i </w:t>
            </w:r>
            <w:proofErr w:type="spellStart"/>
            <w:r w:rsidRPr="002D7F0E">
              <w:rPr>
                <w:rFonts w:asciiTheme="minorHAnsi" w:hAnsiTheme="minorHAnsi" w:cstheme="minorHAnsi"/>
                <w:color w:val="000000"/>
              </w:rPr>
              <w:t>sądowoadministracyjnej</w:t>
            </w:r>
            <w:proofErr w:type="spellEnd"/>
            <w:r w:rsidRPr="002D7F0E">
              <w:rPr>
                <w:rFonts w:asciiTheme="minorHAnsi" w:hAnsiTheme="minorHAnsi" w:cstheme="minorHAnsi"/>
                <w:color w:val="000000"/>
              </w:rPr>
              <w:t>. Pozwala to również na uniknięcie przypadków, w których organ administracji publicznej byłby zobowiązany do sporządzania na wniosek strony kopii z akt sprawy, bez wyraźnej ku temu potrzeby. Kierowanie, czego nie można wykluczyć, żądań sporządzania kopii akt od stron nastawionych pieniaczo, mogłoby natomiast skutkować znaczącym utrudnieniem w wykonywaniu innych obowiązków przez organy administracji publicznej.</w:t>
            </w:r>
          </w:p>
          <w:p w14:paraId="4F0D0CD1"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H. Sformułowana w uchwale I OPS 1/18 odpowiedź na wniosek Rzecznika pozwala w istocie każdej stronie, faktycznie w sposób nieograniczony, przerzucić na organ ciężar organizacyjny sporządzania kopii z akt sprawy. Miał chyba tego świadomość tak składający wniosek Rzecznik Praw Obywatelskich, jak i podejmujący uchwałę Skład siedmiu sędziów Naczelnego Sądu </w:t>
            </w:r>
            <w:r w:rsidRPr="002D7F0E">
              <w:rPr>
                <w:rFonts w:asciiTheme="minorHAnsi" w:hAnsiTheme="minorHAnsi" w:cstheme="minorHAnsi"/>
                <w:color w:val="000000"/>
              </w:rPr>
              <w:lastRenderedPageBreak/>
              <w:t>Administracyjnego, skoro w jej sentencji zawarto quasi-ogranicznik działania organu polegającego na sporządzeniu przez organ kopii "</w:t>
            </w:r>
            <w:r w:rsidRPr="002D7F0E">
              <w:rPr>
                <w:rFonts w:asciiTheme="minorHAnsi" w:hAnsiTheme="minorHAnsi" w:cstheme="minorHAnsi"/>
                <w:i/>
                <w:color w:val="000000"/>
              </w:rPr>
              <w:t>dokumentacji zgromadzonej w aktach sprawy</w:t>
            </w:r>
            <w:r w:rsidRPr="002D7F0E">
              <w:rPr>
                <w:rFonts w:asciiTheme="minorHAnsi" w:hAnsiTheme="minorHAnsi" w:cstheme="minorHAnsi"/>
                <w:color w:val="000000"/>
              </w:rPr>
              <w:t>", sprowadzający się do wskazania granic obowiązku organu – jego "</w:t>
            </w:r>
            <w:r w:rsidRPr="002D7F0E">
              <w:rPr>
                <w:rFonts w:asciiTheme="minorHAnsi" w:hAnsiTheme="minorHAnsi" w:cstheme="minorHAnsi"/>
                <w:i/>
                <w:color w:val="000000"/>
              </w:rPr>
              <w:t>możliwości technicznych i organizacyjnych</w:t>
            </w:r>
            <w:r w:rsidRPr="002D7F0E">
              <w:rPr>
                <w:rFonts w:asciiTheme="minorHAnsi" w:hAnsiTheme="minorHAnsi" w:cstheme="minorHAnsi"/>
                <w:color w:val="000000"/>
              </w:rPr>
              <w:t>". W motywach uchwały nie wyjaśnia się na czym ma polegać uwzględnianie owych możliwości organizacyjnych organu, poza tym, że stwierdzono, iż wykonanie kopii może nastąpić tak przez pracownika organu, jak i poprzez umożliwienie stronie wykorzystania urządzenia dostępnego w urzędzie. Ten ostatni przypadek wymaga szczególnego odnotowania, bowiem trudno nie wyobrazić sobie, jak w praktyce wyglądać mogłoby udostępnienie sprzętu technicznego będącego na wyposażeniu urzędu obsługującego organ, bez uwzględnienia jego następstw, np. kto ponosiłby odpowiedzialność w razie uszkodzenia takiego urządzenia (kserokopiarki, skanera, aparatu fotograficznego) podczas sporządzania kopii przez stronę- sama strona czy pracownik udostępniający sprzęt techniczny. Poza tym argumentacja uchwały w tej części była opierana na braku umiejętności niektórych stron do posługiwania się sprzętem kopiującym, natomiast w części wskazującej na sposób "</w:t>
            </w:r>
            <w:r w:rsidRPr="002D7F0E">
              <w:rPr>
                <w:rFonts w:asciiTheme="minorHAnsi" w:hAnsiTheme="minorHAnsi" w:cstheme="minorHAnsi"/>
                <w:i/>
                <w:color w:val="000000"/>
              </w:rPr>
              <w:t>skonsumowania</w:t>
            </w:r>
            <w:r w:rsidRPr="002D7F0E">
              <w:rPr>
                <w:rFonts w:asciiTheme="minorHAnsi" w:hAnsiTheme="minorHAnsi" w:cstheme="minorHAnsi"/>
                <w:color w:val="000000"/>
              </w:rPr>
              <w:t>" uprawnienia strony do sporządzenia kopii zostało dopuszczone, aby urząd obsługujący organ administracji publicznej miał udostępniać sprzęt kopiujący. Dopatruję się w takiej argumentacji pewnej logicznej sprzeczności.</w:t>
            </w:r>
          </w:p>
          <w:p w14:paraId="42B1A00B" w14:textId="3A0B958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W konkluzji uzasadnienia uchwały dopuszczono odmowę uwzględnienia wniosku strony o sporządzenie kserokopii z akt, gdyby organ wykazał "</w:t>
            </w:r>
            <w:r w:rsidRPr="002D7F0E">
              <w:rPr>
                <w:rFonts w:asciiTheme="minorHAnsi" w:hAnsiTheme="minorHAnsi" w:cstheme="minorHAnsi"/>
                <w:i/>
                <w:color w:val="000000"/>
              </w:rPr>
              <w:t>konkretne utrudnienia wynikające z braku potrzebnego sprzętu lub dużej liczby dokumentów przewidzianych do kopiowania</w:t>
            </w:r>
            <w:r w:rsidRPr="002D7F0E">
              <w:rPr>
                <w:rFonts w:asciiTheme="minorHAnsi" w:hAnsiTheme="minorHAnsi" w:cstheme="minorHAnsi"/>
                <w:color w:val="000000"/>
              </w:rPr>
              <w:t>", przeszkodę do uwzględnienia wniosku strony w tym zakresie dopatrzono się w sytuacjach wymagających "</w:t>
            </w:r>
            <w:r w:rsidRPr="002D7F0E">
              <w:rPr>
                <w:rFonts w:asciiTheme="minorHAnsi" w:hAnsiTheme="minorHAnsi" w:cstheme="minorHAnsi"/>
                <w:i/>
                <w:color w:val="000000"/>
              </w:rPr>
              <w:t>większego organizacyjnego zaangażowania ze strony pracowników organu</w:t>
            </w:r>
            <w:r w:rsidRPr="002D7F0E">
              <w:rPr>
                <w:rFonts w:asciiTheme="minorHAnsi" w:hAnsiTheme="minorHAnsi" w:cstheme="minorHAnsi"/>
                <w:color w:val="000000"/>
              </w:rPr>
              <w:t>", odmowę wydania kopii z akt sprawy ma być też usprawiedliwiona w sytuacji, gdy strona w sposób "</w:t>
            </w:r>
            <w:r w:rsidRPr="002D7F0E">
              <w:rPr>
                <w:rFonts w:asciiTheme="minorHAnsi" w:hAnsiTheme="minorHAnsi" w:cstheme="minorHAnsi"/>
                <w:i/>
                <w:color w:val="000000"/>
              </w:rPr>
              <w:t>oczywisty i świadomy nadużywa prawa"</w:t>
            </w:r>
            <w:r w:rsidRPr="002D7F0E">
              <w:rPr>
                <w:rFonts w:asciiTheme="minorHAnsi" w:hAnsiTheme="minorHAnsi" w:cstheme="minorHAnsi"/>
                <w:color w:val="000000"/>
              </w:rPr>
              <w:t xml:space="preserve"> wynikającego z </w:t>
            </w:r>
            <w:r w:rsidRPr="00D611AB">
              <w:rPr>
                <w:rFonts w:asciiTheme="minorHAnsi" w:hAnsiTheme="minorHAnsi" w:cstheme="minorHAnsi"/>
                <w:b/>
                <w:bCs/>
                <w:color w:val="000000"/>
              </w:rPr>
              <w:t>art. 73 § 1 K.p.a</w:t>
            </w:r>
            <w:r w:rsidRPr="002D7F0E">
              <w:rPr>
                <w:rFonts w:asciiTheme="minorHAnsi" w:hAnsiTheme="minorHAnsi" w:cstheme="minorHAnsi"/>
                <w:color w:val="000000"/>
              </w:rPr>
              <w:t>. Takie rozumienie cyt. przepisu nie oznaczać ma zatem bezwzględnego związania organu żądaniem strony, lecz wprowadzać ma ograniczenia mające wykluczyć "</w:t>
            </w:r>
            <w:r w:rsidRPr="002D7F0E">
              <w:rPr>
                <w:rFonts w:asciiTheme="minorHAnsi" w:hAnsiTheme="minorHAnsi" w:cstheme="minorHAnsi"/>
                <w:i/>
                <w:color w:val="000000"/>
              </w:rPr>
              <w:t>nieuzasadnioną odmowę załatwienia wniosku w tym przedmiocie</w:t>
            </w:r>
            <w:r w:rsidRPr="002D7F0E">
              <w:rPr>
                <w:rFonts w:asciiTheme="minorHAnsi" w:hAnsiTheme="minorHAnsi" w:cstheme="minorHAnsi"/>
                <w:color w:val="000000"/>
              </w:rPr>
              <w:t xml:space="preserve">". Rzecz jednak w tym, że wszystkie powyżej przytoczone z tekstu uzasadnienia uchwały I OPS 1/18 sformułowania mają nieostre desygnaty, w praktyce mogące prowadzić do potencjalnych konfliktów na linii strona </w:t>
            </w:r>
            <w:r w:rsidR="000E695F">
              <w:rPr>
                <w:rFonts w:asciiTheme="minorHAnsi" w:hAnsiTheme="minorHAnsi" w:cstheme="minorHAnsi"/>
                <w:color w:val="000000"/>
              </w:rPr>
              <w:t>-</w:t>
            </w:r>
            <w:r w:rsidRPr="002D7F0E">
              <w:rPr>
                <w:rFonts w:asciiTheme="minorHAnsi" w:hAnsiTheme="minorHAnsi" w:cstheme="minorHAnsi"/>
                <w:color w:val="000000"/>
              </w:rPr>
              <w:t xml:space="preserve"> organ w kwestii sporządzenia kopii z akt sprawy i ich wydania. Konia z rzędem temu, kto będzie zdolny dostrzec ową granicę "</w:t>
            </w:r>
            <w:r w:rsidRPr="002D7F0E">
              <w:rPr>
                <w:rFonts w:asciiTheme="minorHAnsi" w:hAnsiTheme="minorHAnsi" w:cstheme="minorHAnsi"/>
                <w:i/>
                <w:color w:val="000000"/>
              </w:rPr>
              <w:t>dużej liczby dokumentów</w:t>
            </w:r>
            <w:r w:rsidRPr="002D7F0E">
              <w:rPr>
                <w:rFonts w:asciiTheme="minorHAnsi" w:hAnsiTheme="minorHAnsi" w:cstheme="minorHAnsi"/>
                <w:color w:val="000000"/>
              </w:rPr>
              <w:t>", przekroczenie której powoduje, że organ będzie uprawiony do przyjęcia, że strona w sposób "</w:t>
            </w:r>
            <w:r w:rsidRPr="002D7F0E">
              <w:rPr>
                <w:rFonts w:asciiTheme="minorHAnsi" w:hAnsiTheme="minorHAnsi" w:cstheme="minorHAnsi"/>
                <w:i/>
                <w:color w:val="000000"/>
              </w:rPr>
              <w:t>oczywisty i świadomy</w:t>
            </w:r>
            <w:r w:rsidRPr="002D7F0E">
              <w:rPr>
                <w:rFonts w:asciiTheme="minorHAnsi" w:hAnsiTheme="minorHAnsi" w:cstheme="minorHAnsi"/>
                <w:color w:val="000000"/>
              </w:rPr>
              <w:t xml:space="preserve">" nadużywa swojego prawa. Znaczenie uchwały abstrakcyjnej podejmowanej przez Naczelny Sąd Administracyjny, autorytet tego Sądu, nakazywałby </w:t>
            </w:r>
            <w:r w:rsidR="000E695F">
              <w:rPr>
                <w:rFonts w:asciiTheme="minorHAnsi" w:hAnsiTheme="minorHAnsi" w:cstheme="minorHAnsi"/>
                <w:color w:val="000000"/>
              </w:rPr>
              <w:t>-</w:t>
            </w:r>
            <w:r w:rsidRPr="002D7F0E">
              <w:rPr>
                <w:rFonts w:asciiTheme="minorHAnsi" w:hAnsiTheme="minorHAnsi" w:cstheme="minorHAnsi"/>
                <w:color w:val="000000"/>
              </w:rPr>
              <w:t xml:space="preserve"> w mojej ocenie </w:t>
            </w:r>
            <w:r w:rsidR="000E695F">
              <w:rPr>
                <w:rFonts w:asciiTheme="minorHAnsi" w:hAnsiTheme="minorHAnsi" w:cstheme="minorHAnsi"/>
                <w:color w:val="000000"/>
              </w:rPr>
              <w:t>-</w:t>
            </w:r>
            <w:r w:rsidRPr="002D7F0E">
              <w:rPr>
                <w:rFonts w:asciiTheme="minorHAnsi" w:hAnsiTheme="minorHAnsi" w:cstheme="minorHAnsi"/>
                <w:color w:val="000000"/>
              </w:rPr>
              <w:t xml:space="preserve"> powściągliwość i precyzję kreowania w treści podejmowanej uchwały sformułowań, których praktyczne zastosowanie będzie udziałem oceny składów orzekających sądów administracyjnych, a przede wszystkim organów administracyjnych. Użyte w uzasadnieniu uchwały I OPS 1/18 określniki, mające stanowić przesłanki odmowy dokonania czynności sporządzenia kopii z akt sprawy przez organ, bardziej wypływają </w:t>
            </w:r>
            <w:r w:rsidR="000E695F">
              <w:rPr>
                <w:rFonts w:asciiTheme="minorHAnsi" w:hAnsiTheme="minorHAnsi" w:cstheme="minorHAnsi"/>
                <w:color w:val="000000"/>
              </w:rPr>
              <w:t>-</w:t>
            </w:r>
            <w:r w:rsidRPr="002D7F0E">
              <w:rPr>
                <w:rFonts w:asciiTheme="minorHAnsi" w:hAnsiTheme="minorHAnsi" w:cstheme="minorHAnsi"/>
                <w:color w:val="000000"/>
              </w:rPr>
              <w:t xml:space="preserve"> w moim </w:t>
            </w:r>
            <w:r w:rsidRPr="002D7F0E">
              <w:rPr>
                <w:rFonts w:asciiTheme="minorHAnsi" w:hAnsiTheme="minorHAnsi" w:cstheme="minorHAnsi"/>
                <w:color w:val="000000"/>
              </w:rPr>
              <w:lastRenderedPageBreak/>
              <w:t xml:space="preserve">przekonaniu </w:t>
            </w:r>
            <w:r w:rsidR="000E695F">
              <w:rPr>
                <w:rFonts w:asciiTheme="minorHAnsi" w:hAnsiTheme="minorHAnsi" w:cstheme="minorHAnsi"/>
                <w:color w:val="000000"/>
              </w:rPr>
              <w:t>-</w:t>
            </w:r>
            <w:r w:rsidRPr="002D7F0E">
              <w:rPr>
                <w:rFonts w:asciiTheme="minorHAnsi" w:hAnsiTheme="minorHAnsi" w:cstheme="minorHAnsi"/>
                <w:color w:val="000000"/>
              </w:rPr>
              <w:t xml:space="preserve"> z zaistnienia przypadku tzw. prawa sędziowskiego (por. obszerną monografię D. Dąbek, Prawo sędziowskie w polskim prawie administracyjnym, Warszawa 2010), będą jednak potencjalnym zarzewiem do wnoszenia środków zaskarżenia, np. w razie bezczynności organu odnośnie sporządzenia kopii z akt sprawy na wniosek strony. Nie sposób oprzeć się wrażeniu, że </w:t>
            </w:r>
            <w:r w:rsidRPr="00D611AB">
              <w:rPr>
                <w:rFonts w:asciiTheme="minorHAnsi" w:hAnsiTheme="minorHAnsi" w:cstheme="minorHAnsi"/>
                <w:b/>
                <w:bCs/>
                <w:color w:val="000000"/>
              </w:rPr>
              <w:t>sentencja uchwały została podjęta w konwencji</w:t>
            </w:r>
            <w:r w:rsidRPr="002D7F0E">
              <w:rPr>
                <w:rFonts w:asciiTheme="minorHAnsi" w:hAnsiTheme="minorHAnsi" w:cstheme="minorHAnsi"/>
                <w:color w:val="000000"/>
              </w:rPr>
              <w:t xml:space="preserve"> </w:t>
            </w:r>
            <w:r w:rsidR="00D611AB">
              <w:rPr>
                <w:rFonts w:asciiTheme="minorHAnsi" w:hAnsiTheme="minorHAnsi" w:cstheme="minorHAnsi"/>
                <w:color w:val="000000"/>
              </w:rPr>
              <w:t>-</w:t>
            </w:r>
            <w:r w:rsidRPr="002D7F0E">
              <w:rPr>
                <w:rFonts w:asciiTheme="minorHAnsi" w:hAnsiTheme="minorHAnsi" w:cstheme="minorHAnsi"/>
                <w:color w:val="000000"/>
              </w:rPr>
              <w:t xml:space="preserve"> "</w:t>
            </w:r>
            <w:r w:rsidRPr="00D611AB">
              <w:rPr>
                <w:rFonts w:asciiTheme="minorHAnsi" w:hAnsiTheme="minorHAnsi" w:cstheme="minorHAnsi"/>
                <w:b/>
                <w:bCs/>
                <w:i/>
                <w:color w:val="000000"/>
              </w:rPr>
              <w:t>i Panu Bogu świeczkę, i diabłu ogarek</w:t>
            </w:r>
            <w:r w:rsidRPr="002D7F0E">
              <w:rPr>
                <w:rFonts w:asciiTheme="minorHAnsi" w:hAnsiTheme="minorHAnsi" w:cstheme="minorHAnsi"/>
                <w:i/>
                <w:color w:val="000000"/>
              </w:rPr>
              <w:t>".</w:t>
            </w:r>
            <w:r w:rsidRPr="002D7F0E">
              <w:rPr>
                <w:rFonts w:asciiTheme="minorHAnsi" w:hAnsiTheme="minorHAnsi" w:cstheme="minorHAnsi"/>
                <w:color w:val="000000"/>
              </w:rPr>
              <w:t xml:space="preserve"> Tym samym uchwała abstrakcyjna mająca wszak wyjaśniać przepisy prawa, których stosowanie wywołało rozbieżności w orzecznictwie, sama stanie się źródłem budzącym poważne wątpliwości interpretacyjne w konkretnej sprawie.</w:t>
            </w:r>
          </w:p>
          <w:p w14:paraId="335591F9" w14:textId="26A6EB81"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Ubocznie warto dostrzec, że – nie dostrzeżony w uchwale – przypadek odmowy dokonania na wniosek strony oznaczonej czynności organu uzasadnianej względami posiadanych środków technicznych przez organ, przewidziany jest w </w:t>
            </w:r>
            <w:r w:rsidRPr="00D611AB">
              <w:rPr>
                <w:rFonts w:asciiTheme="minorHAnsi" w:hAnsiTheme="minorHAnsi" w:cstheme="minorHAnsi"/>
                <w:b/>
                <w:bCs/>
                <w:color w:val="000000"/>
              </w:rPr>
              <w:t>K.p.a</w:t>
            </w:r>
            <w:r w:rsidRPr="002D7F0E">
              <w:rPr>
                <w:rFonts w:asciiTheme="minorHAnsi" w:hAnsiTheme="minorHAnsi" w:cstheme="minorHAnsi"/>
                <w:color w:val="000000"/>
              </w:rPr>
              <w:t xml:space="preserve">. w treści </w:t>
            </w:r>
            <w:r w:rsidRPr="00D22810">
              <w:rPr>
                <w:rFonts w:asciiTheme="minorHAnsi" w:hAnsiTheme="minorHAnsi" w:cstheme="minorHAnsi"/>
                <w:b/>
                <w:bCs/>
                <w:color w:val="000000"/>
              </w:rPr>
              <w:t>art. 49b § 1</w:t>
            </w:r>
            <w:r w:rsidRPr="002D7F0E">
              <w:rPr>
                <w:rFonts w:asciiTheme="minorHAnsi" w:hAnsiTheme="minorHAnsi" w:cstheme="minorHAnsi"/>
                <w:color w:val="000000"/>
              </w:rPr>
              <w:t xml:space="preserve"> </w:t>
            </w:r>
            <w:proofErr w:type="gramStart"/>
            <w:r w:rsidRPr="002D7F0E">
              <w:rPr>
                <w:rFonts w:asciiTheme="minorHAnsi" w:hAnsiTheme="minorHAnsi" w:cstheme="minorHAnsi"/>
                <w:color w:val="000000"/>
              </w:rPr>
              <w:t>odnośnie</w:t>
            </w:r>
            <w:proofErr w:type="gramEnd"/>
            <w:r w:rsidRPr="002D7F0E">
              <w:rPr>
                <w:rFonts w:asciiTheme="minorHAnsi" w:hAnsiTheme="minorHAnsi" w:cstheme="minorHAnsi"/>
                <w:color w:val="000000"/>
              </w:rPr>
              <w:t xml:space="preserve"> udostępniania stronie odpisu decyzji lub postanowienia. W moim przekonaniu nie osłabia to argumentacji prezentowanej w zdaniu odrębnym, przeciwnie, dowodzi że gdyby ustawodawca istotnie chciał uzależnić oznaczony obowiązek organu wobec strony względami choćby posiadanych przez ten organ środków technicznych, to uczyniłby to w drodze wyraźnej normy ustawowej. Ta okoliczność wskazywałaby na słuszność </w:t>
            </w:r>
            <w:r w:rsidR="00A74AF3">
              <w:rPr>
                <w:rFonts w:asciiTheme="minorHAnsi" w:hAnsiTheme="minorHAnsi" w:cstheme="minorHAnsi"/>
                <w:color w:val="000000"/>
              </w:rPr>
              <w:t>-</w:t>
            </w:r>
            <w:r w:rsidRPr="002D7F0E">
              <w:rPr>
                <w:rFonts w:asciiTheme="minorHAnsi" w:hAnsiTheme="minorHAnsi" w:cstheme="minorHAnsi"/>
                <w:color w:val="000000"/>
              </w:rPr>
              <w:t xml:space="preserve"> co do reguły </w:t>
            </w:r>
            <w:r w:rsidR="00A74AF3">
              <w:rPr>
                <w:rFonts w:asciiTheme="minorHAnsi" w:hAnsiTheme="minorHAnsi" w:cstheme="minorHAnsi"/>
                <w:color w:val="000000"/>
              </w:rPr>
              <w:t>-</w:t>
            </w:r>
            <w:r w:rsidRPr="002D7F0E">
              <w:rPr>
                <w:rFonts w:asciiTheme="minorHAnsi" w:hAnsiTheme="minorHAnsi" w:cstheme="minorHAnsi"/>
                <w:color w:val="000000"/>
              </w:rPr>
              <w:t xml:space="preserve"> stanowiska prezentowanego w sprawie przez prokuratora.</w:t>
            </w:r>
          </w:p>
          <w:p w14:paraId="74CDDE56" w14:textId="686EBB73"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I. Uzasadnienie do udzielenia odpowiedzi na wniosek Rzecznika większość Składu siedmiu sędziów Naczelnego Sądu Administracyjnego podejmującego uchwałę I OPS 1/18 czerpała także z odwołania się do konstrukcji odnoszących się do udostępniania akt, a zawartych w innych ustawach z dnia: 29 sierpnia 1997 r. </w:t>
            </w:r>
            <w:r w:rsidR="009662B8">
              <w:rPr>
                <w:rFonts w:asciiTheme="minorHAnsi" w:hAnsiTheme="minorHAnsi" w:cstheme="minorHAnsi"/>
                <w:color w:val="000000"/>
              </w:rPr>
              <w:t>-</w:t>
            </w:r>
            <w:r w:rsidRPr="002D7F0E">
              <w:rPr>
                <w:rFonts w:asciiTheme="minorHAnsi" w:hAnsiTheme="minorHAnsi" w:cstheme="minorHAnsi"/>
                <w:color w:val="000000"/>
              </w:rPr>
              <w:t xml:space="preserve"> </w:t>
            </w:r>
            <w:r w:rsidRPr="009662B8">
              <w:rPr>
                <w:rFonts w:asciiTheme="minorHAnsi" w:hAnsiTheme="minorHAnsi" w:cstheme="minorHAnsi"/>
                <w:b/>
                <w:bCs/>
                <w:color w:val="000000"/>
              </w:rPr>
              <w:t>Ordynacja podatkowa</w:t>
            </w:r>
            <w:r w:rsidRPr="002D7F0E">
              <w:rPr>
                <w:rFonts w:asciiTheme="minorHAnsi" w:hAnsiTheme="minorHAnsi" w:cstheme="minorHAnsi"/>
                <w:color w:val="000000"/>
              </w:rPr>
              <w:t xml:space="preserve"> (Dz. U. z 2018 r., poz. 800, dalej </w:t>
            </w:r>
            <w:proofErr w:type="spellStart"/>
            <w:r w:rsidRPr="009662B8">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30 sierpnia 2002 r. </w:t>
            </w:r>
            <w:r w:rsidR="009662B8">
              <w:rPr>
                <w:rFonts w:asciiTheme="minorHAnsi" w:hAnsiTheme="minorHAnsi" w:cstheme="minorHAnsi"/>
                <w:color w:val="000000"/>
              </w:rPr>
              <w:t>-</w:t>
            </w:r>
            <w:r w:rsidRPr="002D7F0E">
              <w:rPr>
                <w:rFonts w:asciiTheme="minorHAnsi" w:hAnsiTheme="minorHAnsi" w:cstheme="minorHAnsi"/>
                <w:color w:val="000000"/>
              </w:rPr>
              <w:t xml:space="preserve"> </w:t>
            </w:r>
            <w:r w:rsidRPr="009662B8">
              <w:rPr>
                <w:rFonts w:asciiTheme="minorHAnsi" w:hAnsiTheme="minorHAnsi" w:cstheme="minorHAnsi"/>
                <w:b/>
                <w:bCs/>
                <w:color w:val="000000"/>
              </w:rPr>
              <w:t>Prawo o postępowaniu przed sądami administracyjnymi</w:t>
            </w:r>
            <w:r w:rsidRPr="002D7F0E">
              <w:rPr>
                <w:rFonts w:asciiTheme="minorHAnsi" w:hAnsiTheme="minorHAnsi" w:cstheme="minorHAnsi"/>
                <w:color w:val="000000"/>
              </w:rPr>
              <w:t xml:space="preserve"> (</w:t>
            </w:r>
            <w:proofErr w:type="spellStart"/>
            <w:r w:rsidRPr="009662B8">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6 czerwca 1997 r. </w:t>
            </w:r>
            <w:r w:rsidR="002C2466">
              <w:rPr>
                <w:rFonts w:asciiTheme="minorHAnsi" w:hAnsiTheme="minorHAnsi" w:cstheme="minorHAnsi"/>
                <w:color w:val="000000"/>
              </w:rPr>
              <w:t>-</w:t>
            </w:r>
            <w:r w:rsidRPr="002D7F0E">
              <w:rPr>
                <w:rFonts w:asciiTheme="minorHAnsi" w:hAnsiTheme="minorHAnsi" w:cstheme="minorHAnsi"/>
                <w:color w:val="000000"/>
              </w:rPr>
              <w:t xml:space="preserve"> </w:t>
            </w:r>
            <w:r w:rsidRPr="002C2466">
              <w:rPr>
                <w:rFonts w:asciiTheme="minorHAnsi" w:hAnsiTheme="minorHAnsi" w:cstheme="minorHAnsi"/>
                <w:b/>
                <w:bCs/>
                <w:color w:val="000000"/>
              </w:rPr>
              <w:t>Kodeks postępowania karnego</w:t>
            </w:r>
            <w:r w:rsidRPr="002D7F0E">
              <w:rPr>
                <w:rFonts w:asciiTheme="minorHAnsi" w:hAnsiTheme="minorHAnsi" w:cstheme="minorHAnsi"/>
                <w:color w:val="000000"/>
              </w:rPr>
              <w:t xml:space="preserve"> (Dz. U. z 2017 r., poz. 1904 ze zm., dalej K.p.k.), 17 listopada 1964 r. </w:t>
            </w:r>
            <w:r w:rsidR="002C2466">
              <w:rPr>
                <w:rFonts w:asciiTheme="minorHAnsi" w:hAnsiTheme="minorHAnsi" w:cstheme="minorHAnsi"/>
                <w:color w:val="000000"/>
              </w:rPr>
              <w:t>-</w:t>
            </w:r>
            <w:r w:rsidRPr="002D7F0E">
              <w:rPr>
                <w:rFonts w:asciiTheme="minorHAnsi" w:hAnsiTheme="minorHAnsi" w:cstheme="minorHAnsi"/>
                <w:color w:val="000000"/>
              </w:rPr>
              <w:t xml:space="preserve"> </w:t>
            </w:r>
            <w:r w:rsidRPr="002C2466">
              <w:rPr>
                <w:rFonts w:asciiTheme="minorHAnsi" w:hAnsiTheme="minorHAnsi" w:cstheme="minorHAnsi"/>
                <w:b/>
                <w:bCs/>
                <w:color w:val="000000"/>
              </w:rPr>
              <w:t>Kodeks postępowania cywilnego</w:t>
            </w:r>
            <w:r w:rsidRPr="002D7F0E">
              <w:rPr>
                <w:rFonts w:asciiTheme="minorHAnsi" w:hAnsiTheme="minorHAnsi" w:cstheme="minorHAnsi"/>
                <w:color w:val="000000"/>
              </w:rPr>
              <w:t xml:space="preserve"> (Dz. U. z 2018 r., poz. 1360 ze zm., dalej </w:t>
            </w:r>
            <w:r w:rsidRPr="002C2466">
              <w:rPr>
                <w:rFonts w:asciiTheme="minorHAnsi" w:hAnsiTheme="minorHAnsi" w:cstheme="minorHAnsi"/>
                <w:b/>
                <w:bCs/>
                <w:color w:val="000000"/>
              </w:rPr>
              <w:t>K.p.c</w:t>
            </w:r>
            <w:r w:rsidRPr="002D7F0E">
              <w:rPr>
                <w:rFonts w:asciiTheme="minorHAnsi" w:hAnsiTheme="minorHAnsi" w:cstheme="minorHAnsi"/>
                <w:color w:val="000000"/>
              </w:rPr>
              <w:t xml:space="preserve">.). Przywołanie rozwiązań zawartych w przepisach </w:t>
            </w:r>
            <w:proofErr w:type="spellStart"/>
            <w:r w:rsidRPr="002C2466">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w:t>
            </w:r>
            <w:r w:rsidRPr="002C2466">
              <w:rPr>
                <w:rFonts w:asciiTheme="minorHAnsi" w:hAnsiTheme="minorHAnsi" w:cstheme="minorHAnsi"/>
                <w:b/>
                <w:bCs/>
                <w:color w:val="000000"/>
              </w:rPr>
              <w:t>K.p.k</w:t>
            </w:r>
            <w:r w:rsidRPr="002D7F0E">
              <w:rPr>
                <w:rFonts w:asciiTheme="minorHAnsi" w:hAnsiTheme="minorHAnsi" w:cstheme="minorHAnsi"/>
                <w:color w:val="000000"/>
              </w:rPr>
              <w:t xml:space="preserve">., </w:t>
            </w:r>
            <w:r w:rsidRPr="002C2466">
              <w:rPr>
                <w:rFonts w:asciiTheme="minorHAnsi" w:hAnsiTheme="minorHAnsi" w:cstheme="minorHAnsi"/>
                <w:b/>
                <w:bCs/>
                <w:color w:val="000000"/>
              </w:rPr>
              <w:t>K.p.c</w:t>
            </w:r>
            <w:r w:rsidRPr="002D7F0E">
              <w:rPr>
                <w:rFonts w:asciiTheme="minorHAnsi" w:hAnsiTheme="minorHAnsi" w:cstheme="minorHAnsi"/>
                <w:color w:val="000000"/>
              </w:rPr>
              <w:t xml:space="preserve">. i </w:t>
            </w:r>
            <w:proofErr w:type="spellStart"/>
            <w:r w:rsidRPr="002C2466">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posłużyło do tego, przy jednoczesnym eksponowaniu konstytucyjnego prawa dostępu każdego do dotyczących go urzędowych dokumentów i zbiorów danych (</w:t>
            </w:r>
            <w:r w:rsidRPr="002C2466">
              <w:rPr>
                <w:rFonts w:asciiTheme="minorHAnsi" w:hAnsiTheme="minorHAnsi" w:cstheme="minorHAnsi"/>
                <w:b/>
                <w:bCs/>
                <w:color w:val="000000"/>
              </w:rPr>
              <w:t>art. 51 ust. 3 Konstytucji RP</w:t>
            </w:r>
            <w:r w:rsidRPr="002D7F0E">
              <w:rPr>
                <w:rFonts w:asciiTheme="minorHAnsi" w:hAnsiTheme="minorHAnsi" w:cstheme="minorHAnsi"/>
                <w:color w:val="000000"/>
              </w:rPr>
              <w:t>) oraz konstytucyjnej zasady równości wobec prawa (</w:t>
            </w:r>
            <w:r w:rsidRPr="002C2466">
              <w:rPr>
                <w:rFonts w:asciiTheme="minorHAnsi" w:hAnsiTheme="minorHAnsi" w:cstheme="minorHAnsi"/>
                <w:b/>
                <w:bCs/>
                <w:color w:val="000000"/>
              </w:rPr>
              <w:t>art. 32 Konstytucji RP</w:t>
            </w:r>
            <w:r w:rsidRPr="002D7F0E">
              <w:rPr>
                <w:rFonts w:asciiTheme="minorHAnsi" w:hAnsiTheme="minorHAnsi" w:cstheme="minorHAnsi"/>
                <w:color w:val="000000"/>
              </w:rPr>
              <w:t xml:space="preserve">), by sformułować pogląd o braku podstaw do utrzymywania zróżnicowania formy w dostępie do akt spraw pomiędzy przepisami przywołanych procedur, a rozwiązaniami ujętymi w </w:t>
            </w:r>
            <w:r w:rsidRPr="00D611AB">
              <w:rPr>
                <w:rFonts w:asciiTheme="minorHAnsi" w:hAnsiTheme="minorHAnsi" w:cstheme="minorHAnsi"/>
                <w:b/>
                <w:bCs/>
                <w:color w:val="000000"/>
              </w:rPr>
              <w:t>K.p.a</w:t>
            </w:r>
            <w:r w:rsidRPr="002D7F0E">
              <w:rPr>
                <w:rFonts w:asciiTheme="minorHAnsi" w:hAnsiTheme="minorHAnsi" w:cstheme="minorHAnsi"/>
                <w:color w:val="000000"/>
              </w:rPr>
              <w:t>. Również ta teza zawarta w przedmiotowej uchwale – w moim przekonaniu – nie zasługiwała na wsparcie.</w:t>
            </w:r>
          </w:p>
          <w:p w14:paraId="18D78421"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Pogląd wyrażony w uchwale w analizowanym zakresie ma raczej charakter postulatu de lege ferenda względem prawodawcy, ponadto całkowicie pomija treść </w:t>
            </w:r>
            <w:r w:rsidRPr="00D611AB">
              <w:rPr>
                <w:rFonts w:asciiTheme="minorHAnsi" w:hAnsiTheme="minorHAnsi" w:cstheme="minorHAnsi"/>
                <w:b/>
                <w:bCs/>
                <w:color w:val="000000"/>
              </w:rPr>
              <w:t>art. 51 ust. 5 Konstytucji RP</w:t>
            </w:r>
            <w:r w:rsidRPr="002D7F0E">
              <w:rPr>
                <w:rFonts w:asciiTheme="minorHAnsi" w:hAnsiTheme="minorHAnsi" w:cstheme="minorHAnsi"/>
                <w:color w:val="000000"/>
              </w:rPr>
              <w:t xml:space="preserve">, z którego wynika m. in., że zasady udostępniania informacji określa ustawa. Tym samym to ustawodawca określa zasady udostępnienia akt w oznaczonych regulacjach procesowych, sposób określenia tych zasad został pozostawiony legislaturze. Warto przy tym skonstatować, że przywołując przykłady zaczerpnięte z przepisów </w:t>
            </w:r>
            <w:proofErr w:type="spellStart"/>
            <w:r w:rsidRPr="00D611AB">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w:t>
            </w:r>
            <w:r w:rsidRPr="00D611AB">
              <w:rPr>
                <w:rFonts w:asciiTheme="minorHAnsi" w:hAnsiTheme="minorHAnsi" w:cstheme="minorHAnsi"/>
                <w:b/>
                <w:bCs/>
                <w:color w:val="000000"/>
              </w:rPr>
              <w:t>K.p.k</w:t>
            </w:r>
            <w:r w:rsidRPr="002D7F0E">
              <w:rPr>
                <w:rFonts w:asciiTheme="minorHAnsi" w:hAnsiTheme="minorHAnsi" w:cstheme="minorHAnsi"/>
                <w:color w:val="000000"/>
              </w:rPr>
              <w:t xml:space="preserve">., </w:t>
            </w:r>
            <w:r w:rsidRPr="00D611AB">
              <w:rPr>
                <w:rFonts w:asciiTheme="minorHAnsi" w:hAnsiTheme="minorHAnsi" w:cstheme="minorHAnsi"/>
                <w:b/>
                <w:bCs/>
                <w:color w:val="000000"/>
              </w:rPr>
              <w:t>K.p.c</w:t>
            </w:r>
            <w:r w:rsidRPr="002D7F0E">
              <w:rPr>
                <w:rFonts w:asciiTheme="minorHAnsi" w:hAnsiTheme="minorHAnsi" w:cstheme="minorHAnsi"/>
                <w:color w:val="000000"/>
              </w:rPr>
              <w:t xml:space="preserve">. i </w:t>
            </w:r>
            <w:proofErr w:type="spellStart"/>
            <w:r w:rsidRPr="00D611AB">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nieco umknęły </w:t>
            </w:r>
            <w:r w:rsidRPr="002D7F0E">
              <w:rPr>
                <w:rFonts w:asciiTheme="minorHAnsi" w:hAnsiTheme="minorHAnsi" w:cstheme="minorHAnsi"/>
                <w:color w:val="000000"/>
              </w:rPr>
              <w:lastRenderedPageBreak/>
              <w:t xml:space="preserve">uwadze kwestie związane z kosztami sporządzania kopii z akt sprawy. W każdej z przywołanych procedur istotnie przewidziano wykonywanie i wydanie kopii z akt sprawy na żądanie strony, rzecz jednak w tym, że jednocześnie ustawodawca określił podstawy nałożenia na stronę żądającą takich kopii obowiązku uiszczenia kosztów ich sporządzenia. I tak, z </w:t>
            </w:r>
            <w:r w:rsidRPr="00A74AF3">
              <w:rPr>
                <w:rFonts w:asciiTheme="minorHAnsi" w:hAnsiTheme="minorHAnsi" w:cstheme="minorHAnsi"/>
                <w:b/>
                <w:bCs/>
                <w:color w:val="000000"/>
              </w:rPr>
              <w:t xml:space="preserve">art. 267 § 1 pkt 3 </w:t>
            </w:r>
            <w:proofErr w:type="spellStart"/>
            <w:r w:rsidRPr="00A74AF3">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wynika, że stronę obciążają koszty sporządzenia kopii i odpisów, o których mowa w </w:t>
            </w:r>
            <w:r w:rsidRPr="00A74AF3">
              <w:rPr>
                <w:rFonts w:asciiTheme="minorHAnsi" w:hAnsiTheme="minorHAnsi" w:cstheme="minorHAnsi"/>
                <w:b/>
                <w:bCs/>
                <w:color w:val="000000"/>
              </w:rPr>
              <w:t>art. 178</w:t>
            </w:r>
            <w:r w:rsidRPr="002D7F0E">
              <w:rPr>
                <w:rFonts w:asciiTheme="minorHAnsi" w:hAnsiTheme="minorHAnsi" w:cstheme="minorHAnsi"/>
                <w:color w:val="000000"/>
              </w:rPr>
              <w:t xml:space="preserve"> tej ustawy. Z kolei w </w:t>
            </w:r>
            <w:r w:rsidRPr="00A74AF3">
              <w:rPr>
                <w:rFonts w:asciiTheme="minorHAnsi" w:hAnsiTheme="minorHAnsi" w:cstheme="minorHAnsi"/>
                <w:b/>
                <w:bCs/>
                <w:color w:val="000000"/>
              </w:rPr>
              <w:t xml:space="preserve">art. 270b </w:t>
            </w:r>
            <w:proofErr w:type="spellStart"/>
            <w:r w:rsidRPr="00A74AF3">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przewidziano delegację ustawową dla ministra właściwego do spraw finansów publicznych, aby określił, w drodze rozporządzenia, wysokość opłaty za sporządzenie kopii oraz odpisu dokumentów, mając na uwadze szacunkowe nakłady pracy z tym związane oraz koszty wykorzystanych materiałów. </w:t>
            </w:r>
            <w:r w:rsidRPr="00A74AF3">
              <w:rPr>
                <w:rFonts w:asciiTheme="minorHAnsi" w:hAnsiTheme="minorHAnsi" w:cstheme="minorHAnsi"/>
                <w:b/>
                <w:bCs/>
                <w:color w:val="000000"/>
              </w:rPr>
              <w:t>Koszty</w:t>
            </w:r>
            <w:r w:rsidRPr="002D7F0E">
              <w:rPr>
                <w:rFonts w:asciiTheme="minorHAnsi" w:hAnsiTheme="minorHAnsi" w:cstheme="minorHAnsi"/>
                <w:color w:val="000000"/>
              </w:rPr>
              <w:t xml:space="preserve"> te, jednakowe dla organów podatkowych, ustalił Minister Finansów w rozporządzeniu z dnia 18 grudnia 2015 r. </w:t>
            </w:r>
            <w:r w:rsidRPr="00A74AF3">
              <w:rPr>
                <w:rFonts w:asciiTheme="minorHAnsi" w:hAnsiTheme="minorHAnsi" w:cstheme="minorHAnsi"/>
                <w:b/>
                <w:bCs/>
                <w:color w:val="000000"/>
              </w:rPr>
              <w:t>w sprawie wysokości opłaty za sporządzenie kopii</w:t>
            </w:r>
            <w:r w:rsidRPr="002D7F0E">
              <w:rPr>
                <w:rFonts w:asciiTheme="minorHAnsi" w:hAnsiTheme="minorHAnsi" w:cstheme="minorHAnsi"/>
                <w:color w:val="000000"/>
              </w:rPr>
              <w:t xml:space="preserve"> lub </w:t>
            </w:r>
            <w:r w:rsidRPr="00A74AF3">
              <w:rPr>
                <w:rFonts w:asciiTheme="minorHAnsi" w:hAnsiTheme="minorHAnsi" w:cstheme="minorHAnsi"/>
                <w:b/>
                <w:bCs/>
                <w:color w:val="000000"/>
              </w:rPr>
              <w:t>odpisu dokumentów</w:t>
            </w:r>
            <w:r w:rsidRPr="002D7F0E">
              <w:rPr>
                <w:rFonts w:asciiTheme="minorHAnsi" w:hAnsiTheme="minorHAnsi" w:cstheme="minorHAnsi"/>
                <w:color w:val="000000"/>
              </w:rPr>
              <w:t xml:space="preserve"> (Dz. U. z 2015 r., poz. 2182 ze zm.). O odpłatności za wydanie kopii z akt sprawy przekonuje treść </w:t>
            </w:r>
            <w:r w:rsidRPr="00A74AF3">
              <w:rPr>
                <w:rFonts w:asciiTheme="minorHAnsi" w:hAnsiTheme="minorHAnsi" w:cstheme="minorHAnsi"/>
                <w:b/>
                <w:bCs/>
                <w:color w:val="000000"/>
              </w:rPr>
              <w:t>art. 156 § 2 K.p.k</w:t>
            </w:r>
            <w:r w:rsidRPr="002D7F0E">
              <w:rPr>
                <w:rFonts w:asciiTheme="minorHAnsi" w:hAnsiTheme="minorHAnsi" w:cstheme="minorHAnsi"/>
                <w:color w:val="000000"/>
              </w:rPr>
              <w:t xml:space="preserve">., delegację ustawową dla Ministra Sprawiedliwości, aby określić wysokość kosztów wykonania kopii przewidziano w </w:t>
            </w:r>
            <w:r w:rsidRPr="00A74AF3">
              <w:rPr>
                <w:rFonts w:asciiTheme="minorHAnsi" w:hAnsiTheme="minorHAnsi" w:cstheme="minorHAnsi"/>
                <w:b/>
                <w:bCs/>
                <w:color w:val="000000"/>
              </w:rPr>
              <w:t>art. 156 § 6 K.p.a</w:t>
            </w:r>
            <w:r w:rsidRPr="002D7F0E">
              <w:rPr>
                <w:rFonts w:asciiTheme="minorHAnsi" w:hAnsiTheme="minorHAnsi" w:cstheme="minorHAnsi"/>
                <w:color w:val="000000"/>
              </w:rPr>
              <w:t xml:space="preserve">. Z delegacji tej ów Minister skorzystał wydając rozporządzenie z dnia 25 września 2015 r. w sprawie wysokości opłaty za wydanie dokumentów oraz uwierzytelnionych odpisów z akt sprawy (Dz. U. z 2015 r., poz. 1566). Nie ulega wątpliwości, że z </w:t>
            </w:r>
            <w:r w:rsidRPr="00A74AF3">
              <w:rPr>
                <w:rFonts w:asciiTheme="minorHAnsi" w:hAnsiTheme="minorHAnsi" w:cstheme="minorHAnsi"/>
                <w:b/>
                <w:bCs/>
                <w:color w:val="000000"/>
              </w:rPr>
              <w:t>art. 9 K.p.c.</w:t>
            </w:r>
            <w:r w:rsidRPr="002D7F0E">
              <w:rPr>
                <w:rFonts w:asciiTheme="minorHAnsi" w:hAnsiTheme="minorHAnsi" w:cstheme="minorHAnsi"/>
                <w:color w:val="000000"/>
              </w:rPr>
              <w:t xml:space="preserve"> wynika prawo strony i uczestnika procesu do otrzymywania kopii z akt, na mocy </w:t>
            </w:r>
            <w:r w:rsidRPr="00A74AF3">
              <w:rPr>
                <w:rFonts w:asciiTheme="minorHAnsi" w:hAnsiTheme="minorHAnsi" w:cstheme="minorHAnsi"/>
                <w:b/>
                <w:bCs/>
                <w:color w:val="000000"/>
              </w:rPr>
              <w:t>art. 78</w:t>
            </w:r>
            <w:r w:rsidRPr="002D7F0E">
              <w:rPr>
                <w:rFonts w:asciiTheme="minorHAnsi" w:hAnsiTheme="minorHAnsi" w:cstheme="minorHAnsi"/>
                <w:color w:val="000000"/>
              </w:rPr>
              <w:t xml:space="preserve"> ustawy z dnia 28 lipca 2005 r. </w:t>
            </w:r>
            <w:r w:rsidRPr="00A74AF3">
              <w:rPr>
                <w:rFonts w:asciiTheme="minorHAnsi" w:hAnsiTheme="minorHAnsi" w:cstheme="minorHAnsi"/>
                <w:b/>
                <w:bCs/>
                <w:color w:val="000000"/>
              </w:rPr>
              <w:t>o kosztach sądowych w sprawach cywilnych</w:t>
            </w:r>
            <w:r w:rsidRPr="002D7F0E">
              <w:rPr>
                <w:rFonts w:asciiTheme="minorHAnsi" w:hAnsiTheme="minorHAnsi" w:cstheme="minorHAnsi"/>
                <w:color w:val="000000"/>
              </w:rPr>
              <w:t xml:space="preserve"> (Dz. U. z 2018 r., poz. 300) ustawodawca przesądził, że opłatę od wniosku o wydanie kopii dokumentu znajdującego się w aktach sprawy, pobiera się w kwocie 1 złotego za każdą rozpoczętą stronicę wydanego dokumentu. Z </w:t>
            </w:r>
            <w:r w:rsidRPr="00A74AF3">
              <w:rPr>
                <w:rFonts w:asciiTheme="minorHAnsi" w:hAnsiTheme="minorHAnsi" w:cstheme="minorHAnsi"/>
                <w:b/>
                <w:bCs/>
                <w:color w:val="000000"/>
              </w:rPr>
              <w:t xml:space="preserve">art. 12a § 2 </w:t>
            </w:r>
            <w:proofErr w:type="spellStart"/>
            <w:r w:rsidRPr="00A74AF3">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wynika z kolei bezspornie prawo strony procesu sądowoadministracyjnego do otrzymywania kopii akt sprawy, zaś delegację ustawową do określenia wysokości opłat kancelaryjnych z tytułu wydanych kopii dokumentów ujęto w </w:t>
            </w:r>
            <w:r w:rsidRPr="00A74AF3">
              <w:rPr>
                <w:rFonts w:asciiTheme="minorHAnsi" w:hAnsiTheme="minorHAnsi" w:cstheme="minorHAnsi"/>
                <w:b/>
                <w:bCs/>
                <w:color w:val="000000"/>
              </w:rPr>
              <w:t>art. 236 cyt. ustawy</w:t>
            </w:r>
            <w:r w:rsidRPr="002D7F0E">
              <w:rPr>
                <w:rFonts w:asciiTheme="minorHAnsi" w:hAnsiTheme="minorHAnsi" w:cstheme="minorHAnsi"/>
                <w:color w:val="000000"/>
              </w:rPr>
              <w:t xml:space="preserve">. Wysokość tej opłaty za każdą stronę wydanej kserokopii lub wydruku z akt sądowoadministracyjnych wynosi 2 zł, co wynika z </w:t>
            </w:r>
            <w:r w:rsidRPr="00A74AF3">
              <w:rPr>
                <w:rFonts w:asciiTheme="minorHAnsi" w:hAnsiTheme="minorHAnsi" w:cstheme="minorHAnsi"/>
                <w:b/>
                <w:bCs/>
                <w:color w:val="000000"/>
              </w:rPr>
              <w:t>§ 1 pkt 2</w:t>
            </w:r>
            <w:r w:rsidRPr="002D7F0E">
              <w:rPr>
                <w:rFonts w:asciiTheme="minorHAnsi" w:hAnsiTheme="minorHAnsi" w:cstheme="minorHAnsi"/>
                <w:color w:val="000000"/>
              </w:rPr>
              <w:t xml:space="preserve"> rozporządzenia Rady Ministrów z dnia 16 grudnia 2003 r. </w:t>
            </w:r>
            <w:r w:rsidRPr="00A74AF3">
              <w:rPr>
                <w:rFonts w:asciiTheme="minorHAnsi" w:hAnsiTheme="minorHAnsi" w:cstheme="minorHAnsi"/>
                <w:b/>
                <w:bCs/>
                <w:color w:val="000000"/>
              </w:rPr>
              <w:t>w sprawie wysokości opłat kancelaryjnych w sprawach sądowoadministracyjnych</w:t>
            </w:r>
            <w:r w:rsidRPr="002D7F0E">
              <w:rPr>
                <w:rFonts w:asciiTheme="minorHAnsi" w:hAnsiTheme="minorHAnsi" w:cstheme="minorHAnsi"/>
                <w:color w:val="000000"/>
              </w:rPr>
              <w:t xml:space="preserve"> (Dz. U. z 2003 r., Nr 221, poz. 2192).</w:t>
            </w:r>
          </w:p>
          <w:p w14:paraId="1EF49545" w14:textId="6BB7820E"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 xml:space="preserve">Kwestia odpłatności z tytułu wykonania kopii z akt sprawy była dostrzeżona we wniosku Rzecznika, choć nawet tam potraktowano ją zdawkowo. Z wystąpienia przedstawiciela wnioskodawcy podczas rozprawy wynikać miało, że podstawy w nałożeniu na stronę obowiązku poniesienia kosztów Rzecznik upatrywałby w przepisie </w:t>
            </w:r>
            <w:r w:rsidRPr="00A74AF3">
              <w:rPr>
                <w:rFonts w:asciiTheme="minorHAnsi" w:hAnsiTheme="minorHAnsi" w:cstheme="minorHAnsi"/>
                <w:b/>
                <w:bCs/>
                <w:color w:val="000000"/>
              </w:rPr>
              <w:t>art. 262 § 1 pkt 2 K.p.a</w:t>
            </w:r>
            <w:r w:rsidRPr="002D7F0E">
              <w:rPr>
                <w:rFonts w:asciiTheme="minorHAnsi" w:hAnsiTheme="minorHAnsi" w:cstheme="minorHAnsi"/>
                <w:color w:val="000000"/>
              </w:rPr>
              <w:t xml:space="preserve">., z którego wynika, że stronę obciążają m. in. te koszty, które zostały poniesione w interesie strony lub na jej żądanie, a nie wynikają z ustawowego obowiązku organu. Pogląd ten afirmowano w motywach podjętej uchwały. Jeśli tak, a brak jest w przepisach K.p.a. innej normy dającej podstawę do nałożenia na stronę obowiązku uiszczenia kosztów z tytułu sporządzenia na jej wniosek kopii z akt sprawy, to wynikałoby że </w:t>
            </w:r>
            <w:r w:rsidRPr="00A74AF3">
              <w:rPr>
                <w:rFonts w:asciiTheme="minorHAnsi" w:hAnsiTheme="minorHAnsi" w:cstheme="minorHAnsi"/>
                <w:b/>
                <w:bCs/>
                <w:color w:val="000000"/>
              </w:rPr>
              <w:t>art. 73 § 1 K.p.a</w:t>
            </w:r>
            <w:r w:rsidRPr="002D7F0E">
              <w:rPr>
                <w:rFonts w:asciiTheme="minorHAnsi" w:hAnsiTheme="minorHAnsi" w:cstheme="minorHAnsi"/>
                <w:color w:val="000000"/>
              </w:rPr>
              <w:t xml:space="preserve">. nie jest źródłem ustawowego obowiązku organu, aby sporządzać takie kopie, skoro z </w:t>
            </w:r>
            <w:r w:rsidRPr="00A74AF3">
              <w:rPr>
                <w:rFonts w:asciiTheme="minorHAnsi" w:hAnsiTheme="minorHAnsi" w:cstheme="minorHAnsi"/>
                <w:b/>
                <w:bCs/>
                <w:color w:val="000000"/>
              </w:rPr>
              <w:t>art. 262 § 1 pkt 2 K.p.a</w:t>
            </w:r>
            <w:r w:rsidRPr="002D7F0E">
              <w:rPr>
                <w:rFonts w:asciiTheme="minorHAnsi" w:hAnsiTheme="minorHAnsi" w:cstheme="minorHAnsi"/>
                <w:color w:val="000000"/>
              </w:rPr>
              <w:t xml:space="preserve">. wyraźnie takie sformułowanie wynika. Ponadto brak jest w Kodeksie wyraźnej </w:t>
            </w:r>
            <w:r w:rsidRPr="002D7F0E">
              <w:rPr>
                <w:rFonts w:asciiTheme="minorHAnsi" w:hAnsiTheme="minorHAnsi" w:cstheme="minorHAnsi"/>
                <w:color w:val="000000"/>
              </w:rPr>
              <w:lastRenderedPageBreak/>
              <w:t xml:space="preserve">podstawy normatywnej, aby regulować wysokość kosztów sporządzania kopii, na wzór aktów wykonawczych podjętych w takim zakresie przez właściwych ministrów lub Rady Ministrów, na podstawie delegacji zawartych chociażby w przepisach </w:t>
            </w:r>
            <w:proofErr w:type="spellStart"/>
            <w:r w:rsidRPr="00D611AB">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w:t>
            </w:r>
            <w:r w:rsidRPr="00D611AB">
              <w:rPr>
                <w:rFonts w:asciiTheme="minorHAnsi" w:hAnsiTheme="minorHAnsi" w:cstheme="minorHAnsi"/>
                <w:b/>
                <w:bCs/>
                <w:color w:val="000000"/>
              </w:rPr>
              <w:t>K.p.k</w:t>
            </w:r>
            <w:r w:rsidRPr="002D7F0E">
              <w:rPr>
                <w:rFonts w:asciiTheme="minorHAnsi" w:hAnsiTheme="minorHAnsi" w:cstheme="minorHAnsi"/>
                <w:color w:val="000000"/>
              </w:rPr>
              <w:t xml:space="preserve">. i </w:t>
            </w:r>
            <w:proofErr w:type="spellStart"/>
            <w:r w:rsidRPr="00D611AB">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Nie będzie chyba odległe od doświadczenia życiowego przypuszczenie, że organy administracji mogłyby </w:t>
            </w:r>
            <w:r w:rsidR="00A74AF3">
              <w:rPr>
                <w:rFonts w:asciiTheme="minorHAnsi" w:hAnsiTheme="minorHAnsi" w:cstheme="minorHAnsi"/>
                <w:color w:val="000000"/>
              </w:rPr>
              <w:t>-</w:t>
            </w:r>
            <w:r w:rsidRPr="002D7F0E">
              <w:rPr>
                <w:rFonts w:asciiTheme="minorHAnsi" w:hAnsiTheme="minorHAnsi" w:cstheme="minorHAnsi"/>
                <w:color w:val="000000"/>
              </w:rPr>
              <w:t xml:space="preserve"> gdyby dopuścić podjęcie przez nich np. stosownych zarządzeń w kwestii wysokości opłat za sporządzenie i wydanie kopii z akt sprawy </w:t>
            </w:r>
            <w:r w:rsidR="00A74AF3">
              <w:rPr>
                <w:rFonts w:asciiTheme="minorHAnsi" w:hAnsiTheme="minorHAnsi" w:cstheme="minorHAnsi"/>
                <w:color w:val="000000"/>
              </w:rPr>
              <w:t>-</w:t>
            </w:r>
            <w:r w:rsidRPr="002D7F0E">
              <w:rPr>
                <w:rFonts w:asciiTheme="minorHAnsi" w:hAnsiTheme="minorHAnsi" w:cstheme="minorHAnsi"/>
                <w:color w:val="000000"/>
              </w:rPr>
              <w:t xml:space="preserve"> tak określić wysokość tych kosztów, by miały one "</w:t>
            </w:r>
            <w:r w:rsidRPr="002D7F0E">
              <w:rPr>
                <w:rFonts w:asciiTheme="minorHAnsi" w:hAnsiTheme="minorHAnsi" w:cstheme="minorHAnsi"/>
                <w:i/>
                <w:color w:val="000000"/>
              </w:rPr>
              <w:t>odstraszać</w:t>
            </w:r>
            <w:r w:rsidRPr="002D7F0E">
              <w:rPr>
                <w:rFonts w:asciiTheme="minorHAnsi" w:hAnsiTheme="minorHAnsi" w:cstheme="minorHAnsi"/>
                <w:color w:val="000000"/>
              </w:rPr>
              <w:t>" fiskalnie strony przed żądaniem sporządzenia kopii z akt sprawy, to zaś powodowałoby iluzoryczną przydatność w zastosowaniu podjętej przez Skład siedmiu sędziów Naczelnego Sądu Administracyjnego uchwały. Odrębną kwestią jest także dość mgławicowa podstawa prawna do podjęcia takich zarządzeń.</w:t>
            </w:r>
          </w:p>
          <w:p w14:paraId="280F4325" w14:textId="77777777" w:rsidR="00F34079" w:rsidRPr="002D7F0E"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rPr>
            </w:pPr>
            <w:r w:rsidRPr="002D7F0E">
              <w:rPr>
                <w:rFonts w:asciiTheme="minorHAnsi" w:hAnsiTheme="minorHAnsi" w:cstheme="minorHAnsi"/>
                <w:color w:val="000000"/>
              </w:rPr>
              <w:t>W podjętej uchwale stanowczo stwierdzono, że wskazywane (w niej – uwaga R.S.) różnice w formie dostępu do akt pomiędzy procedurami "</w:t>
            </w:r>
            <w:r w:rsidRPr="002D7F0E">
              <w:rPr>
                <w:rFonts w:asciiTheme="minorHAnsi" w:hAnsiTheme="minorHAnsi" w:cstheme="minorHAnsi"/>
                <w:i/>
                <w:color w:val="000000"/>
              </w:rPr>
              <w:t>nie wpisują się w ideę nowoczesnego państwa</w:t>
            </w:r>
            <w:r w:rsidRPr="002D7F0E">
              <w:rPr>
                <w:rFonts w:asciiTheme="minorHAnsi" w:hAnsiTheme="minorHAnsi" w:cstheme="minorHAnsi"/>
                <w:color w:val="000000"/>
              </w:rPr>
              <w:t>", dalej odwołując się do konstytucyjnych regulacji dotyczących obowiązku zapewnienia każdemu dostępu do urzędowych dokumentów i zbiorów danych, zasady równości wobec prawa oraz zasady sprawiedliwości społecznej. Pomijając bliżej nie określone w uchwale wyobrażenie owych idei "</w:t>
            </w:r>
            <w:r w:rsidRPr="002D7F0E">
              <w:rPr>
                <w:rFonts w:asciiTheme="minorHAnsi" w:hAnsiTheme="minorHAnsi" w:cstheme="minorHAnsi"/>
                <w:i/>
                <w:color w:val="000000"/>
              </w:rPr>
              <w:t>nowoczesnego państwa</w:t>
            </w:r>
            <w:r w:rsidRPr="002D7F0E">
              <w:rPr>
                <w:rFonts w:asciiTheme="minorHAnsi" w:hAnsiTheme="minorHAnsi" w:cstheme="minorHAnsi"/>
                <w:color w:val="000000"/>
              </w:rPr>
              <w:t xml:space="preserve">", uważam że prawidłowa wykładnia przepisu </w:t>
            </w:r>
            <w:r w:rsidRPr="00D9715A">
              <w:rPr>
                <w:rFonts w:asciiTheme="minorHAnsi" w:hAnsiTheme="minorHAnsi" w:cstheme="minorHAnsi"/>
                <w:b/>
                <w:bCs/>
                <w:color w:val="000000"/>
              </w:rPr>
              <w:t>art. 73 § 1 K.p.a.</w:t>
            </w:r>
            <w:r w:rsidRPr="002D7F0E">
              <w:rPr>
                <w:rFonts w:asciiTheme="minorHAnsi" w:hAnsiTheme="minorHAnsi" w:cstheme="minorHAnsi"/>
                <w:color w:val="000000"/>
              </w:rPr>
              <w:t xml:space="preserve"> nie może sprowadzać się do pomijania dostrzegalnych różnic w rozwiązaniach proceduralnych, gdy idzie o sporządzenie na wniosek strony kopii akt sprawy, w treści przywołanych w uchwale przepisów </w:t>
            </w:r>
            <w:proofErr w:type="spellStart"/>
            <w:r w:rsidRPr="00D9715A">
              <w:rPr>
                <w:rFonts w:asciiTheme="minorHAnsi" w:hAnsiTheme="minorHAnsi" w:cstheme="minorHAnsi"/>
                <w:b/>
                <w:bCs/>
                <w:color w:val="000000"/>
              </w:rPr>
              <w:t>O.p</w:t>
            </w:r>
            <w:proofErr w:type="spellEnd"/>
            <w:r w:rsidRPr="002D7F0E">
              <w:rPr>
                <w:rFonts w:asciiTheme="minorHAnsi" w:hAnsiTheme="minorHAnsi" w:cstheme="minorHAnsi"/>
                <w:color w:val="000000"/>
              </w:rPr>
              <w:t xml:space="preserve">., </w:t>
            </w:r>
            <w:r w:rsidRPr="00D9715A">
              <w:rPr>
                <w:rFonts w:asciiTheme="minorHAnsi" w:hAnsiTheme="minorHAnsi" w:cstheme="minorHAnsi"/>
                <w:b/>
                <w:bCs/>
                <w:color w:val="000000"/>
              </w:rPr>
              <w:t>K.p.k</w:t>
            </w:r>
            <w:r w:rsidRPr="002D7F0E">
              <w:rPr>
                <w:rFonts w:asciiTheme="minorHAnsi" w:hAnsiTheme="minorHAnsi" w:cstheme="minorHAnsi"/>
                <w:color w:val="000000"/>
              </w:rPr>
              <w:t xml:space="preserve">., </w:t>
            </w:r>
            <w:r w:rsidRPr="00D9715A">
              <w:rPr>
                <w:rFonts w:asciiTheme="minorHAnsi" w:hAnsiTheme="minorHAnsi" w:cstheme="minorHAnsi"/>
                <w:b/>
                <w:bCs/>
                <w:color w:val="000000"/>
              </w:rPr>
              <w:t>K.p.c</w:t>
            </w:r>
            <w:r w:rsidRPr="002D7F0E">
              <w:rPr>
                <w:rFonts w:asciiTheme="minorHAnsi" w:hAnsiTheme="minorHAnsi" w:cstheme="minorHAnsi"/>
                <w:color w:val="000000"/>
              </w:rPr>
              <w:t xml:space="preserve">. i </w:t>
            </w:r>
            <w:proofErr w:type="spellStart"/>
            <w:r w:rsidRPr="00D9715A">
              <w:rPr>
                <w:rFonts w:asciiTheme="minorHAnsi" w:hAnsiTheme="minorHAnsi" w:cstheme="minorHAnsi"/>
                <w:b/>
                <w:bCs/>
                <w:color w:val="000000"/>
              </w:rPr>
              <w:t>Ppsa</w:t>
            </w:r>
            <w:proofErr w:type="spellEnd"/>
            <w:r w:rsidRPr="002D7F0E">
              <w:rPr>
                <w:rFonts w:asciiTheme="minorHAnsi" w:hAnsiTheme="minorHAnsi" w:cstheme="minorHAnsi"/>
                <w:color w:val="000000"/>
              </w:rPr>
              <w:t xml:space="preserve">, w porównaniu do rozwiązań przyjętych w Kodeksie, a znajdować z kolei uzasadnienie w postulacie zharmonizowania ich z tymi innymi procedurami. W uchwale I OPS 1/18 podkreślono, że na gruncie tej samej gałęzi prawa, mianowicie prawa administracyjnego, instytucja udostępniania akt stronie powinna być jednolicie stosowana, zgodnie z zasadą równości wobec prawa, zaś okoliczność, że ustawodawca w </w:t>
            </w:r>
            <w:r w:rsidRPr="00D9715A">
              <w:rPr>
                <w:rFonts w:asciiTheme="minorHAnsi" w:hAnsiTheme="minorHAnsi" w:cstheme="minorHAnsi"/>
                <w:b/>
                <w:bCs/>
                <w:color w:val="000000"/>
              </w:rPr>
              <w:t xml:space="preserve">art. 178 § 3 </w:t>
            </w:r>
            <w:proofErr w:type="spellStart"/>
            <w:r w:rsidRPr="00D9715A">
              <w:rPr>
                <w:rFonts w:asciiTheme="minorHAnsi" w:hAnsiTheme="minorHAnsi" w:cstheme="minorHAnsi"/>
                <w:b/>
                <w:bCs/>
                <w:color w:val="000000"/>
              </w:rPr>
              <w:t>O.p</w:t>
            </w:r>
            <w:proofErr w:type="spellEnd"/>
            <w:r w:rsidRPr="002D7F0E">
              <w:rPr>
                <w:rFonts w:asciiTheme="minorHAnsi" w:hAnsiTheme="minorHAnsi" w:cstheme="minorHAnsi"/>
                <w:color w:val="000000"/>
              </w:rPr>
              <w:t>. wyraźnie uregulował uprawnienie stron do otrzymywania kopii z akt oznacza tylko, że w tym postępowaniu usunięte zostało "ź</w:t>
            </w:r>
            <w:r w:rsidRPr="002D7F0E">
              <w:rPr>
                <w:rFonts w:asciiTheme="minorHAnsi" w:hAnsiTheme="minorHAnsi" w:cstheme="minorHAnsi"/>
                <w:i/>
                <w:color w:val="000000"/>
              </w:rPr>
              <w:t>ródło wątpliwości interpretacyjnych</w:t>
            </w:r>
            <w:r w:rsidRPr="002D7F0E">
              <w:rPr>
                <w:rFonts w:asciiTheme="minorHAnsi" w:hAnsiTheme="minorHAnsi" w:cstheme="minorHAnsi"/>
                <w:color w:val="000000"/>
              </w:rPr>
              <w:t xml:space="preserve">". Ta argumentacja nie jest przekonująca. Z </w:t>
            </w:r>
            <w:r w:rsidRPr="00D9715A">
              <w:rPr>
                <w:rFonts w:asciiTheme="minorHAnsi" w:hAnsiTheme="minorHAnsi" w:cstheme="minorHAnsi"/>
                <w:b/>
                <w:bCs/>
                <w:color w:val="000000"/>
              </w:rPr>
              <w:t xml:space="preserve">art. 178 § 1 </w:t>
            </w:r>
            <w:proofErr w:type="spellStart"/>
            <w:r w:rsidRPr="00D9715A">
              <w:rPr>
                <w:rFonts w:asciiTheme="minorHAnsi" w:hAnsiTheme="minorHAnsi" w:cstheme="minorHAnsi"/>
                <w:b/>
                <w:bCs/>
                <w:color w:val="000000"/>
              </w:rPr>
              <w:t>O.p</w:t>
            </w:r>
            <w:proofErr w:type="spellEnd"/>
            <w:r w:rsidRPr="00D9715A">
              <w:rPr>
                <w:rFonts w:asciiTheme="minorHAnsi" w:hAnsiTheme="minorHAnsi" w:cstheme="minorHAnsi"/>
                <w:b/>
                <w:bCs/>
                <w:color w:val="000000"/>
              </w:rPr>
              <w:t>.</w:t>
            </w:r>
            <w:r w:rsidRPr="002D7F0E">
              <w:rPr>
                <w:rFonts w:asciiTheme="minorHAnsi" w:hAnsiTheme="minorHAnsi" w:cstheme="minorHAnsi"/>
                <w:color w:val="000000"/>
              </w:rPr>
              <w:t xml:space="preserve"> wyraźnie wynika, że strona postępowania podatkowego ma prawo do sporządzania kopii przy pomocy własnych przenośnych urządzeń. Czym innym jest natomiast prawo strony postępowania podatkowego, wyrażone w </w:t>
            </w:r>
            <w:r w:rsidRPr="00D9715A">
              <w:rPr>
                <w:rFonts w:asciiTheme="minorHAnsi" w:hAnsiTheme="minorHAnsi" w:cstheme="minorHAnsi"/>
                <w:b/>
                <w:bCs/>
                <w:color w:val="000000"/>
              </w:rPr>
              <w:t>art. 178 § 3</w:t>
            </w:r>
            <w:r w:rsidRPr="002D7F0E">
              <w:rPr>
                <w:rFonts w:asciiTheme="minorHAnsi" w:hAnsiTheme="minorHAnsi" w:cstheme="minorHAnsi"/>
                <w:color w:val="000000"/>
              </w:rPr>
              <w:t xml:space="preserve"> cyt. ustawy, aby wydano na jej żądanie kopie akt sprawy, jak wcześniej wyłuszczono z konsekwencją w postaci konieczności uiszczenia wyraźnie unormowanych ustawowo, stosownych kosztów. Takiego uregulowania przepisy K.p.a. nie przewidują, zatem nie można go domniemywać przy pomocy oznaczonej wykładni </w:t>
            </w:r>
            <w:r w:rsidRPr="00D9715A">
              <w:rPr>
                <w:rFonts w:asciiTheme="minorHAnsi" w:hAnsiTheme="minorHAnsi" w:cstheme="minorHAnsi"/>
                <w:b/>
                <w:bCs/>
                <w:color w:val="000000"/>
              </w:rPr>
              <w:t>art. 73 § 1 K.p.a</w:t>
            </w:r>
            <w:r w:rsidRPr="002D7F0E">
              <w:rPr>
                <w:rFonts w:asciiTheme="minorHAnsi" w:hAnsiTheme="minorHAnsi" w:cstheme="minorHAnsi"/>
                <w:color w:val="000000"/>
              </w:rPr>
              <w:t>.</w:t>
            </w:r>
          </w:p>
          <w:p w14:paraId="6C8FBC6E" w14:textId="77777777" w:rsidR="00F34079" w:rsidRPr="00EC4F25" w:rsidRDefault="00F34079" w:rsidP="00F45910">
            <w:pPr>
              <w:pStyle w:val="NormalnyWeb"/>
              <w:spacing w:before="0" w:beforeAutospacing="0" w:after="111" w:afterAutospacing="0" w:line="360" w:lineRule="atLeast"/>
              <w:ind w:right="1114"/>
              <w:jc w:val="both"/>
              <w:rPr>
                <w:rFonts w:asciiTheme="minorHAnsi" w:hAnsiTheme="minorHAnsi" w:cstheme="minorHAnsi"/>
                <w:color w:val="000000"/>
                <w:sz w:val="22"/>
                <w:szCs w:val="22"/>
              </w:rPr>
            </w:pPr>
            <w:r w:rsidRPr="002D7F0E">
              <w:rPr>
                <w:rFonts w:asciiTheme="minorHAnsi" w:hAnsiTheme="minorHAnsi" w:cstheme="minorHAnsi"/>
                <w:color w:val="000000"/>
              </w:rPr>
              <w:t xml:space="preserve">J. Te wszystkie powody skłoniły mnie do tego, że uznałem, iż na wniosek Rzecznika Praw Obywatelskich należało udzielić następującej odpowiedzi: Z </w:t>
            </w:r>
            <w:r w:rsidRPr="00D9715A">
              <w:rPr>
                <w:rFonts w:asciiTheme="minorHAnsi" w:hAnsiTheme="minorHAnsi" w:cstheme="minorHAnsi"/>
                <w:b/>
                <w:bCs/>
                <w:color w:val="000000"/>
              </w:rPr>
              <w:t>art. 73 § 1 Kodeksu postępowania administracyjnego</w:t>
            </w:r>
            <w:r w:rsidRPr="002D7F0E">
              <w:rPr>
                <w:rFonts w:asciiTheme="minorHAnsi" w:hAnsiTheme="minorHAnsi" w:cstheme="minorHAnsi"/>
                <w:color w:val="000000"/>
              </w:rPr>
              <w:t xml:space="preserve"> nie wynika ustawowy obowiązek organu administracji publicznej sporządzenia na żądanie strony kopii z akt sprawy.</w:t>
            </w:r>
          </w:p>
        </w:tc>
      </w:tr>
    </w:tbl>
    <w:bookmarkEnd w:id="82"/>
    <w:p w14:paraId="1F5850A6" w14:textId="2E1F6682" w:rsidR="0091670F" w:rsidRDefault="00972F3D" w:rsidP="0039256E">
      <w:pPr>
        <w:rPr>
          <w:rFonts w:cstheme="minorHAnsi"/>
          <w:bCs/>
          <w:sz w:val="24"/>
          <w:szCs w:val="24"/>
        </w:rPr>
      </w:pPr>
      <w:r>
        <w:rPr>
          <w:noProof/>
          <w:sz w:val="20"/>
          <w:szCs w:val="20"/>
        </w:rPr>
        <w:lastRenderedPageBreak/>
        <w:drawing>
          <wp:anchor distT="0" distB="0" distL="114300" distR="114300" simplePos="0" relativeHeight="252319744" behindDoc="0" locked="0" layoutInCell="1" allowOverlap="1" wp14:anchorId="5C0552AD" wp14:editId="7FED4886">
            <wp:simplePos x="0" y="0"/>
            <wp:positionH relativeFrom="margin">
              <wp:posOffset>2662859</wp:posOffset>
            </wp:positionH>
            <wp:positionV relativeFrom="paragraph">
              <wp:posOffset>316230</wp:posOffset>
            </wp:positionV>
            <wp:extent cx="409575" cy="152400"/>
            <wp:effectExtent l="0" t="0" r="9525" b="0"/>
            <wp:wrapNone/>
            <wp:docPr id="193474458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575" cy="152400"/>
                    </a:xfrm>
                    <a:prstGeom prst="rect">
                      <a:avLst/>
                    </a:prstGeom>
                    <a:noFill/>
                  </pic:spPr>
                </pic:pic>
              </a:graphicData>
            </a:graphic>
          </wp:anchor>
        </w:drawing>
      </w:r>
      <w:r w:rsidR="0091670F" w:rsidRPr="00101557">
        <w:rPr>
          <w:b/>
          <w:bCs/>
          <w:sz w:val="24"/>
          <w:szCs w:val="24"/>
        </w:rPr>
        <w:t>Uwag</w:t>
      </w:r>
      <w:r w:rsidR="00CB5915">
        <w:rPr>
          <w:b/>
          <w:bCs/>
          <w:sz w:val="24"/>
          <w:szCs w:val="24"/>
        </w:rPr>
        <w:t>ę</w:t>
      </w:r>
      <w:r w:rsidR="0091670F" w:rsidRPr="00101557">
        <w:rPr>
          <w:b/>
          <w:bCs/>
          <w:sz w:val="24"/>
          <w:szCs w:val="24"/>
        </w:rPr>
        <w:t xml:space="preserve"> Redakcji</w:t>
      </w:r>
      <w:r w:rsidR="0091670F" w:rsidRPr="002E484E">
        <w:rPr>
          <w:b/>
          <w:bCs/>
          <w:sz w:val="24"/>
          <w:szCs w:val="24"/>
        </w:rPr>
        <w:t xml:space="preserve"> </w:t>
      </w:r>
      <w:r w:rsidR="0091670F">
        <w:rPr>
          <w:rFonts w:cstheme="minorHAnsi"/>
          <w:bCs/>
          <w:sz w:val="24"/>
          <w:szCs w:val="24"/>
        </w:rPr>
        <w:t>do przypomnianej wyżej uchwały</w:t>
      </w:r>
      <w:r w:rsidR="0091670F">
        <w:rPr>
          <w:rFonts w:cstheme="minorHAnsi"/>
          <w:color w:val="000000"/>
        </w:rPr>
        <w:t xml:space="preserve"> </w:t>
      </w:r>
      <w:r w:rsidR="0091670F">
        <w:rPr>
          <w:rFonts w:cstheme="minorHAnsi"/>
          <w:bCs/>
          <w:sz w:val="24"/>
          <w:szCs w:val="24"/>
        </w:rPr>
        <w:t xml:space="preserve">opracowali: </w:t>
      </w:r>
    </w:p>
    <w:p w14:paraId="1A1AA954" w14:textId="07AE440E" w:rsidR="0091670F" w:rsidRPr="00162CBD" w:rsidRDefault="0091670F" w:rsidP="005A2B42">
      <w:pPr>
        <w:spacing w:after="0"/>
        <w:ind w:left="708" w:firstLine="708"/>
        <w:rPr>
          <w:b/>
          <w:bCs/>
          <w:sz w:val="24"/>
          <w:szCs w:val="24"/>
          <w:u w:val="single"/>
        </w:rPr>
      </w:pPr>
      <w:r w:rsidRPr="006A1234">
        <w:rPr>
          <w:rFonts w:cstheme="minorHAnsi"/>
          <w:b/>
          <w:bCs/>
          <w:color w:val="000000"/>
        </w:rPr>
        <w:lastRenderedPageBreak/>
        <w:t>AUTORZY</w:t>
      </w:r>
      <w:r w:rsidR="005F3768">
        <w:rPr>
          <w:rFonts w:cstheme="minorHAnsi"/>
          <w:b/>
          <w:bCs/>
          <w:color w:val="000000"/>
        </w:rPr>
        <w:t xml:space="preserve"> Uwag Redakcji</w:t>
      </w:r>
      <w:r w:rsidRPr="006A1234">
        <w:rPr>
          <w:rFonts w:cstheme="minorHAnsi"/>
          <w:b/>
          <w:bCs/>
          <w:color w:val="000000"/>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552"/>
        <w:gridCol w:w="5244"/>
      </w:tblGrid>
      <w:tr w:rsidR="0091670F" w:rsidRPr="006A1234" w14:paraId="7A8DDD82" w14:textId="77777777" w:rsidTr="004E0278">
        <w:tc>
          <w:tcPr>
            <w:tcW w:w="1276" w:type="dxa"/>
          </w:tcPr>
          <w:p w14:paraId="0BDEB7C3" w14:textId="77777777" w:rsidR="0091670F" w:rsidRPr="00EC4F25" w:rsidRDefault="0091670F" w:rsidP="004E0278">
            <w:pPr>
              <w:rPr>
                <w:rFonts w:cstheme="minorHAnsi"/>
                <w:b/>
                <w:bCs/>
                <w:noProof/>
                <w:sz w:val="18"/>
                <w:szCs w:val="18"/>
              </w:rPr>
            </w:pPr>
          </w:p>
        </w:tc>
        <w:tc>
          <w:tcPr>
            <w:tcW w:w="7796" w:type="dxa"/>
            <w:gridSpan w:val="2"/>
          </w:tcPr>
          <w:p w14:paraId="7A3C68D0" w14:textId="77777777" w:rsidR="0091670F" w:rsidRPr="005A2B42" w:rsidRDefault="0091670F" w:rsidP="004E0278">
            <w:pPr>
              <w:rPr>
                <w:rFonts w:asciiTheme="minorHAnsi" w:hAnsiTheme="minorHAnsi" w:cstheme="minorHAnsi"/>
                <w:b/>
                <w:bCs/>
                <w:color w:val="000000"/>
                <w:sz w:val="10"/>
                <w:szCs w:val="10"/>
              </w:rPr>
            </w:pPr>
          </w:p>
        </w:tc>
      </w:tr>
      <w:tr w:rsidR="0091670F" w:rsidRPr="001D7639" w14:paraId="2B5741F0" w14:textId="77777777" w:rsidTr="004E0278">
        <w:tc>
          <w:tcPr>
            <w:tcW w:w="1276" w:type="dxa"/>
          </w:tcPr>
          <w:p w14:paraId="2F77BE70" w14:textId="77777777" w:rsidR="0091670F" w:rsidRPr="001237AA" w:rsidRDefault="0091670F" w:rsidP="004E0278">
            <w:pPr>
              <w:rPr>
                <w:rFonts w:cstheme="minorHAnsi"/>
                <w:b/>
                <w:bCs/>
                <w:color w:val="000000"/>
                <w:sz w:val="6"/>
                <w:szCs w:val="6"/>
              </w:rPr>
            </w:pPr>
          </w:p>
          <w:p w14:paraId="1FD18C0E" w14:textId="77777777" w:rsidR="0091670F" w:rsidRDefault="0091670F" w:rsidP="004E0278">
            <w:pPr>
              <w:rPr>
                <w:rFonts w:cstheme="minorHAnsi"/>
                <w:b/>
                <w:bCs/>
                <w:color w:val="000000"/>
                <w:sz w:val="26"/>
                <w:szCs w:val="26"/>
              </w:rPr>
            </w:pPr>
            <w:r>
              <w:rPr>
                <w:noProof/>
              </w:rPr>
              <w:drawing>
                <wp:inline distT="0" distB="0" distL="0" distR="0" wp14:anchorId="1F99FA0F" wp14:editId="711ADAA7">
                  <wp:extent cx="662400" cy="900000"/>
                  <wp:effectExtent l="0" t="0" r="4445" b="0"/>
                  <wp:docPr id="937765359"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0722"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7796" w:type="dxa"/>
            <w:gridSpan w:val="2"/>
          </w:tcPr>
          <w:p w14:paraId="44F6C5DC" w14:textId="77777777" w:rsidR="0091670F" w:rsidRPr="00017FFD" w:rsidRDefault="0091670F" w:rsidP="004E0278">
            <w:pPr>
              <w:rPr>
                <w:rFonts w:asciiTheme="minorHAnsi" w:hAnsiTheme="minorHAnsi" w:cstheme="minorHAnsi"/>
                <w:bCs/>
                <w:color w:val="000000"/>
                <w:sz w:val="24"/>
                <w:szCs w:val="24"/>
              </w:rPr>
            </w:pPr>
            <w:r w:rsidRPr="00017FFD">
              <w:rPr>
                <w:rFonts w:asciiTheme="minorHAnsi" w:hAnsiTheme="minorHAnsi" w:cstheme="minorHAnsi"/>
                <w:bCs/>
                <w:color w:val="000000"/>
                <w:sz w:val="24"/>
                <w:szCs w:val="24"/>
              </w:rPr>
              <w:t>Marek BESLER</w:t>
            </w:r>
          </w:p>
          <w:p w14:paraId="129E3ECB" w14:textId="71A6C8DF" w:rsidR="0035196C" w:rsidRPr="00017FFD" w:rsidRDefault="007A5198" w:rsidP="0035196C">
            <w:pPr>
              <w:pStyle w:val="Akapitzlist"/>
              <w:numPr>
                <w:ilvl w:val="0"/>
                <w:numId w:val="47"/>
              </w:numPr>
              <w:ind w:left="320" w:hanging="334"/>
              <w:rPr>
                <w:rFonts w:eastAsia="Times New Roman" w:cstheme="minorHAnsi"/>
                <w:bCs/>
                <w:color w:val="000000"/>
                <w:sz w:val="22"/>
                <w:szCs w:val="22"/>
              </w:rPr>
            </w:pPr>
            <w:r w:rsidRPr="00017FFD">
              <w:rPr>
                <w:rFonts w:eastAsia="Times New Roman" w:cstheme="minorHAnsi"/>
                <w:bCs/>
                <w:color w:val="000000"/>
                <w:sz w:val="22"/>
                <w:szCs w:val="22"/>
              </w:rPr>
              <w:t>współorzekający w Komisji Odwoławczej przy Urzędzie Patentowym w sprawach własności przemysłowej, składom której przewodniczyli sędziowie Sądu Najwyższego, w latach 1979 -2001</w:t>
            </w:r>
            <w:r w:rsidR="0035196C" w:rsidRPr="00017FFD">
              <w:rPr>
                <w:rFonts w:eastAsia="Times New Roman" w:cstheme="minorHAnsi"/>
                <w:bCs/>
                <w:color w:val="000000"/>
                <w:sz w:val="22"/>
                <w:szCs w:val="22"/>
              </w:rPr>
              <w:t xml:space="preserve"> </w:t>
            </w:r>
            <w:r w:rsidR="00797577" w:rsidRPr="00017FFD">
              <w:rPr>
                <w:rFonts w:eastAsia="Times New Roman" w:cstheme="minorHAnsi"/>
                <w:bCs/>
                <w:color w:val="000000"/>
                <w:sz w:val="22"/>
                <w:szCs w:val="22"/>
              </w:rPr>
              <w:t xml:space="preserve"> </w:t>
            </w:r>
          </w:p>
          <w:p w14:paraId="4A115B6B" w14:textId="7B199439" w:rsidR="0091670F" w:rsidRPr="00017FFD" w:rsidRDefault="0091670F" w:rsidP="004E0278">
            <w:pPr>
              <w:pStyle w:val="Akapitzlist"/>
              <w:numPr>
                <w:ilvl w:val="0"/>
                <w:numId w:val="47"/>
              </w:numPr>
              <w:ind w:left="320" w:hanging="334"/>
              <w:rPr>
                <w:rFonts w:cstheme="minorHAnsi"/>
                <w:bCs/>
                <w:color w:val="000000"/>
                <w:sz w:val="22"/>
                <w:szCs w:val="22"/>
              </w:rPr>
            </w:pPr>
            <w:r w:rsidRPr="00017FFD">
              <w:rPr>
                <w:rFonts w:cstheme="minorHAnsi"/>
                <w:bCs/>
                <w:color w:val="000000"/>
                <w:sz w:val="22"/>
                <w:szCs w:val="22"/>
              </w:rPr>
              <w:t>rzecznik patentowy nr 1571</w:t>
            </w:r>
          </w:p>
          <w:p w14:paraId="16ECF130" w14:textId="77777777" w:rsidR="0091670F" w:rsidRPr="00017FFD" w:rsidRDefault="0091670F" w:rsidP="004E0278">
            <w:pPr>
              <w:pStyle w:val="Akapitzlist"/>
              <w:numPr>
                <w:ilvl w:val="0"/>
                <w:numId w:val="47"/>
              </w:numPr>
              <w:ind w:left="320" w:hanging="334"/>
              <w:rPr>
                <w:rFonts w:cstheme="minorHAnsi"/>
                <w:bCs/>
                <w:color w:val="000000"/>
                <w:sz w:val="22"/>
                <w:szCs w:val="22"/>
              </w:rPr>
            </w:pPr>
            <w:r w:rsidRPr="00017FFD">
              <w:rPr>
                <w:rFonts w:cstheme="minorHAnsi"/>
                <w:bCs/>
                <w:color w:val="000000"/>
                <w:sz w:val="22"/>
                <w:szCs w:val="22"/>
              </w:rPr>
              <w:t>profesjonalny pełnomocnik przed EUIPO (</w:t>
            </w:r>
            <w:r w:rsidRPr="00017FFD">
              <w:rPr>
                <w:rFonts w:cstheme="minorHAnsi"/>
                <w:bCs/>
                <w:i/>
                <w:color w:val="000000"/>
                <w:sz w:val="22"/>
                <w:szCs w:val="22"/>
              </w:rPr>
              <w:t>European Union Intellectual Property Office</w:t>
            </w:r>
            <w:r w:rsidRPr="00017FFD">
              <w:rPr>
                <w:rFonts w:cstheme="minorHAnsi"/>
                <w:bCs/>
                <w:color w:val="000000"/>
                <w:sz w:val="22"/>
                <w:szCs w:val="22"/>
              </w:rPr>
              <w:t xml:space="preserve"> – Urząd Unii Europejskiej ds. Własności Intelektualnej), nr 27177</w:t>
            </w:r>
          </w:p>
          <w:p w14:paraId="1AED85B2" w14:textId="77777777" w:rsidR="0091670F" w:rsidRPr="00017FFD" w:rsidRDefault="0091670F" w:rsidP="004E0278">
            <w:pPr>
              <w:pStyle w:val="Akapitzlist"/>
              <w:numPr>
                <w:ilvl w:val="0"/>
                <w:numId w:val="47"/>
              </w:numPr>
              <w:ind w:left="320" w:hanging="334"/>
              <w:rPr>
                <w:rFonts w:cstheme="minorHAnsi"/>
                <w:bCs/>
                <w:color w:val="000000"/>
                <w:sz w:val="22"/>
                <w:szCs w:val="22"/>
              </w:rPr>
            </w:pPr>
            <w:r w:rsidRPr="00017FFD">
              <w:rPr>
                <w:rFonts w:cstheme="minorHAnsi"/>
                <w:bCs/>
                <w:color w:val="000000"/>
                <w:sz w:val="22"/>
                <w:szCs w:val="22"/>
              </w:rPr>
              <w:t>Europejski Rzecznik Patentowy nr 138820</w:t>
            </w:r>
          </w:p>
          <w:p w14:paraId="252ECD8A" w14:textId="77777777" w:rsidR="0091670F" w:rsidRPr="00017FFD" w:rsidRDefault="0091670F" w:rsidP="004E0278">
            <w:pPr>
              <w:pStyle w:val="Akapitzlist"/>
              <w:numPr>
                <w:ilvl w:val="0"/>
                <w:numId w:val="47"/>
              </w:numPr>
              <w:ind w:left="320" w:hanging="334"/>
              <w:rPr>
                <w:rFonts w:cstheme="minorHAnsi"/>
                <w:bCs/>
                <w:color w:val="000000"/>
                <w:sz w:val="22"/>
                <w:szCs w:val="22"/>
              </w:rPr>
            </w:pPr>
            <w:r w:rsidRPr="00017FFD">
              <w:rPr>
                <w:rFonts w:cstheme="minorHAnsi"/>
                <w:bCs/>
                <w:color w:val="000000"/>
                <w:sz w:val="22"/>
                <w:szCs w:val="22"/>
              </w:rPr>
              <w:t>Prezes Polskiej Izby Rzeczników Patentowych w latach 2002-2005</w:t>
            </w:r>
          </w:p>
          <w:p w14:paraId="0F8FF2BD" w14:textId="77777777" w:rsidR="0091670F" w:rsidRPr="00017FFD" w:rsidRDefault="0091670F" w:rsidP="004E0278">
            <w:pPr>
              <w:pStyle w:val="Akapitzlist"/>
              <w:numPr>
                <w:ilvl w:val="0"/>
                <w:numId w:val="47"/>
              </w:numPr>
              <w:ind w:left="320" w:hanging="334"/>
              <w:rPr>
                <w:rFonts w:cstheme="minorHAnsi"/>
                <w:bCs/>
                <w:color w:val="000000"/>
                <w:sz w:val="22"/>
                <w:szCs w:val="22"/>
              </w:rPr>
            </w:pPr>
            <w:r w:rsidRPr="00017FFD">
              <w:rPr>
                <w:rFonts w:cstheme="minorHAnsi"/>
                <w:bCs/>
                <w:color w:val="000000"/>
                <w:sz w:val="22"/>
                <w:szCs w:val="22"/>
              </w:rPr>
              <w:t>Wiceprezes Zarządu StoWI od 2023 r.</w:t>
            </w:r>
          </w:p>
          <w:p w14:paraId="205FFAB4" w14:textId="77777777" w:rsidR="0091670F" w:rsidRPr="00017FFD" w:rsidRDefault="0091670F" w:rsidP="004E0278">
            <w:pPr>
              <w:pStyle w:val="Akapitzlist"/>
              <w:numPr>
                <w:ilvl w:val="0"/>
                <w:numId w:val="47"/>
              </w:numPr>
              <w:ind w:left="320" w:hanging="334"/>
              <w:rPr>
                <w:rFonts w:cstheme="minorHAnsi"/>
                <w:bCs/>
                <w:color w:val="000000"/>
                <w:sz w:val="22"/>
                <w:szCs w:val="22"/>
              </w:rPr>
            </w:pPr>
            <w:r w:rsidRPr="00017FFD">
              <w:rPr>
                <w:rFonts w:cstheme="minorHAnsi"/>
                <w:bCs/>
                <w:color w:val="000000"/>
                <w:sz w:val="22"/>
                <w:szCs w:val="22"/>
              </w:rPr>
              <w:t>Redaktor naczelny Kwartalnika „THINK-TANK WSZYSTKO o IP w PL” od listopada 2023 r.</w:t>
            </w:r>
          </w:p>
          <w:p w14:paraId="1D218E27" w14:textId="77777777" w:rsidR="0091670F" w:rsidRPr="001D7639" w:rsidRDefault="0091670F" w:rsidP="004E0278">
            <w:pPr>
              <w:ind w:left="658"/>
              <w:rPr>
                <w:rFonts w:cstheme="minorHAnsi"/>
                <w:bCs/>
                <w:color w:val="000000"/>
                <w:sz w:val="22"/>
                <w:szCs w:val="22"/>
              </w:rPr>
            </w:pPr>
          </w:p>
        </w:tc>
      </w:tr>
      <w:tr w:rsidR="0091670F" w:rsidRPr="006A1234" w14:paraId="539D25DA" w14:textId="77777777" w:rsidTr="004E0278">
        <w:tc>
          <w:tcPr>
            <w:tcW w:w="1276" w:type="dxa"/>
          </w:tcPr>
          <w:p w14:paraId="4D8970E0" w14:textId="77777777" w:rsidR="0091670F" w:rsidRPr="001237AA" w:rsidRDefault="0091670F" w:rsidP="004E0278">
            <w:pPr>
              <w:tabs>
                <w:tab w:val="left" w:pos="2261"/>
              </w:tabs>
              <w:rPr>
                <w:rFonts w:cstheme="minorHAnsi"/>
                <w:b/>
                <w:bCs/>
                <w:color w:val="000000"/>
                <w:sz w:val="6"/>
                <w:szCs w:val="6"/>
              </w:rPr>
            </w:pPr>
          </w:p>
          <w:p w14:paraId="2CBC0F4D" w14:textId="77777777" w:rsidR="0091670F" w:rsidRDefault="0091670F" w:rsidP="004E0278">
            <w:pPr>
              <w:tabs>
                <w:tab w:val="left" w:pos="2261"/>
              </w:tabs>
              <w:rPr>
                <w:rFonts w:cstheme="minorHAnsi"/>
                <w:b/>
                <w:bCs/>
                <w:color w:val="000000"/>
                <w:sz w:val="26"/>
                <w:szCs w:val="26"/>
              </w:rPr>
            </w:pPr>
            <w:r>
              <w:rPr>
                <w:noProof/>
              </w:rPr>
              <w:drawing>
                <wp:inline distT="0" distB="0" distL="0" distR="0" wp14:anchorId="2E432444" wp14:editId="60D3183F">
                  <wp:extent cx="658800" cy="900000"/>
                  <wp:effectExtent l="0" t="0" r="8255" b="0"/>
                  <wp:docPr id="2012880890"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9886"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7796" w:type="dxa"/>
            <w:gridSpan w:val="2"/>
          </w:tcPr>
          <w:p w14:paraId="45A3D337" w14:textId="77777777" w:rsidR="0091670F" w:rsidRPr="00017FFD" w:rsidRDefault="0091670F" w:rsidP="004E0278">
            <w:pPr>
              <w:rPr>
                <w:rFonts w:asciiTheme="minorHAnsi" w:hAnsiTheme="minorHAnsi" w:cstheme="minorHAnsi"/>
                <w:bCs/>
                <w:color w:val="000000"/>
                <w:sz w:val="24"/>
                <w:szCs w:val="24"/>
              </w:rPr>
            </w:pPr>
            <w:r w:rsidRPr="00017FFD">
              <w:rPr>
                <w:rFonts w:asciiTheme="minorHAnsi" w:hAnsiTheme="minorHAnsi" w:cstheme="minorHAnsi"/>
                <w:bCs/>
                <w:color w:val="000000"/>
                <w:sz w:val="24"/>
                <w:szCs w:val="24"/>
              </w:rPr>
              <w:t>Anna KORBELA</w:t>
            </w:r>
          </w:p>
          <w:p w14:paraId="3F74D32C" w14:textId="7773A2E6" w:rsidR="00755F82" w:rsidRPr="00017FFD" w:rsidRDefault="00E86418" w:rsidP="004E0278">
            <w:pPr>
              <w:pStyle w:val="Akapitzlist"/>
              <w:numPr>
                <w:ilvl w:val="0"/>
                <w:numId w:val="45"/>
              </w:numPr>
              <w:ind w:left="320" w:hanging="334"/>
              <w:rPr>
                <w:rFonts w:cstheme="minorHAnsi"/>
                <w:bCs/>
                <w:color w:val="000000"/>
                <w:sz w:val="22"/>
                <w:szCs w:val="22"/>
              </w:rPr>
            </w:pPr>
            <w:r w:rsidRPr="00017FFD">
              <w:rPr>
                <w:rFonts w:cstheme="minorHAnsi"/>
                <w:bCs/>
                <w:color w:val="000000"/>
                <w:sz w:val="22"/>
                <w:szCs w:val="22"/>
              </w:rPr>
              <w:t xml:space="preserve">w 1994 r. </w:t>
            </w:r>
            <w:r w:rsidR="00FE4722" w:rsidRPr="00017FFD">
              <w:rPr>
                <w:rFonts w:cstheme="minorHAnsi"/>
                <w:bCs/>
                <w:color w:val="000000"/>
                <w:sz w:val="22"/>
                <w:szCs w:val="22"/>
              </w:rPr>
              <w:t xml:space="preserve">zdała </w:t>
            </w:r>
            <w:r w:rsidR="00755F82" w:rsidRPr="00017FFD">
              <w:rPr>
                <w:rFonts w:cstheme="minorHAnsi"/>
                <w:bCs/>
                <w:color w:val="000000"/>
                <w:sz w:val="22"/>
                <w:szCs w:val="22"/>
              </w:rPr>
              <w:t>egzamin sędziowski poprzedzony etatową aplikacją sędziowską (złożony z</w:t>
            </w:r>
            <w:r w:rsidR="00123357" w:rsidRPr="00017FFD">
              <w:rPr>
                <w:rFonts w:cstheme="minorHAnsi"/>
                <w:bCs/>
                <w:color w:val="000000"/>
                <w:sz w:val="22"/>
                <w:szCs w:val="22"/>
              </w:rPr>
              <w:t xml:space="preserve"> dobrym</w:t>
            </w:r>
            <w:r w:rsidR="00755F82" w:rsidRPr="00017FFD">
              <w:rPr>
                <w:rFonts w:cstheme="minorHAnsi"/>
                <w:bCs/>
                <w:color w:val="000000"/>
                <w:sz w:val="22"/>
                <w:szCs w:val="22"/>
              </w:rPr>
              <w:t xml:space="preserve"> wynikiem, umożliwiającym podjęcie kariery sędziowskiej</w:t>
            </w:r>
            <w:r w:rsidR="00D76DA8" w:rsidRPr="00017FFD">
              <w:rPr>
                <w:rFonts w:cstheme="minorHAnsi"/>
                <w:bCs/>
                <w:color w:val="000000"/>
                <w:sz w:val="22"/>
                <w:szCs w:val="22"/>
              </w:rPr>
              <w:t>)</w:t>
            </w:r>
          </w:p>
          <w:p w14:paraId="38EAC171" w14:textId="36218840" w:rsidR="0091670F" w:rsidRPr="00017FFD" w:rsidRDefault="0091670F" w:rsidP="004E0278">
            <w:pPr>
              <w:pStyle w:val="Akapitzlist"/>
              <w:numPr>
                <w:ilvl w:val="0"/>
                <w:numId w:val="45"/>
              </w:numPr>
              <w:ind w:left="320" w:hanging="334"/>
              <w:rPr>
                <w:rFonts w:cstheme="minorHAnsi"/>
                <w:bCs/>
                <w:color w:val="000000"/>
                <w:sz w:val="22"/>
                <w:szCs w:val="22"/>
              </w:rPr>
            </w:pPr>
            <w:r w:rsidRPr="00017FFD">
              <w:rPr>
                <w:rFonts w:cstheme="minorHAnsi"/>
                <w:bCs/>
                <w:color w:val="000000"/>
                <w:sz w:val="22"/>
                <w:szCs w:val="22"/>
              </w:rPr>
              <w:t>rzecznik patentowy nr 3040</w:t>
            </w:r>
          </w:p>
          <w:p w14:paraId="210BEB70" w14:textId="77777777" w:rsidR="0091670F" w:rsidRPr="00017FFD" w:rsidRDefault="0091670F" w:rsidP="004E0278">
            <w:pPr>
              <w:pStyle w:val="Akapitzlist"/>
              <w:numPr>
                <w:ilvl w:val="0"/>
                <w:numId w:val="45"/>
              </w:numPr>
              <w:ind w:left="320" w:hanging="334"/>
              <w:rPr>
                <w:rFonts w:cstheme="minorHAnsi"/>
                <w:bCs/>
                <w:color w:val="000000"/>
                <w:sz w:val="22"/>
                <w:szCs w:val="22"/>
              </w:rPr>
            </w:pPr>
            <w:r w:rsidRPr="00017FFD">
              <w:rPr>
                <w:rFonts w:cstheme="minorHAnsi"/>
                <w:bCs/>
                <w:color w:val="000000"/>
                <w:sz w:val="22"/>
                <w:szCs w:val="22"/>
              </w:rPr>
              <w:t>radca prawny nr 364/96</w:t>
            </w:r>
          </w:p>
          <w:p w14:paraId="6153E3EE" w14:textId="77777777" w:rsidR="0091670F" w:rsidRPr="00017FFD" w:rsidRDefault="0091670F" w:rsidP="004E0278">
            <w:pPr>
              <w:pStyle w:val="Akapitzlist"/>
              <w:numPr>
                <w:ilvl w:val="0"/>
                <w:numId w:val="45"/>
              </w:numPr>
              <w:ind w:left="320" w:hanging="334"/>
              <w:rPr>
                <w:rFonts w:cstheme="minorHAnsi"/>
                <w:bCs/>
                <w:color w:val="000000"/>
                <w:sz w:val="22"/>
                <w:szCs w:val="22"/>
              </w:rPr>
            </w:pPr>
            <w:r w:rsidRPr="00017FFD">
              <w:rPr>
                <w:rFonts w:cstheme="minorHAnsi"/>
                <w:bCs/>
                <w:color w:val="000000"/>
                <w:sz w:val="22"/>
                <w:szCs w:val="22"/>
              </w:rPr>
              <w:t>profesjonalny pełnomocnik przed EUIPO (</w:t>
            </w:r>
            <w:r w:rsidRPr="00017FFD">
              <w:rPr>
                <w:rFonts w:cstheme="minorHAnsi"/>
                <w:bCs/>
                <w:i/>
                <w:color w:val="000000"/>
                <w:sz w:val="22"/>
                <w:szCs w:val="22"/>
              </w:rPr>
              <w:t>European Union Intellectual Property Office</w:t>
            </w:r>
            <w:r w:rsidRPr="00017FFD">
              <w:rPr>
                <w:rFonts w:cstheme="minorHAnsi"/>
                <w:bCs/>
                <w:color w:val="000000"/>
                <w:sz w:val="22"/>
                <w:szCs w:val="22"/>
              </w:rPr>
              <w:t xml:space="preserve"> - </w:t>
            </w:r>
            <w:r w:rsidRPr="00017FFD">
              <w:rPr>
                <w:rFonts w:eastAsia="Times New Roman" w:cstheme="minorHAnsi"/>
                <w:bCs/>
                <w:color w:val="000000"/>
                <w:sz w:val="22"/>
                <w:szCs w:val="22"/>
              </w:rPr>
              <w:t>Urzędem</w:t>
            </w:r>
            <w:r w:rsidRPr="00017FFD">
              <w:rPr>
                <w:rFonts w:cstheme="minorHAnsi"/>
                <w:bCs/>
                <w:color w:val="000000"/>
                <w:sz w:val="22"/>
                <w:szCs w:val="22"/>
              </w:rPr>
              <w:t xml:space="preserve"> Unii Europejskiej ds. Własności Intelektualnej), nr 27595</w:t>
            </w:r>
          </w:p>
          <w:p w14:paraId="6A5BFCCC" w14:textId="77777777" w:rsidR="0091670F" w:rsidRPr="00017FFD" w:rsidRDefault="0091670F" w:rsidP="004E0278">
            <w:pPr>
              <w:pStyle w:val="Akapitzlist"/>
              <w:numPr>
                <w:ilvl w:val="0"/>
                <w:numId w:val="45"/>
              </w:numPr>
              <w:ind w:left="320" w:hanging="334"/>
              <w:rPr>
                <w:rFonts w:cstheme="minorHAnsi"/>
                <w:bCs/>
                <w:color w:val="000000"/>
                <w:sz w:val="22"/>
                <w:szCs w:val="22"/>
              </w:rPr>
            </w:pPr>
            <w:r w:rsidRPr="00017FFD">
              <w:rPr>
                <w:rFonts w:cstheme="minorHAnsi"/>
                <w:bCs/>
                <w:color w:val="000000"/>
                <w:sz w:val="22"/>
                <w:szCs w:val="22"/>
              </w:rPr>
              <w:t>Europejski Rzecznik Patentowy nr 137760</w:t>
            </w:r>
          </w:p>
          <w:p w14:paraId="65FE080E" w14:textId="77777777" w:rsidR="0091670F" w:rsidRPr="00017FFD" w:rsidRDefault="0091670F" w:rsidP="004E0278">
            <w:pPr>
              <w:pStyle w:val="Akapitzlist"/>
              <w:numPr>
                <w:ilvl w:val="0"/>
                <w:numId w:val="45"/>
              </w:numPr>
              <w:ind w:left="320" w:hanging="334"/>
              <w:rPr>
                <w:rFonts w:cstheme="minorHAnsi"/>
                <w:bCs/>
                <w:color w:val="000000"/>
                <w:sz w:val="22"/>
                <w:szCs w:val="22"/>
              </w:rPr>
            </w:pPr>
            <w:r w:rsidRPr="00017FFD">
              <w:rPr>
                <w:rFonts w:cstheme="minorHAnsi"/>
                <w:bCs/>
                <w:color w:val="000000"/>
                <w:sz w:val="22"/>
                <w:szCs w:val="22"/>
              </w:rPr>
              <w:t>pełnomocnik uprawniony do działania przed DPMA (</w:t>
            </w:r>
            <w:proofErr w:type="spellStart"/>
            <w:r w:rsidRPr="00017FFD">
              <w:rPr>
                <w:rFonts w:cstheme="minorHAnsi"/>
                <w:bCs/>
                <w:i/>
                <w:color w:val="000000"/>
                <w:sz w:val="22"/>
                <w:szCs w:val="22"/>
              </w:rPr>
              <w:t>Deutsches</w:t>
            </w:r>
            <w:proofErr w:type="spellEnd"/>
            <w:r w:rsidRPr="00017FFD">
              <w:rPr>
                <w:rFonts w:cstheme="minorHAnsi"/>
                <w:bCs/>
                <w:i/>
                <w:color w:val="000000"/>
                <w:sz w:val="22"/>
                <w:szCs w:val="22"/>
              </w:rPr>
              <w:t xml:space="preserve"> Patent- </w:t>
            </w:r>
            <w:proofErr w:type="spellStart"/>
            <w:r w:rsidRPr="00017FFD">
              <w:rPr>
                <w:rFonts w:cstheme="minorHAnsi"/>
                <w:bCs/>
                <w:i/>
                <w:color w:val="000000"/>
                <w:sz w:val="22"/>
                <w:szCs w:val="22"/>
              </w:rPr>
              <w:t>und</w:t>
            </w:r>
            <w:proofErr w:type="spellEnd"/>
            <w:r w:rsidRPr="00017FFD">
              <w:rPr>
                <w:rFonts w:cstheme="minorHAnsi"/>
                <w:bCs/>
                <w:i/>
                <w:color w:val="000000"/>
                <w:sz w:val="22"/>
                <w:szCs w:val="22"/>
              </w:rPr>
              <w:t xml:space="preserve"> </w:t>
            </w:r>
            <w:proofErr w:type="spellStart"/>
            <w:r w:rsidRPr="00017FFD">
              <w:rPr>
                <w:rFonts w:cstheme="minorHAnsi"/>
                <w:bCs/>
                <w:i/>
                <w:color w:val="000000"/>
                <w:sz w:val="22"/>
                <w:szCs w:val="22"/>
              </w:rPr>
              <w:t>Markenamt</w:t>
            </w:r>
            <w:proofErr w:type="spellEnd"/>
            <w:r w:rsidRPr="00017FFD">
              <w:rPr>
                <w:rFonts w:cstheme="minorHAnsi"/>
                <w:bCs/>
                <w:i/>
                <w:color w:val="000000"/>
                <w:sz w:val="22"/>
                <w:szCs w:val="22"/>
              </w:rPr>
              <w:t xml:space="preserve"> -</w:t>
            </w:r>
            <w:r w:rsidRPr="00017FFD">
              <w:rPr>
                <w:rFonts w:cstheme="minorHAnsi"/>
                <w:bCs/>
                <w:color w:val="000000"/>
                <w:sz w:val="22"/>
                <w:szCs w:val="22"/>
              </w:rPr>
              <w:t xml:space="preserve"> </w:t>
            </w:r>
            <w:r w:rsidRPr="00017FFD">
              <w:rPr>
                <w:rFonts w:eastAsia="Times New Roman" w:cstheme="minorHAnsi"/>
                <w:bCs/>
                <w:color w:val="000000"/>
                <w:sz w:val="22"/>
                <w:szCs w:val="22"/>
              </w:rPr>
              <w:t xml:space="preserve">Niemieckim Urzędem ds. Patentów </w:t>
            </w:r>
            <w:r w:rsidRPr="00017FFD">
              <w:rPr>
                <w:rFonts w:cstheme="minorHAnsi"/>
                <w:bCs/>
                <w:color w:val="000000"/>
                <w:sz w:val="22"/>
                <w:szCs w:val="22"/>
              </w:rPr>
              <w:t>i Znaków Towarowych) nr 38701324</w:t>
            </w:r>
          </w:p>
          <w:p w14:paraId="5D87FB25" w14:textId="77777777" w:rsidR="0091670F" w:rsidRPr="00017FFD" w:rsidRDefault="0091670F" w:rsidP="004E0278">
            <w:pPr>
              <w:pStyle w:val="Akapitzlist"/>
              <w:numPr>
                <w:ilvl w:val="0"/>
                <w:numId w:val="45"/>
              </w:numPr>
              <w:ind w:left="324" w:hanging="335"/>
              <w:rPr>
                <w:rFonts w:cstheme="minorHAnsi"/>
                <w:bCs/>
                <w:color w:val="000000"/>
                <w:sz w:val="22"/>
                <w:szCs w:val="22"/>
              </w:rPr>
            </w:pPr>
            <w:r w:rsidRPr="00017FFD">
              <w:rPr>
                <w:rFonts w:cstheme="minorHAnsi"/>
                <w:bCs/>
                <w:color w:val="000000"/>
                <w:sz w:val="22"/>
                <w:szCs w:val="22"/>
              </w:rPr>
              <w:t>pełnomocnik przed UPC (</w:t>
            </w:r>
            <w:proofErr w:type="spellStart"/>
            <w:r w:rsidRPr="00017FFD">
              <w:rPr>
                <w:rFonts w:cstheme="minorHAnsi"/>
                <w:bCs/>
                <w:i/>
                <w:color w:val="000000"/>
                <w:sz w:val="22"/>
                <w:szCs w:val="22"/>
              </w:rPr>
              <w:t>Unitary</w:t>
            </w:r>
            <w:proofErr w:type="spellEnd"/>
            <w:r w:rsidRPr="00017FFD">
              <w:rPr>
                <w:rFonts w:cstheme="minorHAnsi"/>
                <w:bCs/>
                <w:i/>
                <w:color w:val="000000"/>
                <w:sz w:val="22"/>
                <w:szCs w:val="22"/>
              </w:rPr>
              <w:t xml:space="preserve"> Patent Court</w:t>
            </w:r>
            <w:r w:rsidRPr="00017FFD">
              <w:rPr>
                <w:rFonts w:cstheme="minorHAnsi"/>
                <w:bCs/>
                <w:color w:val="000000"/>
                <w:sz w:val="22"/>
                <w:szCs w:val="22"/>
              </w:rPr>
              <w:t xml:space="preserve"> - Jednolitym Sądem Patentowym) AUTH_525119/2023</w:t>
            </w:r>
          </w:p>
          <w:p w14:paraId="44BA9029" w14:textId="77777777" w:rsidR="0091670F" w:rsidRPr="00017FFD" w:rsidRDefault="0091670F" w:rsidP="004E0278">
            <w:pPr>
              <w:pStyle w:val="Akapitzlist"/>
              <w:numPr>
                <w:ilvl w:val="0"/>
                <w:numId w:val="45"/>
              </w:numPr>
              <w:ind w:left="324" w:hanging="335"/>
              <w:rPr>
                <w:rFonts w:cstheme="minorHAnsi"/>
                <w:bCs/>
                <w:color w:val="000000"/>
                <w:sz w:val="22"/>
                <w:szCs w:val="22"/>
              </w:rPr>
            </w:pPr>
            <w:r w:rsidRPr="00017FFD">
              <w:rPr>
                <w:rFonts w:cstheme="minorHAnsi"/>
                <w:bCs/>
                <w:color w:val="000000"/>
                <w:sz w:val="22"/>
                <w:szCs w:val="22"/>
              </w:rPr>
              <w:t>Prezes Polskiej Izby Rzeczników Patentowych w latach 2009-2013 i 2013-2017</w:t>
            </w:r>
          </w:p>
          <w:p w14:paraId="443946F1" w14:textId="77777777" w:rsidR="0091670F" w:rsidRPr="00017FFD" w:rsidRDefault="0091670F" w:rsidP="004E0278">
            <w:pPr>
              <w:pStyle w:val="Akapitzlist"/>
              <w:numPr>
                <w:ilvl w:val="0"/>
                <w:numId w:val="45"/>
              </w:numPr>
              <w:ind w:left="324" w:hanging="335"/>
              <w:rPr>
                <w:rFonts w:cstheme="minorHAnsi"/>
                <w:bCs/>
                <w:color w:val="000000"/>
                <w:sz w:val="22"/>
                <w:szCs w:val="22"/>
              </w:rPr>
            </w:pPr>
            <w:r w:rsidRPr="00017FFD">
              <w:rPr>
                <w:rFonts w:cstheme="minorHAnsi"/>
                <w:bCs/>
                <w:color w:val="000000"/>
                <w:sz w:val="22"/>
                <w:szCs w:val="22"/>
              </w:rPr>
              <w:t>Prezes StoWI od 2023 r.</w:t>
            </w:r>
          </w:p>
          <w:p w14:paraId="6463616B" w14:textId="77777777" w:rsidR="0091670F" w:rsidRPr="00097102" w:rsidRDefault="0091670F" w:rsidP="004E0278">
            <w:pPr>
              <w:pStyle w:val="Akapitzlist"/>
              <w:ind w:left="669"/>
              <w:rPr>
                <w:rFonts w:cstheme="minorHAnsi"/>
                <w:b/>
                <w:bCs/>
                <w:color w:val="000000"/>
                <w:sz w:val="24"/>
                <w:szCs w:val="24"/>
              </w:rPr>
            </w:pPr>
          </w:p>
        </w:tc>
      </w:tr>
      <w:tr w:rsidR="0091670F" w:rsidRPr="006A1234" w14:paraId="722D0C16" w14:textId="77777777" w:rsidTr="004E0278">
        <w:tc>
          <w:tcPr>
            <w:tcW w:w="9072" w:type="dxa"/>
            <w:gridSpan w:val="3"/>
          </w:tcPr>
          <w:p w14:paraId="2F072251" w14:textId="650108D7" w:rsidR="00972F3D" w:rsidRDefault="00972F3D" w:rsidP="00972F3D">
            <w:pPr>
              <w:jc w:val="center"/>
              <w:rPr>
                <w:rFonts w:asciiTheme="minorHAnsi" w:hAnsiTheme="minorHAnsi" w:cstheme="minorHAnsi"/>
                <w:sz w:val="24"/>
                <w:szCs w:val="24"/>
              </w:rPr>
            </w:pPr>
            <w:r>
              <w:rPr>
                <w:rFonts w:asciiTheme="minorHAnsi" w:hAnsiTheme="minorHAnsi" w:cstheme="minorHAnsi"/>
                <w:sz w:val="24"/>
                <w:szCs w:val="24"/>
              </w:rPr>
              <w:t>* * *</w:t>
            </w:r>
          </w:p>
          <w:p w14:paraId="3508D225" w14:textId="24AA2982" w:rsidR="00CB5915" w:rsidRPr="00CB5915" w:rsidRDefault="00CB5915" w:rsidP="005F3768">
            <w:pPr>
              <w:ind w:hanging="531"/>
              <w:jc w:val="right"/>
              <w:rPr>
                <w:rFonts w:asciiTheme="minorHAnsi" w:hAnsiTheme="minorHAnsi" w:cstheme="minorHAnsi"/>
                <w:sz w:val="24"/>
                <w:szCs w:val="24"/>
              </w:rPr>
            </w:pPr>
            <w:r w:rsidRPr="00CB5915">
              <w:rPr>
                <w:rFonts w:asciiTheme="minorHAnsi" w:hAnsiTheme="minorHAnsi" w:cstheme="minorHAnsi"/>
                <w:sz w:val="24"/>
                <w:szCs w:val="24"/>
              </w:rPr>
              <w:t>Warszawa, Poznań, maj 2024 r.</w:t>
            </w:r>
          </w:p>
          <w:p w14:paraId="29555411" w14:textId="77777777" w:rsidR="00CB5915" w:rsidRDefault="00CB5915" w:rsidP="004E0278">
            <w:pPr>
              <w:jc w:val="both"/>
              <w:rPr>
                <w:rFonts w:asciiTheme="minorHAnsi" w:hAnsiTheme="minorHAnsi" w:cstheme="minorHAnsi"/>
                <w:b/>
                <w:bCs/>
                <w:sz w:val="24"/>
                <w:szCs w:val="24"/>
              </w:rPr>
            </w:pPr>
          </w:p>
          <w:p w14:paraId="15371867" w14:textId="6D277EA9" w:rsidR="00CB5915" w:rsidRDefault="00CB5915" w:rsidP="00CB5915">
            <w:pPr>
              <w:ind w:left="-105"/>
              <w:jc w:val="both"/>
              <w:rPr>
                <w:rFonts w:asciiTheme="minorHAnsi" w:hAnsiTheme="minorHAnsi" w:cstheme="minorHAnsi"/>
                <w:b/>
                <w:bCs/>
                <w:sz w:val="24"/>
                <w:szCs w:val="24"/>
              </w:rPr>
            </w:pPr>
            <w:r w:rsidRPr="00CB5915">
              <w:rPr>
                <w:rFonts w:asciiTheme="minorHAnsi" w:hAnsiTheme="minorHAnsi" w:cstheme="minorHAnsi"/>
                <w:b/>
                <w:bCs/>
                <w:sz w:val="24"/>
                <w:szCs w:val="24"/>
              </w:rPr>
              <w:t>Uwaga Redakcji:</w:t>
            </w:r>
          </w:p>
          <w:p w14:paraId="1E8A08A1" w14:textId="77777777" w:rsidR="00797577" w:rsidRDefault="00797577" w:rsidP="00CB5915">
            <w:pPr>
              <w:ind w:left="-105"/>
              <w:jc w:val="both"/>
              <w:rPr>
                <w:rFonts w:asciiTheme="minorHAnsi" w:hAnsiTheme="minorHAnsi" w:cstheme="minorHAnsi"/>
                <w:b/>
                <w:bCs/>
                <w:sz w:val="24"/>
                <w:szCs w:val="24"/>
              </w:rPr>
            </w:pPr>
          </w:p>
          <w:p w14:paraId="7D05AA9A" w14:textId="52917A9D" w:rsidR="009662B8" w:rsidRPr="002557FF" w:rsidRDefault="002C2466" w:rsidP="002C291D">
            <w:pPr>
              <w:pStyle w:val="nrbrzegowy2"/>
              <w:numPr>
                <w:ilvl w:val="0"/>
                <w:numId w:val="77"/>
              </w:numPr>
              <w:ind w:left="600" w:hanging="600"/>
            </w:pPr>
            <w:r w:rsidRPr="002557FF">
              <w:t>P</w:t>
            </w:r>
            <w:r w:rsidR="009662B8" w:rsidRPr="002557FF">
              <w:t>rzytoczon</w:t>
            </w:r>
            <w:r w:rsidRPr="002557FF">
              <w:t>a</w:t>
            </w:r>
            <w:r w:rsidR="009662B8" w:rsidRPr="002557FF">
              <w:t xml:space="preserve"> wyżej uchwa</w:t>
            </w:r>
            <w:r w:rsidRPr="002557FF">
              <w:t>ła</w:t>
            </w:r>
            <w:r w:rsidR="009662B8" w:rsidRPr="002557FF">
              <w:t xml:space="preserve"> </w:t>
            </w:r>
            <w:r w:rsidRPr="002557FF">
              <w:t>Składu Siedmiu Sędziów miała na celu wyjaśnienie przepisów prawnych, których stosowanie wywołało rozbieżności w orzecznictwie sądów administracyjnych, a mianowicie przepisów o dostępie strony postępowania do akt sprawy:</w:t>
            </w:r>
          </w:p>
          <w:p w14:paraId="619B6E3C" w14:textId="77777777" w:rsidR="009662B8" w:rsidRDefault="009662B8" w:rsidP="00CB5915">
            <w:pPr>
              <w:ind w:left="-105"/>
              <w:jc w:val="both"/>
              <w:rPr>
                <w:rFonts w:asciiTheme="minorHAnsi" w:hAnsiTheme="minorHAnsi" w:cstheme="minorHAnsi"/>
                <w:sz w:val="24"/>
                <w:szCs w:val="24"/>
              </w:rPr>
            </w:pPr>
          </w:p>
          <w:p w14:paraId="7821CA1B" w14:textId="77777777" w:rsidR="009662B8" w:rsidRDefault="009662B8" w:rsidP="009662B8">
            <w:pPr>
              <w:jc w:val="center"/>
              <w:rPr>
                <w:rFonts w:ascii="inherit" w:hAnsi="inherit" w:cs="Noto Serif"/>
                <w:caps/>
                <w:color w:val="000000"/>
                <w:sz w:val="22"/>
                <w:szCs w:val="22"/>
              </w:rPr>
            </w:pPr>
            <w:r>
              <w:rPr>
                <w:rFonts w:ascii="inherit" w:hAnsi="inherit" w:cs="Noto Serif"/>
                <w:caps/>
                <w:color w:val="000000"/>
                <w:sz w:val="22"/>
                <w:szCs w:val="22"/>
              </w:rPr>
              <w:t>KODEKS POSTĘPOWANIA ADMINISTRACYJNEGO</w:t>
            </w:r>
          </w:p>
          <w:p w14:paraId="43536219" w14:textId="77777777" w:rsidR="009662B8" w:rsidRDefault="009662B8" w:rsidP="009662B8">
            <w:pPr>
              <w:jc w:val="center"/>
              <w:rPr>
                <w:rFonts w:ascii="Noto Serif" w:hAnsi="Noto Serif" w:cs="Noto Serif"/>
                <w:b/>
                <w:bCs/>
                <w:color w:val="333333"/>
                <w:sz w:val="21"/>
                <w:szCs w:val="21"/>
              </w:rPr>
            </w:pPr>
            <w:r>
              <w:rPr>
                <w:rFonts w:ascii="Noto Serif" w:hAnsi="Noto Serif" w:cs="Noto Serif"/>
                <w:b/>
                <w:bCs/>
                <w:color w:val="333333"/>
                <w:sz w:val="21"/>
                <w:szCs w:val="21"/>
              </w:rPr>
              <w:t>z dnia 14 czerwca 1960 r. </w:t>
            </w:r>
            <w:hyperlink r:id="rId107" w:history="1">
              <w:r>
                <w:rPr>
                  <w:rStyle w:val="Hipercze"/>
                  <w:rFonts w:ascii="Noto Serif" w:hAnsi="Noto Serif" w:cs="Noto Serif"/>
                  <w:b/>
                  <w:bCs/>
                  <w:color w:val="CC0000"/>
                  <w:sz w:val="21"/>
                  <w:szCs w:val="21"/>
                </w:rPr>
                <w:t>(Dz.U. z 2024 r. poz. 572)</w:t>
              </w:r>
            </w:hyperlink>
          </w:p>
          <w:p w14:paraId="70E72F52"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r w:rsidRPr="008B0C9B">
              <w:rPr>
                <w:rStyle w:val="articletitle"/>
                <w:rFonts w:ascii="Noto Serif" w:hAnsi="Noto Serif" w:cs="Noto Serif"/>
                <w:b/>
                <w:bCs/>
                <w:color w:val="333333"/>
                <w:sz w:val="18"/>
                <w:szCs w:val="18"/>
              </w:rPr>
              <w:t>Art. 73 [Zasada]</w:t>
            </w:r>
          </w:p>
          <w:p w14:paraId="700F5F9C"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85" w:name="mip73216804"/>
            <w:bookmarkEnd w:id="85"/>
            <w:r w:rsidRPr="008B0C9B">
              <w:rPr>
                <w:rFonts w:ascii="Noto Serif" w:hAnsi="Noto Serif" w:cs="Noto Serif"/>
                <w:color w:val="333333"/>
                <w:sz w:val="18"/>
                <w:szCs w:val="18"/>
              </w:rPr>
              <w:t>§ 1. </w:t>
            </w:r>
            <w:hyperlink r:id="rId108" w:history="1">
              <w:r w:rsidRPr="008B0C9B">
                <w:rPr>
                  <w:rStyle w:val="Hipercze"/>
                  <w:rFonts w:ascii="Noto Serif" w:hAnsi="Noto Serif" w:cs="Noto Serif"/>
                  <w:b/>
                  <w:bCs/>
                  <w:color w:val="CC0000"/>
                  <w:sz w:val="18"/>
                  <w:szCs w:val="18"/>
                </w:rPr>
                <w:t>Strona</w:t>
              </w:r>
            </w:hyperlink>
            <w:r w:rsidRPr="008B0C9B">
              <w:rPr>
                <w:rFonts w:ascii="Noto Serif" w:hAnsi="Noto Serif" w:cs="Noto Serif"/>
                <w:b/>
                <w:bCs/>
                <w:color w:val="333333"/>
                <w:sz w:val="18"/>
                <w:szCs w:val="18"/>
              </w:rPr>
              <w:t> ma prawo </w:t>
            </w:r>
            <w:hyperlink r:id="rId109" w:history="1">
              <w:r w:rsidRPr="008B0C9B">
                <w:rPr>
                  <w:rStyle w:val="Hipercze"/>
                  <w:rFonts w:ascii="Noto Serif" w:hAnsi="Noto Serif" w:cs="Noto Serif"/>
                  <w:b/>
                  <w:bCs/>
                  <w:color w:val="CC0000"/>
                  <w:sz w:val="18"/>
                  <w:szCs w:val="18"/>
                </w:rPr>
                <w:t>wglądu</w:t>
              </w:r>
            </w:hyperlink>
            <w:r w:rsidRPr="008B0C9B">
              <w:rPr>
                <w:rFonts w:ascii="Noto Serif" w:hAnsi="Noto Serif" w:cs="Noto Serif"/>
                <w:b/>
                <w:bCs/>
                <w:color w:val="333333"/>
                <w:sz w:val="18"/>
                <w:szCs w:val="18"/>
              </w:rPr>
              <w:t> w akta sprawy</w:t>
            </w:r>
            <w:r w:rsidRPr="008B0C9B">
              <w:rPr>
                <w:rFonts w:ascii="Noto Serif" w:hAnsi="Noto Serif" w:cs="Noto Serif"/>
                <w:color w:val="333333"/>
                <w:sz w:val="18"/>
                <w:szCs w:val="18"/>
              </w:rPr>
              <w:t xml:space="preserve">, </w:t>
            </w:r>
            <w:r w:rsidRPr="008B0C9B">
              <w:rPr>
                <w:rFonts w:ascii="Noto Serif" w:hAnsi="Noto Serif" w:cs="Noto Serif"/>
                <w:b/>
                <w:bCs/>
                <w:color w:val="333333"/>
                <w:sz w:val="18"/>
                <w:szCs w:val="18"/>
              </w:rPr>
              <w:t>sporządzania</w:t>
            </w:r>
            <w:r w:rsidRPr="008B0C9B">
              <w:rPr>
                <w:rFonts w:ascii="Noto Serif" w:hAnsi="Noto Serif" w:cs="Noto Serif"/>
                <w:color w:val="333333"/>
                <w:sz w:val="18"/>
                <w:szCs w:val="18"/>
              </w:rPr>
              <w:t xml:space="preserve"> z nich </w:t>
            </w:r>
            <w:r w:rsidRPr="008B0C9B">
              <w:rPr>
                <w:rFonts w:ascii="Noto Serif" w:hAnsi="Noto Serif" w:cs="Noto Serif"/>
                <w:b/>
                <w:bCs/>
                <w:color w:val="333333"/>
                <w:sz w:val="18"/>
                <w:szCs w:val="18"/>
              </w:rPr>
              <w:t>notatek</w:t>
            </w:r>
            <w:r w:rsidRPr="008B0C9B">
              <w:rPr>
                <w:rFonts w:ascii="Noto Serif" w:hAnsi="Noto Serif" w:cs="Noto Serif"/>
                <w:color w:val="333333"/>
                <w:sz w:val="18"/>
                <w:szCs w:val="18"/>
              </w:rPr>
              <w:t xml:space="preserve">, </w:t>
            </w:r>
            <w:r w:rsidRPr="008B0C9B">
              <w:rPr>
                <w:rFonts w:ascii="Noto Serif" w:hAnsi="Noto Serif" w:cs="Noto Serif"/>
                <w:b/>
                <w:bCs/>
                <w:color w:val="333333"/>
                <w:sz w:val="18"/>
                <w:szCs w:val="18"/>
              </w:rPr>
              <w:t>kopii</w:t>
            </w:r>
            <w:r w:rsidRPr="008B0C9B">
              <w:rPr>
                <w:rFonts w:ascii="Noto Serif" w:hAnsi="Noto Serif" w:cs="Noto Serif"/>
                <w:color w:val="333333"/>
                <w:sz w:val="18"/>
                <w:szCs w:val="18"/>
              </w:rPr>
              <w:t xml:space="preserve"> lub </w:t>
            </w:r>
            <w:r w:rsidRPr="008B0C9B">
              <w:rPr>
                <w:rFonts w:ascii="Noto Serif" w:hAnsi="Noto Serif" w:cs="Noto Serif"/>
                <w:b/>
                <w:bCs/>
                <w:color w:val="333333"/>
                <w:sz w:val="18"/>
                <w:szCs w:val="18"/>
              </w:rPr>
              <w:t>odpisów</w:t>
            </w:r>
            <w:r w:rsidRPr="008B0C9B">
              <w:rPr>
                <w:rFonts w:ascii="Noto Serif" w:hAnsi="Noto Serif" w:cs="Noto Serif"/>
                <w:color w:val="333333"/>
                <w:sz w:val="18"/>
                <w:szCs w:val="18"/>
              </w:rPr>
              <w:t>. Prawo to przysługuje również po zakończeniu postępowania.</w:t>
            </w:r>
          </w:p>
          <w:p w14:paraId="18D3E992"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86" w:name="mip73216805"/>
            <w:bookmarkEnd w:id="86"/>
            <w:r w:rsidRPr="008B0C9B">
              <w:rPr>
                <w:rFonts w:ascii="Noto Serif" w:hAnsi="Noto Serif" w:cs="Noto Serif"/>
                <w:color w:val="333333"/>
                <w:sz w:val="18"/>
                <w:szCs w:val="18"/>
              </w:rPr>
              <w:t xml:space="preserve">§ 1a. </w:t>
            </w:r>
            <w:r w:rsidRPr="008B0C9B">
              <w:rPr>
                <w:rFonts w:ascii="Noto Serif" w:hAnsi="Noto Serif" w:cs="Noto Serif"/>
                <w:b/>
                <w:bCs/>
                <w:color w:val="333333"/>
                <w:sz w:val="18"/>
                <w:szCs w:val="18"/>
              </w:rPr>
              <w:t>Czynności określone w § 1 są dokonywane w lokalu organu</w:t>
            </w:r>
            <w:r w:rsidRPr="008B0C9B">
              <w:rPr>
                <w:rFonts w:ascii="Noto Serif" w:hAnsi="Noto Serif" w:cs="Noto Serif"/>
                <w:color w:val="333333"/>
                <w:sz w:val="18"/>
                <w:szCs w:val="18"/>
              </w:rPr>
              <w:t xml:space="preserve"> administracji publicznej w obecności pracownika tego organu.</w:t>
            </w:r>
          </w:p>
          <w:p w14:paraId="14B4504C"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87" w:name="mip73216806"/>
            <w:bookmarkEnd w:id="87"/>
            <w:r w:rsidRPr="008B0C9B">
              <w:rPr>
                <w:rFonts w:ascii="Noto Serif" w:hAnsi="Noto Serif" w:cs="Noto Serif"/>
                <w:color w:val="333333"/>
                <w:sz w:val="18"/>
                <w:szCs w:val="18"/>
              </w:rPr>
              <w:t>§ 1b. Wgląd w akta sprawy w przypadku, o którym mowa w </w:t>
            </w:r>
            <w:hyperlink r:id="rId110" w:history="1">
              <w:r w:rsidRPr="008B0C9B">
                <w:rPr>
                  <w:rStyle w:val="Hipercze"/>
                  <w:rFonts w:ascii="Noto Serif" w:hAnsi="Noto Serif" w:cs="Noto Serif"/>
                  <w:color w:val="CC0000"/>
                  <w:sz w:val="18"/>
                  <w:szCs w:val="18"/>
                </w:rPr>
                <w:t>art. 236 § 2</w:t>
              </w:r>
            </w:hyperlink>
            <w:r w:rsidRPr="008B0C9B">
              <w:rPr>
                <w:rFonts w:ascii="Noto Serif" w:hAnsi="Noto Serif" w:cs="Noto Serif"/>
                <w:color w:val="333333"/>
                <w:sz w:val="18"/>
                <w:szCs w:val="18"/>
              </w:rPr>
              <w:t>, następuje z pominięciem danych osobowych osoby składającej skargę.</w:t>
            </w:r>
          </w:p>
          <w:p w14:paraId="6479274F"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88" w:name="mip73216807"/>
            <w:bookmarkEnd w:id="88"/>
            <w:r w:rsidRPr="008B0C9B">
              <w:rPr>
                <w:rFonts w:ascii="Noto Serif" w:hAnsi="Noto Serif" w:cs="Noto Serif"/>
                <w:color w:val="333333"/>
                <w:sz w:val="18"/>
                <w:szCs w:val="18"/>
              </w:rPr>
              <w:lastRenderedPageBreak/>
              <w:t>§ 2. Strona może żądać uwierzytelnienia odpisów lub kopii akt sprawy lub wydania jej z akt sprawy uwierzytelnionych odpisów, o ile jest to uzasadnione ważnym interesem strony.</w:t>
            </w:r>
          </w:p>
          <w:p w14:paraId="16E5E847" w14:textId="77777777" w:rsidR="009662B8" w:rsidRDefault="009662B8" w:rsidP="009662B8">
            <w:pPr>
              <w:shd w:val="clear" w:color="auto" w:fill="FFFFFF"/>
              <w:tabs>
                <w:tab w:val="left" w:pos="570"/>
              </w:tabs>
              <w:ind w:left="602"/>
              <w:rPr>
                <w:rFonts w:ascii="Noto Serif" w:hAnsi="Noto Serif" w:cs="Noto Serif"/>
                <w:color w:val="333333"/>
                <w:sz w:val="18"/>
                <w:szCs w:val="18"/>
              </w:rPr>
            </w:pPr>
            <w:bookmarkStart w:id="89" w:name="mip73216808"/>
            <w:bookmarkEnd w:id="89"/>
            <w:r w:rsidRPr="008B0C9B">
              <w:rPr>
                <w:rFonts w:ascii="Noto Serif" w:hAnsi="Noto Serif" w:cs="Noto Serif"/>
                <w:color w:val="333333"/>
                <w:sz w:val="18"/>
                <w:szCs w:val="18"/>
              </w:rPr>
              <w:t>§ 3. Organ administracji publicznej może zapewnić stronie dokonanie czynności, o których mowa w § 1, w swoim systemie teleinformatycznym, po uwierzytelnieniu strony w sposób określony w </w:t>
            </w:r>
            <w:hyperlink r:id="rId111" w:history="1">
              <w:r w:rsidRPr="008B0C9B">
                <w:rPr>
                  <w:rStyle w:val="Hipercze"/>
                  <w:rFonts w:ascii="Noto Serif" w:hAnsi="Noto Serif" w:cs="Noto Serif"/>
                  <w:color w:val="CC0000"/>
                  <w:sz w:val="18"/>
                  <w:szCs w:val="18"/>
                </w:rPr>
                <w:t>art. 20a ust. 1</w:t>
              </w:r>
            </w:hyperlink>
            <w:r w:rsidRPr="008B0C9B">
              <w:rPr>
                <w:rFonts w:ascii="Noto Serif" w:hAnsi="Noto Serif" w:cs="Noto Serif"/>
                <w:color w:val="333333"/>
                <w:sz w:val="18"/>
                <w:szCs w:val="18"/>
              </w:rPr>
              <w:t> albo 2 ustawy z dnia 17 lutego 2005 r. o informatyzacji działalności podmiotów realizujących zadania publiczne.</w:t>
            </w:r>
          </w:p>
          <w:p w14:paraId="0D0CB8D3" w14:textId="77777777" w:rsidR="009662B8" w:rsidRPr="008B0C9B" w:rsidRDefault="009662B8" w:rsidP="009662B8">
            <w:pPr>
              <w:shd w:val="clear" w:color="auto" w:fill="FFFFFF"/>
              <w:tabs>
                <w:tab w:val="left" w:pos="570"/>
              </w:tabs>
              <w:ind w:left="602"/>
              <w:rPr>
                <w:rFonts w:ascii="Noto Serif" w:hAnsi="Noto Serif" w:cs="Noto Serif"/>
                <w:color w:val="333333"/>
                <w:sz w:val="10"/>
                <w:szCs w:val="10"/>
              </w:rPr>
            </w:pPr>
          </w:p>
          <w:p w14:paraId="3C1B1FA4"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90" w:name="mip73216809"/>
            <w:bookmarkEnd w:id="90"/>
            <w:r w:rsidRPr="008B0C9B">
              <w:rPr>
                <w:rStyle w:val="articletitle"/>
                <w:rFonts w:ascii="Noto Serif" w:hAnsi="Noto Serif" w:cs="Noto Serif"/>
                <w:b/>
                <w:bCs/>
                <w:color w:val="333333"/>
                <w:sz w:val="18"/>
                <w:szCs w:val="18"/>
              </w:rPr>
              <w:t>Art. 74 [Wyłączenia]</w:t>
            </w:r>
          </w:p>
          <w:p w14:paraId="779997C3"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91" w:name="mip73216810"/>
            <w:bookmarkEnd w:id="91"/>
            <w:r w:rsidRPr="008B0C9B">
              <w:rPr>
                <w:rFonts w:ascii="Noto Serif" w:hAnsi="Noto Serif" w:cs="Noto Serif"/>
                <w:color w:val="333333"/>
                <w:sz w:val="18"/>
                <w:szCs w:val="18"/>
              </w:rPr>
              <w:t>§ 1. Przepisu </w:t>
            </w:r>
            <w:hyperlink r:id="rId112" w:history="1">
              <w:r w:rsidRPr="008B0C9B">
                <w:rPr>
                  <w:rStyle w:val="Hipercze"/>
                  <w:rFonts w:ascii="Noto Serif" w:hAnsi="Noto Serif" w:cs="Noto Serif"/>
                  <w:color w:val="CC0000"/>
                  <w:sz w:val="18"/>
                  <w:szCs w:val="18"/>
                </w:rPr>
                <w:t>art. 73</w:t>
              </w:r>
            </w:hyperlink>
            <w:r w:rsidRPr="008B0C9B">
              <w:rPr>
                <w:rFonts w:ascii="Noto Serif" w:hAnsi="Noto Serif" w:cs="Noto Serif"/>
                <w:color w:val="333333"/>
                <w:sz w:val="18"/>
                <w:szCs w:val="18"/>
              </w:rPr>
              <w:t> nie stosuje się do akt sprawy zawierających informacje niejawne o klauzuli tajności "tajne" lub "ściśle tajne", a także do innych akt, które organ administracji publicznej wyłączy ze względu na ważny interes państwowy.</w:t>
            </w:r>
          </w:p>
          <w:p w14:paraId="5A601517"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92" w:name="mip73216811"/>
            <w:bookmarkEnd w:id="92"/>
            <w:r w:rsidRPr="008B0C9B">
              <w:rPr>
                <w:rFonts w:ascii="Noto Serif" w:hAnsi="Noto Serif" w:cs="Noto Serif"/>
                <w:b/>
                <w:bCs/>
                <w:color w:val="333333"/>
                <w:sz w:val="18"/>
                <w:szCs w:val="18"/>
              </w:rPr>
              <w:t>§ 2. Odmowa umożliwienia stronie przeglądania akt sprawy</w:t>
            </w:r>
            <w:r w:rsidRPr="008B0C9B">
              <w:rPr>
                <w:rFonts w:ascii="Noto Serif" w:hAnsi="Noto Serif" w:cs="Noto Serif"/>
                <w:color w:val="333333"/>
                <w:sz w:val="18"/>
                <w:szCs w:val="18"/>
              </w:rPr>
              <w:t xml:space="preserve">, sporządzania z nich notatek, kopii i odpisów, uwierzytelnienia takich kopii i odpisów lub wydania uwierzytelnionych odpisów następuje </w:t>
            </w:r>
            <w:r w:rsidRPr="008B0C9B">
              <w:rPr>
                <w:rFonts w:ascii="Noto Serif" w:hAnsi="Noto Serif" w:cs="Noto Serif"/>
                <w:b/>
                <w:bCs/>
                <w:color w:val="333333"/>
                <w:sz w:val="18"/>
                <w:szCs w:val="18"/>
              </w:rPr>
              <w:t>w drodze </w:t>
            </w:r>
            <w:hyperlink r:id="rId113" w:history="1">
              <w:r w:rsidRPr="008B0C9B">
                <w:rPr>
                  <w:rStyle w:val="Hipercze"/>
                  <w:rFonts w:ascii="Noto Serif" w:hAnsi="Noto Serif" w:cs="Noto Serif"/>
                  <w:b/>
                  <w:bCs/>
                  <w:color w:val="CC0000"/>
                  <w:sz w:val="18"/>
                  <w:szCs w:val="18"/>
                </w:rPr>
                <w:t>postanowienia</w:t>
              </w:r>
            </w:hyperlink>
            <w:r w:rsidRPr="008B0C9B">
              <w:rPr>
                <w:rFonts w:ascii="Noto Serif" w:hAnsi="Noto Serif" w:cs="Noto Serif"/>
                <w:color w:val="333333"/>
                <w:sz w:val="18"/>
                <w:szCs w:val="18"/>
              </w:rPr>
              <w:t xml:space="preserve">, </w:t>
            </w:r>
            <w:r w:rsidRPr="008B0C9B">
              <w:rPr>
                <w:rFonts w:ascii="Noto Serif" w:hAnsi="Noto Serif" w:cs="Noto Serif"/>
                <w:b/>
                <w:bCs/>
                <w:color w:val="333333"/>
                <w:sz w:val="18"/>
                <w:szCs w:val="18"/>
              </w:rPr>
              <w:t>na które służy zażalenie</w:t>
            </w:r>
            <w:r w:rsidRPr="008B0C9B">
              <w:rPr>
                <w:rFonts w:ascii="Noto Serif" w:hAnsi="Noto Serif" w:cs="Noto Serif"/>
                <w:color w:val="333333"/>
                <w:sz w:val="18"/>
                <w:szCs w:val="18"/>
              </w:rPr>
              <w:t>.</w:t>
            </w:r>
          </w:p>
          <w:p w14:paraId="3315F9EF" w14:textId="77777777" w:rsidR="009662B8" w:rsidRPr="008B0C9B" w:rsidRDefault="009662B8" w:rsidP="009662B8">
            <w:pPr>
              <w:shd w:val="clear" w:color="auto" w:fill="FFFFFF"/>
              <w:tabs>
                <w:tab w:val="left" w:pos="570"/>
              </w:tabs>
              <w:ind w:left="602"/>
              <w:rPr>
                <w:rFonts w:ascii="Noto Serif" w:hAnsi="Noto Serif" w:cs="Noto Serif"/>
                <w:color w:val="333333"/>
                <w:sz w:val="18"/>
                <w:szCs w:val="18"/>
              </w:rPr>
            </w:pPr>
            <w:bookmarkStart w:id="93" w:name="mip73216812"/>
            <w:bookmarkEnd w:id="93"/>
            <w:r w:rsidRPr="008B0C9B">
              <w:rPr>
                <w:rStyle w:val="articletitle"/>
                <w:rFonts w:ascii="Noto Serif" w:hAnsi="Noto Serif" w:cs="Noto Serif"/>
                <w:b/>
                <w:bCs/>
                <w:color w:val="333333"/>
                <w:sz w:val="18"/>
                <w:szCs w:val="18"/>
              </w:rPr>
              <w:t>Art. 74a [Zbieg uprawnień] </w:t>
            </w:r>
            <w:r w:rsidRPr="008B0C9B">
              <w:rPr>
                <w:rFonts w:ascii="Noto Serif" w:hAnsi="Noto Serif" w:cs="Noto Serif"/>
                <w:color w:val="333333"/>
                <w:sz w:val="18"/>
                <w:szCs w:val="18"/>
              </w:rPr>
              <w:t>Przepis </w:t>
            </w:r>
            <w:hyperlink r:id="rId114" w:history="1">
              <w:r w:rsidRPr="008B0C9B">
                <w:rPr>
                  <w:rStyle w:val="Hipercze"/>
                  <w:rFonts w:ascii="Noto Serif" w:hAnsi="Noto Serif" w:cs="Noto Serif"/>
                  <w:color w:val="CC0000"/>
                  <w:sz w:val="18"/>
                  <w:szCs w:val="18"/>
                </w:rPr>
                <w:t>art. 73 § 1</w:t>
              </w:r>
            </w:hyperlink>
            <w:r w:rsidRPr="008B0C9B">
              <w:rPr>
                <w:rFonts w:ascii="Noto Serif" w:hAnsi="Noto Serif" w:cs="Noto Serif"/>
                <w:color w:val="333333"/>
                <w:sz w:val="18"/>
                <w:szCs w:val="18"/>
              </w:rPr>
              <w:t> nie narusza prawa osoby, której dane dotyczą, do skorzystania z uprawnień wynikających z </w:t>
            </w:r>
            <w:hyperlink r:id="rId115" w:history="1">
              <w:r w:rsidRPr="008B0C9B">
                <w:rPr>
                  <w:rStyle w:val="Hipercze"/>
                  <w:rFonts w:ascii="Noto Serif" w:hAnsi="Noto Serif" w:cs="Noto Serif"/>
                  <w:color w:val="CC0000"/>
                  <w:sz w:val="18"/>
                  <w:szCs w:val="18"/>
                </w:rPr>
                <w:t>art. 15</w:t>
              </w:r>
            </w:hyperlink>
            <w:r w:rsidRPr="008B0C9B">
              <w:rPr>
                <w:rFonts w:ascii="Noto Serif" w:hAnsi="Noto Serif" w:cs="Noto Serif"/>
                <w:color w:val="333333"/>
                <w:sz w:val="18"/>
                <w:szCs w:val="18"/>
              </w:rPr>
              <w:t> rozporządzenia </w:t>
            </w:r>
            <w:hyperlink r:id="rId116" w:history="1">
              <w:r w:rsidRPr="008B0C9B">
                <w:rPr>
                  <w:rStyle w:val="Hipercze"/>
                  <w:rFonts w:ascii="Noto Serif" w:hAnsi="Noto Serif" w:cs="Noto Serif"/>
                  <w:color w:val="CC0000"/>
                  <w:sz w:val="18"/>
                  <w:szCs w:val="18"/>
                </w:rPr>
                <w:t>2016/679</w:t>
              </w:r>
            </w:hyperlink>
            <w:r w:rsidRPr="008B0C9B">
              <w:rPr>
                <w:rFonts w:ascii="Noto Serif" w:hAnsi="Noto Serif" w:cs="Noto Serif"/>
                <w:color w:val="333333"/>
                <w:sz w:val="18"/>
                <w:szCs w:val="18"/>
              </w:rPr>
              <w:t>.</w:t>
            </w:r>
          </w:p>
          <w:p w14:paraId="364EE6D0" w14:textId="77777777" w:rsidR="009662B8" w:rsidRDefault="009662B8" w:rsidP="00CB5915">
            <w:pPr>
              <w:ind w:left="-105"/>
              <w:jc w:val="both"/>
              <w:rPr>
                <w:rFonts w:asciiTheme="minorHAnsi" w:hAnsiTheme="minorHAnsi" w:cstheme="minorHAnsi"/>
                <w:sz w:val="24"/>
                <w:szCs w:val="24"/>
              </w:rPr>
            </w:pPr>
          </w:p>
          <w:p w14:paraId="51A9CEE5" w14:textId="77777777" w:rsidR="002557FF" w:rsidRDefault="002557FF" w:rsidP="0035196C">
            <w:pPr>
              <w:pStyle w:val="nrbrzegowy2"/>
              <w:ind w:left="600" w:hanging="600"/>
            </w:pPr>
            <w:r w:rsidRPr="002557FF">
              <w:rPr>
                <w:b/>
                <w:bCs w:val="0"/>
              </w:rPr>
              <w:t>Moc wiążąca uchwały Naczelnego Sądu Administracyjnego</w:t>
            </w:r>
            <w:r>
              <w:t xml:space="preserve"> wynika z treści z </w:t>
            </w:r>
            <w:r w:rsidRPr="002557FF">
              <w:rPr>
                <w:b/>
                <w:bCs w:val="0"/>
              </w:rPr>
              <w:t>art. 15 § 1 pkt. 2</w:t>
            </w:r>
            <w:r>
              <w:t xml:space="preserve"> oraz </w:t>
            </w:r>
            <w:r w:rsidRPr="002557FF">
              <w:rPr>
                <w:b/>
                <w:bCs w:val="0"/>
              </w:rPr>
              <w:t>art. 269</w:t>
            </w:r>
            <w:r>
              <w:t xml:space="preserve"> ustawy: </w:t>
            </w:r>
          </w:p>
          <w:p w14:paraId="7C2A7C01" w14:textId="77777777" w:rsidR="002803E3" w:rsidRPr="002803E3" w:rsidRDefault="002803E3" w:rsidP="00CB5915">
            <w:pPr>
              <w:ind w:left="-105"/>
              <w:jc w:val="both"/>
              <w:rPr>
                <w:rFonts w:asciiTheme="minorHAnsi" w:hAnsiTheme="minorHAnsi" w:cstheme="minorHAnsi"/>
                <w:sz w:val="8"/>
                <w:szCs w:val="8"/>
              </w:rPr>
            </w:pPr>
          </w:p>
          <w:p w14:paraId="5EA36731" w14:textId="77777777" w:rsidR="001C3185" w:rsidRPr="001C3185" w:rsidRDefault="001C3185" w:rsidP="001C3185">
            <w:pPr>
              <w:pStyle w:val="Nagwek1"/>
              <w:shd w:val="clear" w:color="auto" w:fill="FFFFFF"/>
              <w:spacing w:before="0" w:beforeAutospacing="0" w:after="0" w:afterAutospacing="0"/>
              <w:rPr>
                <w:rFonts w:ascii="inherit" w:hAnsi="inherit" w:cs="Noto Serif"/>
                <w:caps/>
                <w:color w:val="000000"/>
                <w:sz w:val="10"/>
                <w:szCs w:val="10"/>
              </w:rPr>
            </w:pPr>
          </w:p>
          <w:p w14:paraId="0588A7A9" w14:textId="1AB2F666" w:rsidR="001C3185" w:rsidRDefault="001C3185" w:rsidP="007E2EB8">
            <w:pPr>
              <w:jc w:val="center"/>
            </w:pPr>
            <w:r>
              <w:t>PRAWO O POSTĘPOWANIU PRZED SĄDAMI ADMINISTRACYJNYMI</w:t>
            </w:r>
          </w:p>
          <w:p w14:paraId="5AA1BF70" w14:textId="31D1A5AE" w:rsidR="001C3185" w:rsidRDefault="001C3185" w:rsidP="007E2EB8">
            <w:pPr>
              <w:jc w:val="center"/>
              <w:rPr>
                <w:rFonts w:ascii="Noto Serif" w:hAnsi="Noto Serif"/>
                <w:b/>
                <w:bCs/>
                <w:color w:val="333333"/>
                <w:sz w:val="21"/>
                <w:szCs w:val="21"/>
              </w:rPr>
            </w:pPr>
            <w:r>
              <w:rPr>
                <w:rFonts w:ascii="Noto Serif" w:hAnsi="Noto Serif"/>
                <w:b/>
                <w:bCs/>
                <w:color w:val="333333"/>
                <w:sz w:val="21"/>
                <w:szCs w:val="21"/>
              </w:rPr>
              <w:t>z dnia 30 sierpnia 2002 r. </w:t>
            </w:r>
            <w:hyperlink r:id="rId117" w:history="1">
              <w:r>
                <w:rPr>
                  <w:rStyle w:val="Hipercze"/>
                  <w:rFonts w:ascii="Noto Serif" w:hAnsi="Noto Serif" w:cs="Noto Serif"/>
                  <w:b/>
                  <w:bCs/>
                  <w:color w:val="CC0000"/>
                  <w:sz w:val="21"/>
                  <w:szCs w:val="21"/>
                </w:rPr>
                <w:t>(Dz.U. z 2023 r. poz. 1634)</w:t>
              </w:r>
            </w:hyperlink>
          </w:p>
          <w:p w14:paraId="1DEE7508" w14:textId="77777777" w:rsidR="001C3185" w:rsidRPr="001C3185" w:rsidRDefault="001C3185" w:rsidP="001C3185">
            <w:pPr>
              <w:ind w:left="-105"/>
              <w:jc w:val="both"/>
              <w:rPr>
                <w:rFonts w:asciiTheme="minorHAnsi" w:hAnsiTheme="minorHAnsi" w:cstheme="minorHAnsi"/>
                <w:sz w:val="10"/>
                <w:szCs w:val="10"/>
              </w:rPr>
            </w:pPr>
          </w:p>
          <w:p w14:paraId="681DA78D" w14:textId="77777777"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Art. 15 [Zakres właściwości NSA]</w:t>
            </w:r>
          </w:p>
          <w:p w14:paraId="54B1B4AC" w14:textId="77777777"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 1.</w:t>
            </w:r>
            <w:r w:rsidRPr="00E67235">
              <w:rPr>
                <w:rFonts w:ascii="Noto Serif" w:hAnsi="Noto Serif" w:cs="Noto Serif"/>
                <w:b/>
                <w:bCs/>
                <w:sz w:val="18"/>
                <w:szCs w:val="18"/>
              </w:rPr>
              <w:t>Naczelny Sąd Administracyjny</w:t>
            </w:r>
            <w:r w:rsidRPr="001C3185">
              <w:rPr>
                <w:rFonts w:ascii="Noto Serif" w:hAnsi="Noto Serif" w:cs="Noto Serif"/>
                <w:sz w:val="18"/>
                <w:szCs w:val="18"/>
              </w:rPr>
              <w:t>:</w:t>
            </w:r>
          </w:p>
          <w:p w14:paraId="406D0C44" w14:textId="77777777"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1) rozpoznaje środki odwoławcze od orzeczeń wojewódzkich sądów administracyjnych, stosownie do przepisów ustawy;</w:t>
            </w:r>
          </w:p>
          <w:p w14:paraId="327C681E" w14:textId="77777777" w:rsidR="001C3185" w:rsidRPr="001C3185" w:rsidRDefault="001C3185" w:rsidP="001C3185">
            <w:pPr>
              <w:ind w:left="604"/>
              <w:jc w:val="both"/>
              <w:rPr>
                <w:rFonts w:ascii="Noto Serif" w:hAnsi="Noto Serif" w:cs="Noto Serif"/>
                <w:sz w:val="18"/>
                <w:szCs w:val="18"/>
              </w:rPr>
            </w:pPr>
            <w:r w:rsidRPr="00E67235">
              <w:rPr>
                <w:rFonts w:ascii="Noto Serif" w:hAnsi="Noto Serif" w:cs="Noto Serif"/>
                <w:b/>
                <w:bCs/>
                <w:sz w:val="18"/>
                <w:szCs w:val="18"/>
              </w:rPr>
              <w:t>2) podejmuje uchwały mające na celu wyjaśnienie przepisów prawnych, których stosowanie wywołało rozbieżności w orzecznictwie sądów administracyjnych</w:t>
            </w:r>
            <w:r w:rsidRPr="001C3185">
              <w:rPr>
                <w:rFonts w:ascii="Noto Serif" w:hAnsi="Noto Serif" w:cs="Noto Serif"/>
                <w:sz w:val="18"/>
                <w:szCs w:val="18"/>
              </w:rPr>
              <w:t>;</w:t>
            </w:r>
          </w:p>
          <w:p w14:paraId="69B31173" w14:textId="77777777"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 xml:space="preserve">3) podejmuje uchwały zawierające rozstrzygnięcie zagadnień prawnych budzących poważne wątpliwości w konkretnej sprawie </w:t>
            </w:r>
            <w:proofErr w:type="spellStart"/>
            <w:r w:rsidRPr="001C3185">
              <w:rPr>
                <w:rFonts w:ascii="Noto Serif" w:hAnsi="Noto Serif" w:cs="Noto Serif"/>
                <w:sz w:val="18"/>
                <w:szCs w:val="18"/>
              </w:rPr>
              <w:t>sądowoadministracyjnej</w:t>
            </w:r>
            <w:proofErr w:type="spellEnd"/>
            <w:r w:rsidRPr="001C3185">
              <w:rPr>
                <w:rFonts w:ascii="Noto Serif" w:hAnsi="Noto Serif" w:cs="Noto Serif"/>
                <w:sz w:val="18"/>
                <w:szCs w:val="18"/>
              </w:rPr>
              <w:t>;</w:t>
            </w:r>
          </w:p>
          <w:p w14:paraId="15B15EB8" w14:textId="77777777"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4) rozstrzyga spory, o których mowa w art. 4;</w:t>
            </w:r>
          </w:p>
          <w:p w14:paraId="508B6893" w14:textId="77777777"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5) rozpoznaje inne sprawy należące do właściwości Naczelnego Sądu Administracyjnego na mocy odrębnych ustaw.</w:t>
            </w:r>
          </w:p>
          <w:p w14:paraId="630F85F9" w14:textId="0F379DEE" w:rsidR="001C3185" w:rsidRPr="001C3185" w:rsidRDefault="001C3185" w:rsidP="001C3185">
            <w:pPr>
              <w:ind w:left="604"/>
              <w:jc w:val="both"/>
              <w:rPr>
                <w:rFonts w:ascii="Noto Serif" w:hAnsi="Noto Serif" w:cs="Noto Serif"/>
                <w:sz w:val="18"/>
                <w:szCs w:val="18"/>
              </w:rPr>
            </w:pPr>
            <w:r w:rsidRPr="001C3185">
              <w:rPr>
                <w:rFonts w:ascii="Noto Serif" w:hAnsi="Noto Serif" w:cs="Noto Serif"/>
                <w:sz w:val="18"/>
                <w:szCs w:val="18"/>
              </w:rPr>
              <w:t>§ 2. Do rozstrzygania sporów, o których mowa w art. 4, oraz do rozpoznawania innych spraw należących do właściwości Naczelnego Sądu Administracyjnego na mocy odrębnych ustaw stosuje się odpowiednio przepisy o postępowaniu przed wojewódzkim sądem administracyjnym. Spory, o których mowa w art. 4, Naczelny Sąd Administracyjny rozstrzyga na wniosek postanowieniem przez wskazanie organu właściwego do rozpoznania sprawy. Postanowienie wydaje sąd w składzie trzech sędziów na posiedzeniu niejawnym.</w:t>
            </w:r>
          </w:p>
          <w:p w14:paraId="5034BF10" w14:textId="77777777" w:rsidR="001C3185" w:rsidRPr="002950AF" w:rsidRDefault="001C3185" w:rsidP="001C3185">
            <w:pPr>
              <w:ind w:left="-105"/>
              <w:jc w:val="both"/>
              <w:rPr>
                <w:rFonts w:asciiTheme="minorHAnsi" w:hAnsiTheme="minorHAnsi" w:cstheme="minorHAnsi"/>
                <w:sz w:val="10"/>
                <w:szCs w:val="10"/>
              </w:rPr>
            </w:pPr>
          </w:p>
          <w:p w14:paraId="1009B27E" w14:textId="4B1F752A" w:rsidR="001C3185" w:rsidRPr="001C3185" w:rsidRDefault="001C3185" w:rsidP="001C3185">
            <w:pPr>
              <w:shd w:val="clear" w:color="auto" w:fill="FFFFFF"/>
              <w:ind w:left="604"/>
              <w:rPr>
                <w:rFonts w:ascii="Noto Serif" w:hAnsi="Noto Serif" w:cs="Noto Serif"/>
                <w:color w:val="333333"/>
                <w:sz w:val="18"/>
                <w:szCs w:val="18"/>
              </w:rPr>
            </w:pPr>
            <w:r w:rsidRPr="001C3185">
              <w:rPr>
                <w:rStyle w:val="articletitle"/>
                <w:rFonts w:ascii="Noto Serif" w:hAnsi="Noto Serif" w:cs="Noto Serif"/>
                <w:b/>
                <w:bCs/>
                <w:color w:val="333333"/>
                <w:sz w:val="18"/>
                <w:szCs w:val="18"/>
              </w:rPr>
              <w:t>Art. 269 [Ponowna uchwała]</w:t>
            </w:r>
          </w:p>
          <w:p w14:paraId="5F115175" w14:textId="77777777" w:rsidR="001C3185" w:rsidRPr="001C3185" w:rsidRDefault="001C3185" w:rsidP="001C3185">
            <w:pPr>
              <w:shd w:val="clear" w:color="auto" w:fill="FFFFFF"/>
              <w:ind w:left="604"/>
              <w:rPr>
                <w:rFonts w:ascii="Noto Serif" w:hAnsi="Noto Serif" w:cs="Noto Serif"/>
                <w:color w:val="333333"/>
                <w:sz w:val="18"/>
                <w:szCs w:val="18"/>
              </w:rPr>
            </w:pPr>
            <w:bookmarkStart w:id="94" w:name="mip69435530"/>
            <w:bookmarkEnd w:id="94"/>
            <w:r w:rsidRPr="00E67235">
              <w:rPr>
                <w:rFonts w:ascii="Noto Serif" w:hAnsi="Noto Serif" w:cs="Noto Serif"/>
                <w:b/>
                <w:bCs/>
                <w:color w:val="333333"/>
                <w:sz w:val="18"/>
                <w:szCs w:val="18"/>
              </w:rPr>
              <w:t>§ 1. Jeżeli jakikolwiek skład sądu administracyjnego rozpoznający sprawę nie podziela stanowiska zajętego w uchwale składu siedmiu sędziów</w:t>
            </w:r>
            <w:r w:rsidRPr="001C3185">
              <w:rPr>
                <w:rFonts w:ascii="Noto Serif" w:hAnsi="Noto Serif" w:cs="Noto Serif"/>
                <w:color w:val="333333"/>
                <w:sz w:val="18"/>
                <w:szCs w:val="18"/>
              </w:rPr>
              <w:t>, całej Izby albo w uchwale pełnego składu Naczelnego Sądu Administracyjnego, przedstawia powstałe zagadnienie prawne do rozstrzygnięcia odpowiedniemu składowi. Przepis </w:t>
            </w:r>
            <w:hyperlink r:id="rId118" w:history="1">
              <w:r w:rsidRPr="001C3185">
                <w:rPr>
                  <w:rStyle w:val="Hipercze"/>
                  <w:rFonts w:ascii="Noto Serif" w:hAnsi="Noto Serif" w:cs="Noto Serif"/>
                  <w:color w:val="CC0000"/>
                  <w:sz w:val="18"/>
                  <w:szCs w:val="18"/>
                </w:rPr>
                <w:t>art. 187 § 1 i 2</w:t>
              </w:r>
            </w:hyperlink>
            <w:r w:rsidRPr="001C3185">
              <w:rPr>
                <w:rFonts w:ascii="Noto Serif" w:hAnsi="Noto Serif" w:cs="Noto Serif"/>
                <w:color w:val="333333"/>
                <w:sz w:val="18"/>
                <w:szCs w:val="18"/>
              </w:rPr>
              <w:t> stosuje się odpowiednio.</w:t>
            </w:r>
          </w:p>
          <w:p w14:paraId="366ECC7F" w14:textId="77777777" w:rsidR="001C3185" w:rsidRPr="001C3185" w:rsidRDefault="001C3185" w:rsidP="001C3185">
            <w:pPr>
              <w:shd w:val="clear" w:color="auto" w:fill="FFFFFF"/>
              <w:ind w:left="604"/>
              <w:rPr>
                <w:rFonts w:ascii="Noto Serif" w:hAnsi="Noto Serif" w:cs="Noto Serif"/>
                <w:color w:val="333333"/>
                <w:sz w:val="18"/>
                <w:szCs w:val="18"/>
              </w:rPr>
            </w:pPr>
            <w:bookmarkStart w:id="95" w:name="mip69435531"/>
            <w:bookmarkEnd w:id="95"/>
            <w:r w:rsidRPr="001C3185">
              <w:rPr>
                <w:rFonts w:ascii="Noto Serif" w:hAnsi="Noto Serif" w:cs="Noto Serif"/>
                <w:color w:val="333333"/>
                <w:sz w:val="18"/>
                <w:szCs w:val="18"/>
              </w:rPr>
              <w:t xml:space="preserve">§ 2. W przypadkach, o których mowa w § 1, skład siedmiu sędziów, skład Izby lub pełny skład Naczelnego Sądu Administracyjnego </w:t>
            </w:r>
            <w:r w:rsidRPr="00E67235">
              <w:rPr>
                <w:rFonts w:ascii="Noto Serif" w:hAnsi="Noto Serif" w:cs="Noto Serif"/>
                <w:b/>
                <w:bCs/>
                <w:color w:val="333333"/>
                <w:sz w:val="18"/>
                <w:szCs w:val="18"/>
              </w:rPr>
              <w:t>podejmuje ponowną uchwałę</w:t>
            </w:r>
            <w:r w:rsidRPr="001C3185">
              <w:rPr>
                <w:rFonts w:ascii="Noto Serif" w:hAnsi="Noto Serif" w:cs="Noto Serif"/>
                <w:color w:val="333333"/>
                <w:sz w:val="18"/>
                <w:szCs w:val="18"/>
              </w:rPr>
              <w:t>. Przepisu </w:t>
            </w:r>
            <w:hyperlink r:id="rId119" w:history="1">
              <w:r w:rsidRPr="001C3185">
                <w:rPr>
                  <w:rStyle w:val="Hipercze"/>
                  <w:rFonts w:ascii="Noto Serif" w:hAnsi="Noto Serif" w:cs="Noto Serif"/>
                  <w:color w:val="CC0000"/>
                  <w:sz w:val="18"/>
                  <w:szCs w:val="18"/>
                </w:rPr>
                <w:t>art. 267</w:t>
              </w:r>
            </w:hyperlink>
            <w:r w:rsidRPr="001C3185">
              <w:rPr>
                <w:rFonts w:ascii="Noto Serif" w:hAnsi="Noto Serif" w:cs="Noto Serif"/>
                <w:color w:val="333333"/>
                <w:sz w:val="18"/>
                <w:szCs w:val="18"/>
              </w:rPr>
              <w:t> nie stosuje się.</w:t>
            </w:r>
          </w:p>
          <w:p w14:paraId="53A7F98E" w14:textId="77777777" w:rsidR="001C3185" w:rsidRPr="001C3185" w:rsidRDefault="001C3185" w:rsidP="001C3185">
            <w:pPr>
              <w:shd w:val="clear" w:color="auto" w:fill="FFFFFF"/>
              <w:ind w:left="604"/>
              <w:rPr>
                <w:rFonts w:ascii="Noto Serif" w:hAnsi="Noto Serif" w:cs="Noto Serif"/>
                <w:color w:val="333333"/>
                <w:sz w:val="18"/>
                <w:szCs w:val="18"/>
              </w:rPr>
            </w:pPr>
            <w:bookmarkStart w:id="96" w:name="mip69435532"/>
            <w:bookmarkEnd w:id="96"/>
            <w:r w:rsidRPr="001C3185">
              <w:rPr>
                <w:rFonts w:ascii="Noto Serif" w:hAnsi="Noto Serif" w:cs="Noto Serif"/>
                <w:color w:val="333333"/>
                <w:sz w:val="18"/>
                <w:szCs w:val="18"/>
              </w:rPr>
              <w:t>§ 3. Jeżeli skład jednej Izby Naczelnego Sądu Administracyjnego wyjaśniający zagadnienie prawne nie podziela stanowiska zajętego w uchwale innej Izby, przedstawia to zagadnienie do rozstrzygnięcia pełnemu składowi Naczelnego Sądu Administracyjnego.</w:t>
            </w:r>
          </w:p>
          <w:p w14:paraId="21A851C9" w14:textId="77777777" w:rsidR="005D5C3D" w:rsidRPr="00797577" w:rsidRDefault="005D5C3D" w:rsidP="00CB5915">
            <w:pPr>
              <w:ind w:left="-105"/>
              <w:jc w:val="both"/>
              <w:rPr>
                <w:rFonts w:asciiTheme="minorHAnsi" w:hAnsiTheme="minorHAnsi" w:cstheme="minorHAnsi"/>
                <w:sz w:val="6"/>
                <w:szCs w:val="6"/>
              </w:rPr>
            </w:pPr>
          </w:p>
          <w:p w14:paraId="2B4EBFE6" w14:textId="77777777" w:rsidR="002557FF" w:rsidRPr="0035196C" w:rsidRDefault="002557FF" w:rsidP="0035196C">
            <w:pPr>
              <w:pStyle w:val="nrbrzegowy2"/>
              <w:ind w:hanging="502"/>
              <w:rPr>
                <w:color w:val="2E74B5" w:themeColor="accent5" w:themeShade="BF"/>
              </w:rPr>
            </w:pPr>
            <w:r w:rsidRPr="002803E3">
              <w:rPr>
                <w:b/>
              </w:rPr>
              <w:t>Zagadnienie</w:t>
            </w:r>
            <w:r w:rsidRPr="002803E3">
              <w:t xml:space="preserve"> mocy wiążącej uchwały siedmiu sędziów Naczelnego Sądu Administracyjnego </w:t>
            </w:r>
            <w:r w:rsidRPr="002803E3">
              <w:rPr>
                <w:b/>
              </w:rPr>
              <w:t>omówiono szerzej</w:t>
            </w:r>
            <w:r w:rsidRPr="002803E3">
              <w:t xml:space="preserve"> w postanowieniu Wojewódzkiego Sądu Administracyjnego we Wrocławiu z dnia 23 czerwca 2020 r., sygn. I SA/</w:t>
            </w:r>
            <w:proofErr w:type="spellStart"/>
            <w:r w:rsidRPr="002803E3">
              <w:t>Wr</w:t>
            </w:r>
            <w:proofErr w:type="spellEnd"/>
            <w:r w:rsidRPr="002803E3">
              <w:t xml:space="preserve"> 748/19 wydanym </w:t>
            </w:r>
            <w:r w:rsidRPr="00EE07D6">
              <w:rPr>
                <w:rFonts w:cs="Calibri"/>
                <w:color w:val="000000"/>
              </w:rPr>
              <w:t xml:space="preserve">w składzie następującym: Sędzia WSA Dagmara DOMINIK-OGIŃSKA </w:t>
            </w:r>
            <w:r w:rsidRPr="00EE07D6">
              <w:rPr>
                <w:rFonts w:cs="Calibri"/>
                <w:color w:val="000000"/>
              </w:rPr>
              <w:lastRenderedPageBreak/>
              <w:t>(Przewodnicząca oraz Sprawozdawczyni), Sędzia WSA Piotr KIERES (Wotant),  Sędzia WSA Anetta MAKOWSKA-HRYCYK (Wotantka)</w:t>
            </w:r>
            <w:r w:rsidRPr="002803E3">
              <w:rPr>
                <w:rFonts w:ascii="Roboto" w:hAnsi="Roboto"/>
                <w:color w:val="000000"/>
              </w:rPr>
              <w:t xml:space="preserve"> </w:t>
            </w:r>
            <w:hyperlink r:id="rId120" w:history="1">
              <w:r w:rsidRPr="0035196C">
                <w:rPr>
                  <w:rStyle w:val="Hipercze"/>
                  <w:rFonts w:cstheme="minorHAnsi"/>
                  <w:color w:val="2E74B5" w:themeColor="accent5" w:themeShade="BF"/>
                  <w:szCs w:val="24"/>
                </w:rPr>
                <w:t>https://www.inforlex.pl/dok/tresc,WSA.2020.006.016049203,Postanowienie-WSA-we-Wroclawiu-z-dnia-23-czerwca-2020-r-sygn-I-SA-Wr-748-19.htm</w:t>
              </w:r>
            </w:hyperlink>
          </w:p>
          <w:p w14:paraId="7EF8D6A0" w14:textId="77777777" w:rsidR="002557FF" w:rsidRDefault="002557FF" w:rsidP="00CB1817">
            <w:pPr>
              <w:ind w:left="-105"/>
              <w:jc w:val="both"/>
              <w:rPr>
                <w:rFonts w:asciiTheme="minorHAnsi" w:hAnsiTheme="minorHAnsi" w:cstheme="minorHAnsi"/>
                <w:b/>
                <w:bCs/>
                <w:sz w:val="24"/>
                <w:szCs w:val="24"/>
              </w:rPr>
            </w:pPr>
          </w:p>
          <w:p w14:paraId="5A85A578" w14:textId="77777777" w:rsidR="005D5C3D" w:rsidRPr="002803E3" w:rsidRDefault="005D5C3D" w:rsidP="00CB5915">
            <w:pPr>
              <w:ind w:left="-105"/>
              <w:jc w:val="both"/>
              <w:rPr>
                <w:rFonts w:asciiTheme="minorHAnsi" w:hAnsiTheme="minorHAnsi" w:cstheme="minorHAnsi"/>
                <w:sz w:val="10"/>
                <w:szCs w:val="10"/>
              </w:rPr>
            </w:pPr>
          </w:p>
          <w:p w14:paraId="65B06883" w14:textId="77777777" w:rsidR="002557FF" w:rsidRDefault="00E67235" w:rsidP="0035196C">
            <w:pPr>
              <w:pStyle w:val="nrbrzegowy2"/>
              <w:ind w:hanging="502"/>
            </w:pPr>
            <w:r>
              <w:t>N</w:t>
            </w:r>
            <w:r w:rsidR="0091670F">
              <w:t xml:space="preserve">a budowanej </w:t>
            </w:r>
            <w:r>
              <w:t xml:space="preserve">nieustannie </w:t>
            </w:r>
            <w:r w:rsidR="0091670F">
              <w:t xml:space="preserve">stronie internetowej StoWI, </w:t>
            </w:r>
            <w:r>
              <w:t xml:space="preserve">Latem 2023 r. </w:t>
            </w:r>
            <w:r w:rsidR="0091670F">
              <w:t>autorzy zamieścili zanonimizowaną u</w:t>
            </w:r>
            <w:r w:rsidR="0091670F" w:rsidRPr="00265EA8">
              <w:t>chwał</w:t>
            </w:r>
            <w:r w:rsidR="0091670F">
              <w:t>ę</w:t>
            </w:r>
            <w:r w:rsidR="0091670F" w:rsidRPr="00265EA8">
              <w:t xml:space="preserve"> </w:t>
            </w:r>
            <w:r w:rsidR="0091670F">
              <w:t xml:space="preserve">z </w:t>
            </w:r>
            <w:r w:rsidR="0091670F" w:rsidRPr="00265EA8">
              <w:t>dnia 8 października 2018 r.</w:t>
            </w:r>
            <w:r w:rsidR="0091670F">
              <w:t xml:space="preserve"> 7 Sędziów </w:t>
            </w:r>
            <w:r w:rsidR="0091670F" w:rsidRPr="00265EA8">
              <w:t>Naczelnego Sądu Administracyjnego</w:t>
            </w:r>
            <w:r w:rsidR="0091670F">
              <w:t xml:space="preserve"> odszukaną i udostępnianą w Centralnej Bazie Orzeczeń Sądów Administracyjnych. </w:t>
            </w:r>
          </w:p>
          <w:p w14:paraId="7278BAC7" w14:textId="550814A0" w:rsidR="0091670F" w:rsidRPr="002557FF" w:rsidRDefault="0091670F" w:rsidP="0049767B">
            <w:pPr>
              <w:pStyle w:val="nrbrzegowy2"/>
              <w:numPr>
                <w:ilvl w:val="0"/>
                <w:numId w:val="0"/>
              </w:numPr>
              <w:ind w:left="604"/>
            </w:pPr>
            <w:r w:rsidRPr="002557FF">
              <w:t xml:space="preserve">Z jej </w:t>
            </w:r>
            <w:r w:rsidRPr="0049767B">
              <w:t>treści</w:t>
            </w:r>
            <w:r w:rsidRPr="002557FF">
              <w:t xml:space="preserve"> wynika, że została ona podjęta w składzie: </w:t>
            </w:r>
          </w:p>
          <w:p w14:paraId="1CA2688B" w14:textId="77777777" w:rsidR="0091670F" w:rsidRPr="00EF5B72" w:rsidRDefault="0091670F" w:rsidP="00CB5915">
            <w:pPr>
              <w:ind w:left="-105"/>
              <w:rPr>
                <w:rFonts w:asciiTheme="minorHAnsi" w:hAnsiTheme="minorHAnsi" w:cstheme="minorHAnsi"/>
                <w:sz w:val="10"/>
                <w:szCs w:val="10"/>
              </w:rPr>
            </w:pPr>
          </w:p>
          <w:p w14:paraId="1D9166E7" w14:textId="77777777"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 xml:space="preserve">Sędzia NSA Jacek CHLEBNY </w:t>
            </w:r>
            <w:r>
              <w:rPr>
                <w:rFonts w:asciiTheme="minorHAnsi" w:hAnsiTheme="minorHAnsi" w:cstheme="minorHAnsi"/>
                <w:sz w:val="24"/>
                <w:szCs w:val="24"/>
              </w:rPr>
              <w:t>(</w:t>
            </w:r>
            <w:r w:rsidRPr="00265EA8">
              <w:rPr>
                <w:rFonts w:asciiTheme="minorHAnsi" w:hAnsiTheme="minorHAnsi" w:cstheme="minorHAnsi"/>
                <w:sz w:val="24"/>
                <w:szCs w:val="24"/>
              </w:rPr>
              <w:t>Przewodniczący</w:t>
            </w:r>
            <w:r>
              <w:rPr>
                <w:rFonts w:asciiTheme="minorHAnsi" w:hAnsiTheme="minorHAnsi" w:cstheme="minorHAnsi"/>
                <w:sz w:val="24"/>
                <w:szCs w:val="24"/>
              </w:rPr>
              <w:t xml:space="preserve">) </w:t>
            </w:r>
          </w:p>
          <w:p w14:paraId="6E256D8D" w14:textId="17F74983"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Sędzi</w:t>
            </w:r>
            <w:r w:rsidR="00C04030">
              <w:rPr>
                <w:rFonts w:asciiTheme="minorHAnsi" w:hAnsiTheme="minorHAnsi" w:cstheme="minorHAnsi"/>
                <w:sz w:val="24"/>
                <w:szCs w:val="24"/>
              </w:rPr>
              <w:t>a</w:t>
            </w:r>
            <w:r>
              <w:rPr>
                <w:rFonts w:asciiTheme="minorHAnsi" w:hAnsiTheme="minorHAnsi" w:cstheme="minorHAnsi"/>
                <w:sz w:val="24"/>
                <w:szCs w:val="24"/>
              </w:rPr>
              <w:t xml:space="preserve"> </w:t>
            </w:r>
            <w:r w:rsidRPr="00265EA8">
              <w:rPr>
                <w:rFonts w:asciiTheme="minorHAnsi" w:hAnsiTheme="minorHAnsi" w:cstheme="minorHAnsi"/>
                <w:sz w:val="24"/>
                <w:szCs w:val="24"/>
              </w:rPr>
              <w:t>NSA Aleksandra ŁASKARZEWSKA (</w:t>
            </w:r>
            <w:r>
              <w:rPr>
                <w:rFonts w:asciiTheme="minorHAnsi" w:hAnsiTheme="minorHAnsi" w:cstheme="minorHAnsi"/>
                <w:sz w:val="24"/>
                <w:szCs w:val="24"/>
              </w:rPr>
              <w:t>S</w:t>
            </w:r>
            <w:r w:rsidRPr="00265EA8">
              <w:rPr>
                <w:rFonts w:asciiTheme="minorHAnsi" w:hAnsiTheme="minorHAnsi" w:cstheme="minorHAnsi"/>
                <w:sz w:val="24"/>
                <w:szCs w:val="24"/>
              </w:rPr>
              <w:t>prawozdawc</w:t>
            </w:r>
            <w:r>
              <w:rPr>
                <w:rFonts w:asciiTheme="minorHAnsi" w:hAnsiTheme="minorHAnsi" w:cstheme="minorHAnsi"/>
                <w:sz w:val="24"/>
                <w:szCs w:val="24"/>
              </w:rPr>
              <w:t>zyni</w:t>
            </w:r>
            <w:r w:rsidRPr="00265EA8">
              <w:rPr>
                <w:rFonts w:asciiTheme="minorHAnsi" w:hAnsiTheme="minorHAnsi" w:cstheme="minorHAnsi"/>
                <w:sz w:val="24"/>
                <w:szCs w:val="24"/>
              </w:rPr>
              <w:t>)</w:t>
            </w:r>
          </w:p>
          <w:p w14:paraId="2CE8BEEC" w14:textId="04CBF605"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Sędzi</w:t>
            </w:r>
            <w:r>
              <w:rPr>
                <w:rFonts w:asciiTheme="minorHAnsi" w:hAnsiTheme="minorHAnsi" w:cstheme="minorHAnsi"/>
                <w:sz w:val="24"/>
                <w:szCs w:val="24"/>
              </w:rPr>
              <w:t xml:space="preserve">a </w:t>
            </w:r>
            <w:r w:rsidRPr="00265EA8">
              <w:rPr>
                <w:rFonts w:asciiTheme="minorHAnsi" w:hAnsiTheme="minorHAnsi" w:cstheme="minorHAnsi"/>
                <w:sz w:val="24"/>
                <w:szCs w:val="24"/>
              </w:rPr>
              <w:t>NSA Marzenna LINSKA-WAWRZON (</w:t>
            </w:r>
            <w:r>
              <w:rPr>
                <w:rFonts w:asciiTheme="minorHAnsi" w:hAnsiTheme="minorHAnsi" w:cstheme="minorHAnsi"/>
                <w:sz w:val="24"/>
                <w:szCs w:val="24"/>
              </w:rPr>
              <w:t>W</w:t>
            </w:r>
            <w:r w:rsidRPr="00265EA8">
              <w:rPr>
                <w:rFonts w:asciiTheme="minorHAnsi" w:hAnsiTheme="minorHAnsi" w:cstheme="minorHAnsi"/>
                <w:sz w:val="24"/>
                <w:szCs w:val="24"/>
              </w:rPr>
              <w:t>spółsprawozdawc</w:t>
            </w:r>
            <w:r>
              <w:rPr>
                <w:rFonts w:asciiTheme="minorHAnsi" w:hAnsiTheme="minorHAnsi" w:cstheme="minorHAnsi"/>
                <w:sz w:val="24"/>
                <w:szCs w:val="24"/>
              </w:rPr>
              <w:t>zni</w:t>
            </w:r>
            <w:r w:rsidRPr="00265EA8">
              <w:rPr>
                <w:rFonts w:asciiTheme="minorHAnsi" w:hAnsiTheme="minorHAnsi" w:cstheme="minorHAnsi"/>
                <w:sz w:val="24"/>
                <w:szCs w:val="24"/>
              </w:rPr>
              <w:t>)</w:t>
            </w:r>
          </w:p>
          <w:p w14:paraId="77F13195" w14:textId="1FA9BF9D"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Sędzi</w:t>
            </w:r>
            <w:r>
              <w:rPr>
                <w:rFonts w:asciiTheme="minorHAnsi" w:hAnsiTheme="minorHAnsi" w:cstheme="minorHAnsi"/>
                <w:sz w:val="24"/>
                <w:szCs w:val="24"/>
              </w:rPr>
              <w:t xml:space="preserve">a NSA </w:t>
            </w:r>
            <w:r w:rsidRPr="00265EA8">
              <w:rPr>
                <w:rFonts w:asciiTheme="minorHAnsi" w:hAnsiTheme="minorHAnsi" w:cstheme="minorHAnsi"/>
                <w:sz w:val="24"/>
                <w:szCs w:val="24"/>
              </w:rPr>
              <w:t>Barbara ADAMIAK</w:t>
            </w:r>
            <w:r>
              <w:rPr>
                <w:rFonts w:asciiTheme="minorHAnsi" w:hAnsiTheme="minorHAnsi" w:cstheme="minorHAnsi"/>
                <w:sz w:val="24"/>
                <w:szCs w:val="24"/>
              </w:rPr>
              <w:t xml:space="preserve"> (Wotantka)</w:t>
            </w:r>
            <w:r w:rsidRPr="00265EA8">
              <w:rPr>
                <w:rFonts w:asciiTheme="minorHAnsi" w:hAnsiTheme="minorHAnsi" w:cstheme="minorHAnsi"/>
                <w:sz w:val="24"/>
                <w:szCs w:val="24"/>
              </w:rPr>
              <w:t xml:space="preserve"> </w:t>
            </w:r>
          </w:p>
          <w:p w14:paraId="7B0816C3" w14:textId="77777777"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Sędzi</w:t>
            </w:r>
            <w:r>
              <w:rPr>
                <w:rFonts w:asciiTheme="minorHAnsi" w:hAnsiTheme="minorHAnsi" w:cstheme="minorHAnsi"/>
                <w:sz w:val="24"/>
                <w:szCs w:val="24"/>
              </w:rPr>
              <w:t xml:space="preserve">a NSA </w:t>
            </w:r>
            <w:r w:rsidRPr="00265EA8">
              <w:rPr>
                <w:rFonts w:asciiTheme="minorHAnsi" w:hAnsiTheme="minorHAnsi" w:cstheme="minorHAnsi"/>
                <w:sz w:val="24"/>
                <w:szCs w:val="24"/>
              </w:rPr>
              <w:t>Robert SAWUŁA</w:t>
            </w:r>
            <w:r>
              <w:rPr>
                <w:rFonts w:asciiTheme="minorHAnsi" w:hAnsiTheme="minorHAnsi" w:cstheme="minorHAnsi"/>
                <w:sz w:val="24"/>
                <w:szCs w:val="24"/>
              </w:rPr>
              <w:t xml:space="preserve"> (Wotant, który zgłosił z</w:t>
            </w:r>
            <w:r w:rsidRPr="00394519">
              <w:rPr>
                <w:rFonts w:asciiTheme="minorHAnsi" w:hAnsiTheme="minorHAnsi" w:cstheme="minorHAnsi"/>
                <w:sz w:val="24"/>
                <w:szCs w:val="24"/>
              </w:rPr>
              <w:t>danie odrębne</w:t>
            </w:r>
            <w:r>
              <w:rPr>
                <w:rFonts w:asciiTheme="minorHAnsi" w:hAnsiTheme="minorHAnsi" w:cstheme="minorHAnsi"/>
                <w:sz w:val="24"/>
                <w:szCs w:val="24"/>
              </w:rPr>
              <w:t>)</w:t>
            </w:r>
            <w:r w:rsidRPr="00265EA8">
              <w:rPr>
                <w:rFonts w:asciiTheme="minorHAnsi" w:hAnsiTheme="minorHAnsi" w:cstheme="minorHAnsi"/>
                <w:sz w:val="24"/>
                <w:szCs w:val="24"/>
              </w:rPr>
              <w:t xml:space="preserve"> </w:t>
            </w:r>
          </w:p>
          <w:p w14:paraId="005E3DF1" w14:textId="77777777"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Sędzi</w:t>
            </w:r>
            <w:r>
              <w:rPr>
                <w:rFonts w:asciiTheme="minorHAnsi" w:hAnsiTheme="minorHAnsi" w:cstheme="minorHAnsi"/>
                <w:sz w:val="24"/>
                <w:szCs w:val="24"/>
              </w:rPr>
              <w:t xml:space="preserve">a NSA </w:t>
            </w:r>
            <w:r w:rsidRPr="00265EA8">
              <w:rPr>
                <w:rFonts w:asciiTheme="minorHAnsi" w:hAnsiTheme="minorHAnsi" w:cstheme="minorHAnsi"/>
                <w:sz w:val="24"/>
                <w:szCs w:val="24"/>
              </w:rPr>
              <w:t>Zbigniew ŚLUSARCZYK</w:t>
            </w:r>
            <w:r>
              <w:rPr>
                <w:rFonts w:asciiTheme="minorHAnsi" w:hAnsiTheme="minorHAnsi" w:cstheme="minorHAnsi"/>
                <w:sz w:val="24"/>
                <w:szCs w:val="24"/>
              </w:rPr>
              <w:t xml:space="preserve"> (Wotant)</w:t>
            </w:r>
          </w:p>
          <w:p w14:paraId="3A7AE6D8" w14:textId="4E289A70" w:rsidR="0091670F" w:rsidRDefault="0091670F" w:rsidP="0049767B">
            <w:pPr>
              <w:ind w:left="-105" w:firstLine="709"/>
              <w:rPr>
                <w:rFonts w:asciiTheme="minorHAnsi" w:hAnsiTheme="minorHAnsi" w:cstheme="minorHAnsi"/>
                <w:sz w:val="24"/>
                <w:szCs w:val="24"/>
              </w:rPr>
            </w:pPr>
            <w:r w:rsidRPr="00265EA8">
              <w:rPr>
                <w:rFonts w:asciiTheme="minorHAnsi" w:hAnsiTheme="minorHAnsi" w:cstheme="minorHAnsi"/>
                <w:sz w:val="24"/>
                <w:szCs w:val="24"/>
              </w:rPr>
              <w:t>Sędzi</w:t>
            </w:r>
            <w:r>
              <w:rPr>
                <w:rFonts w:asciiTheme="minorHAnsi" w:hAnsiTheme="minorHAnsi" w:cstheme="minorHAnsi"/>
                <w:sz w:val="24"/>
                <w:szCs w:val="24"/>
              </w:rPr>
              <w:t>a NSA</w:t>
            </w:r>
            <w:r w:rsidRPr="00265EA8">
              <w:rPr>
                <w:rFonts w:asciiTheme="minorHAnsi" w:hAnsiTheme="minorHAnsi" w:cstheme="minorHAnsi"/>
                <w:sz w:val="24"/>
                <w:szCs w:val="24"/>
              </w:rPr>
              <w:t xml:space="preserve"> OLGA ŻURAWSKA-MATUSIAK</w:t>
            </w:r>
            <w:r>
              <w:rPr>
                <w:rFonts w:asciiTheme="minorHAnsi" w:hAnsiTheme="minorHAnsi" w:cstheme="minorHAnsi"/>
                <w:sz w:val="24"/>
                <w:szCs w:val="24"/>
              </w:rPr>
              <w:t xml:space="preserve"> (Wotantka).</w:t>
            </w:r>
          </w:p>
          <w:p w14:paraId="17F6D154" w14:textId="77777777" w:rsidR="0091670F" w:rsidRPr="00394519" w:rsidRDefault="0091670F" w:rsidP="00CB5915">
            <w:pPr>
              <w:ind w:left="-105"/>
              <w:rPr>
                <w:rFonts w:asciiTheme="minorHAnsi" w:hAnsiTheme="minorHAnsi" w:cstheme="minorHAnsi"/>
                <w:sz w:val="10"/>
                <w:szCs w:val="10"/>
              </w:rPr>
            </w:pPr>
          </w:p>
          <w:p w14:paraId="72C931BE" w14:textId="08498DAE" w:rsidR="0091670F" w:rsidRDefault="0091670F" w:rsidP="0035196C">
            <w:pPr>
              <w:pStyle w:val="nrbrzegowy2"/>
              <w:ind w:hanging="469"/>
            </w:pPr>
            <w:r>
              <w:t xml:space="preserve">Zgodnie z przyjętym w Polsce, niezrozumiałym zwyczajem, </w:t>
            </w:r>
            <w:r w:rsidR="00473B37">
              <w:t xml:space="preserve">nie wskazano, </w:t>
            </w:r>
            <w:r w:rsidRPr="00183F36">
              <w:rPr>
                <w:b/>
              </w:rPr>
              <w:t>przy czyim udziale</w:t>
            </w:r>
            <w:r>
              <w:t xml:space="preserve"> </w:t>
            </w:r>
            <w:r w:rsidRPr="00183F36">
              <w:rPr>
                <w:b/>
              </w:rPr>
              <w:t>rozpoznano sprawę</w:t>
            </w:r>
            <w:r>
              <w:t>. W publikacji NSA poprzestano na zanonimizowanej informacji: „</w:t>
            </w:r>
            <w:r w:rsidRPr="00DA3FD8">
              <w:rPr>
                <w:b/>
                <w:i/>
                <w:iCs/>
              </w:rPr>
              <w:t>przy udziale prokuratora Prokuratury Krajowej - R. J</w:t>
            </w:r>
            <w:r w:rsidRPr="00265EA8">
              <w:t>.</w:t>
            </w:r>
            <w:r>
              <w:t xml:space="preserve">”. </w:t>
            </w:r>
          </w:p>
          <w:p w14:paraId="2B864900" w14:textId="1C3A0A04" w:rsidR="0091670F" w:rsidRDefault="0091670F" w:rsidP="0035196C">
            <w:pPr>
              <w:pStyle w:val="nrbrzegowy2"/>
              <w:ind w:hanging="502"/>
            </w:pPr>
            <w:r>
              <w:t xml:space="preserve">Być może wniosek rozpoznano przy udziale prokurator </w:t>
            </w:r>
            <w:r w:rsidR="002803E3" w:rsidRPr="002803E3">
              <w:t xml:space="preserve">Prokuratury Krajowej </w:t>
            </w:r>
            <w:r>
              <w:t>Renaty JABŁOŃSKIEJ</w:t>
            </w:r>
            <w:r w:rsidR="002803E3">
              <w:t>,</w:t>
            </w:r>
            <w:r>
              <w:t xml:space="preserve"> zatrudnionej w 2018 r. na stanowisku prokuratora Prokuratury Krajowej. </w:t>
            </w:r>
          </w:p>
          <w:p w14:paraId="77FA8C85" w14:textId="77777777" w:rsidR="00E67235" w:rsidRPr="00E516D0" w:rsidRDefault="00E67235" w:rsidP="00CB5915">
            <w:pPr>
              <w:tabs>
                <w:tab w:val="left" w:pos="596"/>
              </w:tabs>
              <w:ind w:left="-105"/>
              <w:jc w:val="both"/>
              <w:rPr>
                <w:rFonts w:asciiTheme="minorHAnsi" w:hAnsiTheme="minorHAnsi" w:cstheme="minorHAnsi"/>
                <w:sz w:val="10"/>
                <w:szCs w:val="10"/>
              </w:rPr>
            </w:pPr>
          </w:p>
          <w:p w14:paraId="37EB8FA2" w14:textId="77777777" w:rsidR="0049767B" w:rsidRDefault="0091670F" w:rsidP="0035196C">
            <w:pPr>
              <w:pStyle w:val="nrbrzegowy2"/>
              <w:ind w:hanging="502"/>
            </w:pPr>
            <w:r>
              <w:t>W</w:t>
            </w:r>
            <w:r w:rsidR="00E516D0">
              <w:t xml:space="preserve">skazując jako wnioskodawcę w </w:t>
            </w:r>
            <w:r>
              <w:t>przedstawionej uchwale wska</w:t>
            </w:r>
            <w:r w:rsidR="00E516D0">
              <w:t>zują</w:t>
            </w:r>
            <w:r>
              <w:t xml:space="preserve"> </w:t>
            </w:r>
            <w:r w:rsidR="00E67235">
              <w:t>natomiast</w:t>
            </w:r>
            <w:r>
              <w:t xml:space="preserve">, </w:t>
            </w:r>
            <w:r w:rsidRPr="00E67235">
              <w:t>kto zainicjował postępowanie w tej sprawie</w:t>
            </w:r>
            <w:r w:rsidR="00E516D0">
              <w:t xml:space="preserve"> ograniczono się do wskazania urzędu, a nie osobę Pana profesora Adama BODNARA</w:t>
            </w:r>
            <w:r w:rsidR="00E516D0" w:rsidRPr="00E516D0">
              <w:t>, który</w:t>
            </w:r>
            <w:r w:rsidR="00E516D0">
              <w:t xml:space="preserve"> </w:t>
            </w:r>
            <w:r w:rsidR="00E516D0" w:rsidRPr="00E516D0">
              <w:t>w tym czasie</w:t>
            </w:r>
            <w:r w:rsidR="00E516D0">
              <w:t xml:space="preserve"> piastował urząd Rzecznika Praw Obywatelskich</w:t>
            </w:r>
            <w:r>
              <w:t xml:space="preserve">. </w:t>
            </w:r>
          </w:p>
          <w:p w14:paraId="62F217BC" w14:textId="77777777" w:rsidR="0049767B" w:rsidRPr="0049767B" w:rsidRDefault="0049767B" w:rsidP="0049767B">
            <w:pPr>
              <w:pStyle w:val="Akapitzlist"/>
              <w:rPr>
                <w:rFonts w:cstheme="minorHAnsi"/>
                <w:sz w:val="10"/>
                <w:szCs w:val="14"/>
              </w:rPr>
            </w:pPr>
          </w:p>
          <w:p w14:paraId="4BCFEBEE" w14:textId="77777777" w:rsidR="0049767B" w:rsidRPr="0049767B" w:rsidRDefault="0091670F" w:rsidP="0035196C">
            <w:pPr>
              <w:pStyle w:val="nrbrzegowy2"/>
              <w:ind w:hanging="469"/>
            </w:pPr>
            <w:r w:rsidRPr="0049767B">
              <w:rPr>
                <w:rFonts w:cstheme="minorHAnsi"/>
                <w:szCs w:val="24"/>
              </w:rPr>
              <w:t xml:space="preserve">W tym przypadku </w:t>
            </w:r>
            <w:r w:rsidRPr="0049767B">
              <w:rPr>
                <w:rFonts w:cstheme="minorHAnsi"/>
                <w:b/>
                <w:szCs w:val="24"/>
              </w:rPr>
              <w:t>poprzestano</w:t>
            </w:r>
            <w:r w:rsidRPr="0049767B">
              <w:rPr>
                <w:rFonts w:cstheme="minorHAnsi"/>
                <w:szCs w:val="24"/>
              </w:rPr>
              <w:t xml:space="preserve"> na informacji, że </w:t>
            </w:r>
            <w:r w:rsidR="00E516D0" w:rsidRPr="0049767B">
              <w:rPr>
                <w:rFonts w:cstheme="minorHAnsi"/>
                <w:szCs w:val="24"/>
              </w:rPr>
              <w:t xml:space="preserve">analizowaną </w:t>
            </w:r>
            <w:r w:rsidRPr="0049767B">
              <w:rPr>
                <w:rFonts w:cstheme="minorHAnsi"/>
                <w:szCs w:val="24"/>
              </w:rPr>
              <w:t>uchwałę podjęto w wyniku: „</w:t>
            </w:r>
            <w:r w:rsidRPr="0049767B">
              <w:rPr>
                <w:rFonts w:cstheme="minorHAnsi"/>
                <w:b/>
                <w:i/>
                <w:iCs/>
                <w:szCs w:val="24"/>
              </w:rPr>
              <w:t>wniosku Rzecznika Praw Obywatelskich z dnia 14 marca 2018 r</w:t>
            </w:r>
            <w:r w:rsidRPr="0049767B">
              <w:rPr>
                <w:rFonts w:cstheme="minorHAnsi"/>
                <w:i/>
                <w:iCs/>
                <w:szCs w:val="24"/>
              </w:rPr>
              <w:t>.”</w:t>
            </w:r>
            <w:r w:rsidR="00E67235" w:rsidRPr="0049767B">
              <w:rPr>
                <w:rFonts w:cstheme="minorHAnsi"/>
                <w:szCs w:val="24"/>
              </w:rPr>
              <w:t>, nie wskazując z imienia i nazwiska Rzecznika Praw Obywatelskich</w:t>
            </w:r>
            <w:r w:rsidR="00E516D0" w:rsidRPr="0049767B">
              <w:rPr>
                <w:rFonts w:cstheme="minorHAnsi"/>
                <w:szCs w:val="24"/>
              </w:rPr>
              <w:t>.</w:t>
            </w:r>
          </w:p>
          <w:p w14:paraId="4CB0C6E1" w14:textId="77777777" w:rsidR="0049767B" w:rsidRPr="0049767B" w:rsidRDefault="00E516D0" w:rsidP="0035196C">
            <w:pPr>
              <w:pStyle w:val="nrbrzegowy2"/>
              <w:ind w:hanging="469"/>
            </w:pPr>
            <w:r w:rsidRPr="0049767B">
              <w:rPr>
                <w:rFonts w:cstheme="minorHAnsi"/>
                <w:szCs w:val="24"/>
              </w:rPr>
              <w:t>Jednak Uchwała,</w:t>
            </w:r>
            <w:r w:rsidR="00E67235" w:rsidRPr="0049767B">
              <w:rPr>
                <w:rFonts w:cstheme="minorHAnsi"/>
                <w:szCs w:val="24"/>
              </w:rPr>
              <w:t xml:space="preserve"> </w:t>
            </w:r>
            <w:r w:rsidRPr="0049767B">
              <w:rPr>
                <w:rFonts w:cstheme="minorHAnsi"/>
                <w:szCs w:val="24"/>
              </w:rPr>
              <w:t>której podjęcie zainicjował Pan Profesor Adam BODNAR wytyczyła kierunek korzystny dla użytkowników systemu własności intelektualnej, który wyraża się między innymi w przypadku urzędu patentowego w miarę szybkim i sprawnym doręczaniu protokołów rozpraw nawet pocztą elektroniczną (choć kwestia opłat z tego tytułu wymaga odrębnego omówienia).</w:t>
            </w:r>
          </w:p>
          <w:p w14:paraId="2A7F823D" w14:textId="1257C86D" w:rsidR="0091670F" w:rsidRPr="0049767B" w:rsidRDefault="0091670F" w:rsidP="00797577">
            <w:pPr>
              <w:pStyle w:val="nrbrzegowy2"/>
              <w:ind w:left="499" w:hanging="505"/>
            </w:pPr>
            <w:r w:rsidRPr="0049767B">
              <w:rPr>
                <w:rFonts w:cstheme="minorHAnsi"/>
                <w:szCs w:val="24"/>
              </w:rPr>
              <w:t xml:space="preserve">Zamieszczając </w:t>
            </w:r>
            <w:r w:rsidRPr="0049767B">
              <w:rPr>
                <w:rFonts w:cstheme="minorHAnsi"/>
                <w:b/>
                <w:szCs w:val="24"/>
              </w:rPr>
              <w:t>wiele miesięcy temu</w:t>
            </w:r>
            <w:r w:rsidRPr="0049767B">
              <w:rPr>
                <w:rFonts w:cstheme="minorHAnsi"/>
                <w:szCs w:val="24"/>
              </w:rPr>
              <w:t xml:space="preserve"> wskazaną wyżej uchwałę w systemie CASE LAW StoWI - </w:t>
            </w:r>
            <w:r w:rsidRPr="0049767B">
              <w:rPr>
                <w:rFonts w:cstheme="minorHAnsi"/>
                <w:b/>
                <w:szCs w:val="24"/>
              </w:rPr>
              <w:t>autorzy chcieli</w:t>
            </w:r>
            <w:r w:rsidRPr="0049767B">
              <w:rPr>
                <w:rFonts w:cstheme="minorHAnsi"/>
                <w:szCs w:val="24"/>
              </w:rPr>
              <w:t xml:space="preserve"> w ten sposób </w:t>
            </w:r>
            <w:r w:rsidRPr="0049767B">
              <w:rPr>
                <w:rFonts w:cstheme="minorHAnsi"/>
                <w:b/>
                <w:szCs w:val="24"/>
              </w:rPr>
              <w:t>wyrazić</w:t>
            </w:r>
            <w:r w:rsidRPr="0049767B">
              <w:rPr>
                <w:rFonts w:cstheme="minorHAnsi"/>
                <w:szCs w:val="24"/>
              </w:rPr>
              <w:t xml:space="preserve"> </w:t>
            </w:r>
            <w:r w:rsidRPr="0049767B">
              <w:rPr>
                <w:rFonts w:cstheme="minorHAnsi"/>
                <w:b/>
                <w:szCs w:val="24"/>
              </w:rPr>
              <w:t>szacunek</w:t>
            </w:r>
            <w:r w:rsidRPr="0049767B">
              <w:rPr>
                <w:rFonts w:cstheme="minorHAnsi"/>
                <w:szCs w:val="24"/>
              </w:rPr>
              <w:t xml:space="preserve"> i </w:t>
            </w:r>
            <w:r w:rsidRPr="0049767B">
              <w:rPr>
                <w:rFonts w:cstheme="minorHAnsi"/>
                <w:b/>
                <w:szCs w:val="24"/>
              </w:rPr>
              <w:t>wdzięczność</w:t>
            </w:r>
            <w:r w:rsidRPr="0049767B">
              <w:rPr>
                <w:rFonts w:cstheme="minorHAnsi"/>
                <w:szCs w:val="24"/>
              </w:rPr>
              <w:t xml:space="preserve"> za to, </w:t>
            </w:r>
            <w:r w:rsidRPr="0049767B">
              <w:rPr>
                <w:rFonts w:cstheme="minorHAnsi"/>
                <w:b/>
                <w:szCs w:val="24"/>
              </w:rPr>
              <w:t>że Pan prof. Adam BODNAR</w:t>
            </w:r>
            <w:r w:rsidRPr="0049767B">
              <w:rPr>
                <w:rFonts w:cstheme="minorHAnsi"/>
                <w:szCs w:val="24"/>
              </w:rPr>
              <w:t xml:space="preserve"> - wówczas </w:t>
            </w:r>
            <w:r w:rsidRPr="0049767B">
              <w:rPr>
                <w:rFonts w:cstheme="minorHAnsi"/>
                <w:b/>
                <w:szCs w:val="24"/>
              </w:rPr>
              <w:t>Rzecznik Praw Obywatelskich</w:t>
            </w:r>
            <w:r w:rsidRPr="0049767B">
              <w:rPr>
                <w:rFonts w:cstheme="minorHAnsi"/>
                <w:szCs w:val="24"/>
              </w:rPr>
              <w:t xml:space="preserve"> - </w:t>
            </w:r>
            <w:r w:rsidRPr="0049767B">
              <w:rPr>
                <w:rFonts w:cstheme="minorHAnsi"/>
                <w:b/>
                <w:szCs w:val="24"/>
              </w:rPr>
              <w:t>dostrzegł</w:t>
            </w:r>
            <w:r w:rsidRPr="0049767B">
              <w:rPr>
                <w:rFonts w:cstheme="minorHAnsi"/>
                <w:szCs w:val="24"/>
              </w:rPr>
              <w:t xml:space="preserve"> i starał się doraźnie rozwiązać </w:t>
            </w:r>
            <w:r w:rsidRPr="0049767B">
              <w:rPr>
                <w:rFonts w:cstheme="minorHAnsi"/>
                <w:b/>
                <w:szCs w:val="24"/>
              </w:rPr>
              <w:t>istotny problem</w:t>
            </w:r>
            <w:r w:rsidR="009A5766" w:rsidRPr="0049767B">
              <w:rPr>
                <w:rFonts w:cstheme="minorHAnsi"/>
                <w:szCs w:val="24"/>
              </w:rPr>
              <w:t>, wynikający z</w:t>
            </w:r>
            <w:r w:rsidR="009A5766" w:rsidRPr="0049767B">
              <w:rPr>
                <w:rFonts w:cstheme="minorHAnsi"/>
                <w:b/>
                <w:szCs w:val="24"/>
              </w:rPr>
              <w:t xml:space="preserve"> </w:t>
            </w:r>
            <w:r w:rsidR="009A5766" w:rsidRPr="0049767B">
              <w:rPr>
                <w:rFonts w:cstheme="minorHAnsi"/>
                <w:szCs w:val="24"/>
              </w:rPr>
              <w:t>interpretacji</w:t>
            </w:r>
            <w:r w:rsidR="009A5766" w:rsidRPr="0049767B">
              <w:rPr>
                <w:rFonts w:cstheme="minorHAnsi"/>
                <w:b/>
                <w:szCs w:val="24"/>
              </w:rPr>
              <w:t xml:space="preserve"> </w:t>
            </w:r>
            <w:r w:rsidR="009A5766" w:rsidRPr="0049767B">
              <w:rPr>
                <w:rFonts w:cstheme="minorHAnsi"/>
                <w:szCs w:val="24"/>
              </w:rPr>
              <w:t>treści</w:t>
            </w:r>
            <w:r w:rsidR="009A5766" w:rsidRPr="0049767B">
              <w:rPr>
                <w:rFonts w:cstheme="minorHAnsi"/>
                <w:b/>
                <w:szCs w:val="24"/>
              </w:rPr>
              <w:t xml:space="preserve"> art. 73 Kodeksu postępowania administracyjnego</w:t>
            </w:r>
            <w:r w:rsidR="004975D3" w:rsidRPr="0049767B">
              <w:rPr>
                <w:rFonts w:cstheme="minorHAnsi"/>
                <w:b/>
                <w:szCs w:val="24"/>
              </w:rPr>
              <w:t>.</w:t>
            </w:r>
          </w:p>
          <w:p w14:paraId="7C35AD08" w14:textId="77777777" w:rsidR="008B0C9B" w:rsidRDefault="008B0C9B" w:rsidP="00797577">
            <w:pPr>
              <w:tabs>
                <w:tab w:val="left" w:pos="540"/>
              </w:tabs>
              <w:ind w:left="-105" w:hanging="505"/>
              <w:jc w:val="both"/>
              <w:rPr>
                <w:rFonts w:asciiTheme="minorHAnsi" w:hAnsiTheme="minorHAnsi" w:cstheme="minorHAnsi"/>
                <w:sz w:val="24"/>
                <w:szCs w:val="24"/>
              </w:rPr>
            </w:pPr>
          </w:p>
          <w:p w14:paraId="78B41AB3" w14:textId="521E0716" w:rsidR="0091670F" w:rsidRDefault="0091670F" w:rsidP="00797577">
            <w:pPr>
              <w:pStyle w:val="nrbrzegowy2"/>
              <w:ind w:left="499" w:hanging="505"/>
            </w:pPr>
            <w:r>
              <w:t xml:space="preserve">Zwłaszcza w praktykach Urzędu Patentowego RP omawiana w przytoczonym orzeczeniu </w:t>
            </w:r>
            <w:r w:rsidRPr="00183F36">
              <w:t>regulacja prawna</w:t>
            </w:r>
            <w:r>
              <w:t xml:space="preserve"> (</w:t>
            </w:r>
            <w:r w:rsidRPr="00183F36">
              <w:t>niedostosowana do realiów życia</w:t>
            </w:r>
            <w:r>
              <w:t xml:space="preserve">) - stanowiła </w:t>
            </w:r>
            <w:r w:rsidRPr="00183F36">
              <w:t xml:space="preserve">podstawę praktyk </w:t>
            </w:r>
            <w:proofErr w:type="spellStart"/>
            <w:r w:rsidRPr="00183F36">
              <w:t>ultrauciążliwych</w:t>
            </w:r>
            <w:proofErr w:type="spellEnd"/>
            <w:r w:rsidRPr="00183F36">
              <w:t xml:space="preserve"> dla rzeczników patentowych</w:t>
            </w:r>
            <w:r>
              <w:t xml:space="preserve">, których </w:t>
            </w:r>
            <w:r w:rsidRPr="00183F36">
              <w:t>zmuszano</w:t>
            </w:r>
            <w:r>
              <w:t xml:space="preserve"> przez lata </w:t>
            </w:r>
            <w:r w:rsidRPr="00183F36">
              <w:t>do pokonywania setek kilometrów</w:t>
            </w:r>
            <w:r>
              <w:t xml:space="preserve">, </w:t>
            </w:r>
            <w:r w:rsidRPr="00183F36">
              <w:t>gdy chcieli uzyskać kopię akt</w:t>
            </w:r>
            <w:r>
              <w:t xml:space="preserve"> sprawy prowadzonej przez </w:t>
            </w:r>
            <w:r w:rsidRPr="00183F36">
              <w:t>Urząd Patentowy RP</w:t>
            </w:r>
            <w:r>
              <w:t xml:space="preserve">. </w:t>
            </w:r>
          </w:p>
          <w:p w14:paraId="30713C3D" w14:textId="77777777" w:rsidR="0091670F" w:rsidRPr="00601BC4" w:rsidRDefault="0091670F" w:rsidP="00CB5915">
            <w:pPr>
              <w:tabs>
                <w:tab w:val="left" w:pos="540"/>
              </w:tabs>
              <w:ind w:left="-105"/>
              <w:jc w:val="both"/>
              <w:rPr>
                <w:rFonts w:asciiTheme="minorHAnsi" w:hAnsiTheme="minorHAnsi" w:cstheme="minorHAnsi"/>
                <w:sz w:val="6"/>
                <w:szCs w:val="6"/>
              </w:rPr>
            </w:pPr>
          </w:p>
          <w:p w14:paraId="0320C9B4" w14:textId="1AC185CD" w:rsidR="0091670F" w:rsidRPr="00183F36" w:rsidRDefault="0091670F" w:rsidP="0035196C">
            <w:pPr>
              <w:pStyle w:val="nrbrzegowy2"/>
              <w:ind w:left="600" w:hanging="600"/>
            </w:pPr>
            <w:r>
              <w:lastRenderedPageBreak/>
              <w:t xml:space="preserve">Obowiązujące obecnie </w:t>
            </w:r>
            <w:r w:rsidRPr="00183F36">
              <w:t xml:space="preserve">przepisy prawa administracyjnego wciąż </w:t>
            </w:r>
            <w:r w:rsidR="00E67235" w:rsidRPr="00183F36">
              <w:t xml:space="preserve">nie są </w:t>
            </w:r>
            <w:r w:rsidR="00E67235" w:rsidRPr="00E67235">
              <w:t>jednak</w:t>
            </w:r>
            <w:r w:rsidR="00E67235">
              <w:t xml:space="preserve"> </w:t>
            </w:r>
            <w:r w:rsidRPr="00183F36">
              <w:t xml:space="preserve">dostosowane do potrzeb </w:t>
            </w:r>
            <w:r w:rsidR="00183F36">
              <w:t xml:space="preserve">użytkowników systemu własności intelektualnej </w:t>
            </w:r>
            <w:r w:rsidRPr="00183F36">
              <w:t>Urzędu Patentowego RP.</w:t>
            </w:r>
          </w:p>
          <w:p w14:paraId="1BE6B431" w14:textId="77777777" w:rsidR="0091670F" w:rsidRPr="00E45B1B" w:rsidRDefault="0091670F" w:rsidP="0035196C">
            <w:pPr>
              <w:tabs>
                <w:tab w:val="left" w:pos="540"/>
              </w:tabs>
              <w:ind w:left="600" w:hanging="600"/>
              <w:jc w:val="both"/>
              <w:rPr>
                <w:rFonts w:asciiTheme="minorHAnsi" w:hAnsiTheme="minorHAnsi" w:cstheme="minorHAnsi"/>
                <w:sz w:val="10"/>
                <w:szCs w:val="10"/>
              </w:rPr>
            </w:pPr>
          </w:p>
          <w:p w14:paraId="7C9B7F4F" w14:textId="49390D75" w:rsidR="0091670F" w:rsidRDefault="0091670F" w:rsidP="0035196C">
            <w:pPr>
              <w:pStyle w:val="nrbrzegowy2"/>
              <w:ind w:left="600" w:hanging="600"/>
            </w:pPr>
            <w:r>
              <w:t xml:space="preserve">Serdecznie dziękując za wniosek i za zainteresowanie tym tematem przez Pana Profesora - autorzy zastanawiali się równocześnie, czy, a jeśli tak - </w:t>
            </w:r>
            <w:r w:rsidRPr="00183F36">
              <w:t xml:space="preserve">w jaki sposób - odnieść się do samej, przytoczonej </w:t>
            </w:r>
            <w:r w:rsidR="004975D3">
              <w:t>wy</w:t>
            </w:r>
            <w:r w:rsidRPr="00183F36">
              <w:t>żej uchwały</w:t>
            </w:r>
            <w:r>
              <w:t xml:space="preserve"> Naczelnego Sądu Administracyjnego. </w:t>
            </w:r>
          </w:p>
          <w:p w14:paraId="1EE05628" w14:textId="176A67FF" w:rsidR="00CB5915" w:rsidRPr="004975D3" w:rsidRDefault="006C32A1" w:rsidP="0035196C">
            <w:pPr>
              <w:pStyle w:val="nrbrzegowy2"/>
              <w:ind w:left="600" w:hanging="600"/>
            </w:pPr>
            <w:r w:rsidRPr="004975D3">
              <w:t xml:space="preserve">Mogliby więc </w:t>
            </w:r>
            <w:r w:rsidR="0091670F" w:rsidRPr="004975D3">
              <w:t xml:space="preserve">poprzestać na stwierdzeniu, że można dużo i obszernie wypowiedzieć się </w:t>
            </w:r>
            <w:r w:rsidR="00183F36" w:rsidRPr="004975D3">
              <w:t xml:space="preserve">na określony temat </w:t>
            </w:r>
            <w:r w:rsidR="0091670F" w:rsidRPr="004975D3">
              <w:t>i nie powiedzieć</w:t>
            </w:r>
            <w:r w:rsidRPr="004975D3">
              <w:t xml:space="preserve"> nic - w</w:t>
            </w:r>
            <w:r w:rsidR="00EB243D" w:rsidRPr="004975D3">
              <w:t xml:space="preserve"> sentencji uchwały zabrakło informacji o </w:t>
            </w:r>
            <w:r w:rsidR="004975D3" w:rsidRPr="004975D3">
              <w:t xml:space="preserve">sposobie </w:t>
            </w:r>
            <w:r w:rsidR="00EB243D" w:rsidRPr="004975D3">
              <w:t>doręczenia</w:t>
            </w:r>
            <w:r w:rsidR="004975D3" w:rsidRPr="004975D3">
              <w:t xml:space="preserve"> żądanych kopii względnie odpisów dokumentów z akt sprawy</w:t>
            </w:r>
            <w:r w:rsidR="00EB243D" w:rsidRPr="004975D3">
              <w:t>.</w:t>
            </w:r>
          </w:p>
          <w:p w14:paraId="434F42AA" w14:textId="5F658301" w:rsidR="006C32A1" w:rsidRDefault="00183F36" w:rsidP="0035196C">
            <w:pPr>
              <w:pStyle w:val="nrbrzegowy2"/>
              <w:ind w:left="600" w:hanging="600"/>
            </w:pPr>
            <w:r w:rsidRPr="0039256E">
              <w:t>Dobrze jednak, że przytoczon</w:t>
            </w:r>
            <w:r w:rsidR="004975D3" w:rsidRPr="0039256E">
              <w:t xml:space="preserve">a wyżej Uchwała </w:t>
            </w:r>
            <w:r w:rsidR="00EB243D" w:rsidRPr="0039256E">
              <w:t>w ogóle został</w:t>
            </w:r>
            <w:r w:rsidR="004975D3" w:rsidRPr="0039256E">
              <w:t>a</w:t>
            </w:r>
            <w:r w:rsidR="00EB243D" w:rsidRPr="0039256E">
              <w:t xml:space="preserve"> wydan</w:t>
            </w:r>
            <w:r w:rsidR="004975D3" w:rsidRPr="0039256E">
              <w:t>a</w:t>
            </w:r>
            <w:r w:rsidR="00EB243D" w:rsidRPr="0039256E">
              <w:t>. Najprawdopodobniej miał</w:t>
            </w:r>
            <w:r w:rsidR="004975D3" w:rsidRPr="0039256E">
              <w:t>a</w:t>
            </w:r>
            <w:r w:rsidR="00EB243D" w:rsidRPr="0039256E">
              <w:t xml:space="preserve"> ono wpływ na zmianę </w:t>
            </w:r>
            <w:r w:rsidR="006C32A1" w:rsidRPr="0039256E">
              <w:t xml:space="preserve">uciążliwej </w:t>
            </w:r>
            <w:r w:rsidR="00EB243D" w:rsidRPr="0039256E">
              <w:t xml:space="preserve">praktyki realizowanej przez lata przez Departament Orzecznictwa Urzędu Patentowego RP (przekształcony w </w:t>
            </w:r>
            <w:r w:rsidR="0039256E" w:rsidRPr="0039256E">
              <w:t xml:space="preserve">Departament </w:t>
            </w:r>
            <w:r w:rsidR="0039256E">
              <w:t xml:space="preserve">Prawny i </w:t>
            </w:r>
            <w:r w:rsidR="0039256E" w:rsidRPr="0039256E">
              <w:t>Orzecznictwa Urzędu Patentowego RP</w:t>
            </w:r>
            <w:r w:rsidR="00EB243D">
              <w:t>), którym kierowała Pani dr Sylwia WIT vel WILK</w:t>
            </w:r>
            <w:r w:rsidR="006C32A1">
              <w:t>. Urząd Patentowy RP odmawiał</w:t>
            </w:r>
            <w:r w:rsidR="00EB243D" w:rsidRPr="00EB243D">
              <w:t xml:space="preserve"> doręczenia stronom kopii </w:t>
            </w:r>
            <w:r w:rsidR="004975D3">
              <w:t xml:space="preserve">dokumentów z </w:t>
            </w:r>
            <w:r w:rsidR="00EB243D" w:rsidRPr="00EB243D">
              <w:t>akt</w:t>
            </w:r>
            <w:r w:rsidR="00EB243D">
              <w:t xml:space="preserve"> spraw</w:t>
            </w:r>
            <w:r w:rsidR="004975D3">
              <w:t>y</w:t>
            </w:r>
            <w:r w:rsidR="006C32A1">
              <w:t xml:space="preserve">, gdyż </w:t>
            </w:r>
            <w:r w:rsidR="00EB243D">
              <w:t xml:space="preserve">w ocenie osób stosujących te praktyki - zabraniał </w:t>
            </w:r>
            <w:r w:rsidR="006C32A1">
              <w:t xml:space="preserve">tego </w:t>
            </w:r>
            <w:r w:rsidR="00EB243D" w:rsidRPr="004975D3">
              <w:t>art. 73 k.p.a</w:t>
            </w:r>
            <w:r w:rsidR="00EB243D">
              <w:t>.</w:t>
            </w:r>
            <w:r w:rsidR="006C32A1">
              <w:t xml:space="preserve"> Informowano strony, że nie ma przeszkód</w:t>
            </w:r>
            <w:r w:rsidR="004975D3">
              <w:t>,</w:t>
            </w:r>
            <w:r w:rsidR="006C32A1">
              <w:t xml:space="preserve"> aby przyjechały z odległych miejsc w całej Polsce i osobiście sporządziły na przykład kopię protokołu rozprawy przeprowadzonej przez Urząd Patentowy RP. </w:t>
            </w:r>
          </w:p>
          <w:p w14:paraId="36DFC828" w14:textId="77777777" w:rsidR="006C32A1" w:rsidRPr="001A7755" w:rsidRDefault="006C32A1" w:rsidP="0035196C">
            <w:pPr>
              <w:tabs>
                <w:tab w:val="left" w:pos="540"/>
              </w:tabs>
              <w:ind w:left="600" w:hanging="600"/>
              <w:jc w:val="both"/>
              <w:rPr>
                <w:rFonts w:asciiTheme="minorHAnsi" w:hAnsiTheme="minorHAnsi" w:cstheme="minorHAnsi"/>
                <w:b/>
                <w:bCs/>
                <w:sz w:val="10"/>
                <w:szCs w:val="10"/>
              </w:rPr>
            </w:pPr>
          </w:p>
          <w:p w14:paraId="3FE9C7C2" w14:textId="249BB5C3" w:rsidR="0091670F" w:rsidRDefault="00345CDA" w:rsidP="00183F36">
            <w:pPr>
              <w:tabs>
                <w:tab w:val="left" w:pos="540"/>
              </w:tabs>
              <w:ind w:left="-105"/>
              <w:jc w:val="both"/>
              <w:rPr>
                <w:rFonts w:asciiTheme="minorHAnsi" w:hAnsiTheme="minorHAnsi" w:cstheme="minorHAnsi"/>
                <w:sz w:val="24"/>
                <w:szCs w:val="24"/>
              </w:rPr>
            </w:pPr>
            <w:r w:rsidRPr="00345CDA">
              <w:rPr>
                <w:rFonts w:asciiTheme="minorHAnsi" w:hAnsiTheme="minorHAnsi" w:cstheme="minorHAnsi"/>
                <w:b/>
                <w:bCs/>
                <w:sz w:val="24"/>
                <w:szCs w:val="24"/>
              </w:rPr>
              <w:t xml:space="preserve">Celem tej publikacji jest upowszechnienie wiedzy i złożenie podziękowań </w:t>
            </w:r>
            <w:r>
              <w:rPr>
                <w:rFonts w:asciiTheme="minorHAnsi" w:hAnsiTheme="minorHAnsi" w:cstheme="minorHAnsi"/>
                <w:sz w:val="24"/>
                <w:szCs w:val="24"/>
              </w:rPr>
              <w:t>za z</w:t>
            </w:r>
            <w:r w:rsidR="00EB243D">
              <w:rPr>
                <w:rFonts w:asciiTheme="minorHAnsi" w:hAnsiTheme="minorHAnsi" w:cstheme="minorHAnsi"/>
                <w:sz w:val="24"/>
                <w:szCs w:val="24"/>
              </w:rPr>
              <w:t>mian</w:t>
            </w:r>
            <w:r w:rsidR="00894660">
              <w:rPr>
                <w:rFonts w:asciiTheme="minorHAnsi" w:hAnsiTheme="minorHAnsi" w:cstheme="minorHAnsi"/>
                <w:sz w:val="24"/>
                <w:szCs w:val="24"/>
              </w:rPr>
              <w:t>ę</w:t>
            </w:r>
            <w:r w:rsidR="00EB243D">
              <w:rPr>
                <w:rFonts w:asciiTheme="minorHAnsi" w:hAnsiTheme="minorHAnsi" w:cstheme="minorHAnsi"/>
                <w:sz w:val="24"/>
                <w:szCs w:val="24"/>
              </w:rPr>
              <w:t xml:space="preserve"> </w:t>
            </w:r>
            <w:r w:rsidR="00EB243D" w:rsidRPr="00894660">
              <w:rPr>
                <w:rFonts w:asciiTheme="minorHAnsi" w:hAnsiTheme="minorHAnsi" w:cstheme="minorHAnsi"/>
                <w:b/>
                <w:bCs/>
                <w:sz w:val="24"/>
                <w:szCs w:val="24"/>
              </w:rPr>
              <w:t xml:space="preserve">wykładni art. 73 </w:t>
            </w:r>
            <w:r w:rsidR="00894660" w:rsidRPr="00894660">
              <w:rPr>
                <w:rFonts w:asciiTheme="minorHAnsi" w:hAnsiTheme="minorHAnsi" w:cstheme="minorHAnsi"/>
                <w:b/>
                <w:bCs/>
                <w:sz w:val="24"/>
                <w:szCs w:val="24"/>
              </w:rPr>
              <w:t>Kodeksu postępowania administracyjnego</w:t>
            </w:r>
            <w:r>
              <w:rPr>
                <w:rFonts w:asciiTheme="minorHAnsi" w:hAnsiTheme="minorHAnsi" w:cstheme="minorHAnsi"/>
                <w:b/>
                <w:bCs/>
                <w:sz w:val="24"/>
                <w:szCs w:val="24"/>
              </w:rPr>
              <w:t xml:space="preserve">¸ </w:t>
            </w:r>
            <w:r w:rsidRPr="00345CDA">
              <w:rPr>
                <w:rFonts w:asciiTheme="minorHAnsi" w:hAnsiTheme="minorHAnsi" w:cstheme="minorHAnsi"/>
                <w:sz w:val="24"/>
                <w:szCs w:val="24"/>
              </w:rPr>
              <w:t>którą</w:t>
            </w:r>
            <w:r>
              <w:rPr>
                <w:rFonts w:asciiTheme="minorHAnsi" w:hAnsiTheme="minorHAnsi" w:cstheme="minorHAnsi"/>
                <w:b/>
                <w:bCs/>
                <w:sz w:val="24"/>
                <w:szCs w:val="24"/>
              </w:rPr>
              <w:t xml:space="preserve"> </w:t>
            </w:r>
            <w:r w:rsidR="00894660">
              <w:rPr>
                <w:rFonts w:asciiTheme="minorHAnsi" w:hAnsiTheme="minorHAnsi" w:cstheme="minorHAnsi"/>
                <w:sz w:val="24"/>
                <w:szCs w:val="24"/>
              </w:rPr>
              <w:t xml:space="preserve">zawdzięczamy </w:t>
            </w:r>
            <w:r>
              <w:rPr>
                <w:rFonts w:asciiTheme="minorHAnsi" w:hAnsiTheme="minorHAnsi" w:cstheme="minorHAnsi"/>
                <w:sz w:val="24"/>
                <w:szCs w:val="24"/>
              </w:rPr>
              <w:t>nieusta</w:t>
            </w:r>
            <w:r w:rsidR="004975D3">
              <w:rPr>
                <w:rFonts w:asciiTheme="minorHAnsi" w:hAnsiTheme="minorHAnsi" w:cstheme="minorHAnsi"/>
                <w:sz w:val="24"/>
                <w:szCs w:val="24"/>
              </w:rPr>
              <w:t>n</w:t>
            </w:r>
            <w:r>
              <w:rPr>
                <w:rFonts w:asciiTheme="minorHAnsi" w:hAnsiTheme="minorHAnsi" w:cstheme="minorHAnsi"/>
                <w:sz w:val="24"/>
                <w:szCs w:val="24"/>
              </w:rPr>
              <w:t xml:space="preserve">nym </w:t>
            </w:r>
            <w:r w:rsidR="0091670F">
              <w:rPr>
                <w:rFonts w:asciiTheme="minorHAnsi" w:hAnsiTheme="minorHAnsi" w:cstheme="minorHAnsi"/>
                <w:sz w:val="24"/>
                <w:szCs w:val="24"/>
              </w:rPr>
              <w:t>trud</w:t>
            </w:r>
            <w:r w:rsidR="00183F36">
              <w:rPr>
                <w:rFonts w:asciiTheme="minorHAnsi" w:hAnsiTheme="minorHAnsi" w:cstheme="minorHAnsi"/>
                <w:sz w:val="24"/>
                <w:szCs w:val="24"/>
              </w:rPr>
              <w:t>om i wy</w:t>
            </w:r>
            <w:r w:rsidR="008F22CC">
              <w:rPr>
                <w:rFonts w:asciiTheme="minorHAnsi" w:hAnsiTheme="minorHAnsi" w:cstheme="minorHAnsi"/>
                <w:sz w:val="24"/>
                <w:szCs w:val="24"/>
              </w:rPr>
              <w:t>siłkom</w:t>
            </w:r>
            <w:r w:rsidR="0091670F">
              <w:rPr>
                <w:rFonts w:asciiTheme="minorHAnsi" w:hAnsiTheme="minorHAnsi" w:cstheme="minorHAnsi"/>
                <w:sz w:val="24"/>
                <w:szCs w:val="24"/>
              </w:rPr>
              <w:t>, któr</w:t>
            </w:r>
            <w:r w:rsidR="008F22CC">
              <w:rPr>
                <w:rFonts w:asciiTheme="minorHAnsi" w:hAnsiTheme="minorHAnsi" w:cstheme="minorHAnsi"/>
                <w:sz w:val="24"/>
                <w:szCs w:val="24"/>
              </w:rPr>
              <w:t>e</w:t>
            </w:r>
            <w:r w:rsidR="0091670F">
              <w:rPr>
                <w:rFonts w:asciiTheme="minorHAnsi" w:hAnsiTheme="minorHAnsi" w:cstheme="minorHAnsi"/>
                <w:sz w:val="24"/>
                <w:szCs w:val="24"/>
              </w:rPr>
              <w:t xml:space="preserve"> odejmuje dla nas</w:t>
            </w:r>
            <w:r w:rsidR="00CB5915">
              <w:rPr>
                <w:rFonts w:asciiTheme="minorHAnsi" w:hAnsiTheme="minorHAnsi" w:cstheme="minorHAnsi"/>
                <w:sz w:val="24"/>
                <w:szCs w:val="24"/>
              </w:rPr>
              <w:t xml:space="preserve"> ówczesny </w:t>
            </w:r>
            <w:r w:rsidR="00CB5915" w:rsidRPr="00345CDA">
              <w:rPr>
                <w:rFonts w:asciiTheme="minorHAnsi" w:hAnsiTheme="minorHAnsi" w:cstheme="minorHAnsi"/>
                <w:b/>
                <w:bCs/>
                <w:sz w:val="24"/>
                <w:szCs w:val="24"/>
              </w:rPr>
              <w:t>Rzecznik Praw Obywatelskich</w:t>
            </w:r>
            <w:r w:rsidR="0091670F">
              <w:rPr>
                <w:rFonts w:asciiTheme="minorHAnsi" w:hAnsiTheme="minorHAnsi" w:cstheme="minorHAnsi"/>
                <w:sz w:val="24"/>
                <w:szCs w:val="24"/>
              </w:rPr>
              <w:t>:</w:t>
            </w:r>
          </w:p>
          <w:p w14:paraId="06A139A4" w14:textId="77777777" w:rsidR="0091670F" w:rsidRPr="00797577" w:rsidRDefault="0091670F" w:rsidP="004E0278">
            <w:pPr>
              <w:rPr>
                <w:rFonts w:cstheme="minorHAnsi"/>
                <w:bCs/>
                <w:color w:val="000000"/>
                <w:sz w:val="8"/>
                <w:szCs w:val="8"/>
              </w:rPr>
            </w:pPr>
          </w:p>
        </w:tc>
      </w:tr>
      <w:tr w:rsidR="004975D3" w:rsidRPr="006A1234" w14:paraId="43D43E04" w14:textId="77777777" w:rsidTr="004E0278">
        <w:tc>
          <w:tcPr>
            <w:tcW w:w="9072" w:type="dxa"/>
            <w:gridSpan w:val="3"/>
          </w:tcPr>
          <w:p w14:paraId="546F1061" w14:textId="77777777" w:rsidR="004975D3" w:rsidRPr="00797577" w:rsidRDefault="004975D3" w:rsidP="00CB5915">
            <w:pPr>
              <w:jc w:val="right"/>
              <w:rPr>
                <w:rFonts w:cstheme="minorHAnsi"/>
                <w:sz w:val="18"/>
                <w:szCs w:val="18"/>
              </w:rPr>
            </w:pPr>
          </w:p>
        </w:tc>
      </w:tr>
      <w:tr w:rsidR="0091670F" w14:paraId="7F1B83F1" w14:textId="77777777" w:rsidTr="004E02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28" w:type="dxa"/>
            <w:gridSpan w:val="2"/>
            <w:vMerge w:val="restart"/>
            <w:tcBorders>
              <w:top w:val="nil"/>
              <w:left w:val="nil"/>
              <w:bottom w:val="nil"/>
              <w:right w:val="nil"/>
            </w:tcBorders>
          </w:tcPr>
          <w:p w14:paraId="45359B15" w14:textId="77777777" w:rsidR="0091670F" w:rsidRPr="00920286" w:rsidRDefault="0091670F" w:rsidP="004E0278">
            <w:pPr>
              <w:rPr>
                <w:rFonts w:cstheme="minorHAnsi"/>
                <w:noProof/>
                <w:sz w:val="6"/>
                <w:szCs w:val="6"/>
              </w:rPr>
            </w:pPr>
          </w:p>
          <w:p w14:paraId="348B4E78" w14:textId="77777777" w:rsidR="0091670F" w:rsidRDefault="0091670F" w:rsidP="00CB5915">
            <w:pPr>
              <w:ind w:left="-105"/>
              <w:rPr>
                <w:rFonts w:cstheme="minorHAnsi"/>
                <w:sz w:val="24"/>
                <w:szCs w:val="24"/>
              </w:rPr>
            </w:pPr>
            <w:r>
              <w:rPr>
                <w:rFonts w:cstheme="minorHAnsi"/>
                <w:noProof/>
                <w:sz w:val="24"/>
                <w:szCs w:val="24"/>
              </w:rPr>
              <w:drawing>
                <wp:inline distT="0" distB="0" distL="0" distR="0" wp14:anchorId="1D561709" wp14:editId="7520EF5B">
                  <wp:extent cx="2085975" cy="3125734"/>
                  <wp:effectExtent l="0" t="0" r="0" b="0"/>
                  <wp:docPr id="938602436" name="Obraz 29" descr="Obraz zawierający Ludzka twarz, osoba, ubrania, kraw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02436" name="Obraz 29" descr="Obraz zawierający Ludzka twarz, osoba, ubrania, krawat&#10;&#10;Opis wygenerowany automatyczni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00299" cy="3147198"/>
                          </a:xfrm>
                          <a:prstGeom prst="rect">
                            <a:avLst/>
                          </a:prstGeom>
                          <a:noFill/>
                          <a:ln>
                            <a:noFill/>
                          </a:ln>
                        </pic:spPr>
                      </pic:pic>
                    </a:graphicData>
                  </a:graphic>
                </wp:inline>
              </w:drawing>
            </w:r>
          </w:p>
        </w:tc>
        <w:tc>
          <w:tcPr>
            <w:tcW w:w="5244" w:type="dxa"/>
            <w:tcBorders>
              <w:top w:val="nil"/>
              <w:left w:val="nil"/>
              <w:bottom w:val="nil"/>
              <w:right w:val="nil"/>
            </w:tcBorders>
          </w:tcPr>
          <w:p w14:paraId="5F4E2344" w14:textId="77777777" w:rsidR="0091670F" w:rsidRPr="00345CDA" w:rsidRDefault="0091670F" w:rsidP="004E0278">
            <w:pPr>
              <w:rPr>
                <w:rFonts w:asciiTheme="minorHAnsi" w:hAnsiTheme="minorHAnsi" w:cstheme="minorHAnsi"/>
                <w:b/>
                <w:bCs/>
                <w:sz w:val="24"/>
                <w:szCs w:val="24"/>
              </w:rPr>
            </w:pPr>
            <w:r w:rsidRPr="00345CDA">
              <w:rPr>
                <w:rFonts w:asciiTheme="minorHAnsi" w:hAnsiTheme="minorHAnsi" w:cstheme="minorHAnsi"/>
                <w:b/>
                <w:bCs/>
                <w:sz w:val="24"/>
                <w:szCs w:val="24"/>
              </w:rPr>
              <w:t>prof. Adam BODNAR</w:t>
            </w:r>
          </w:p>
          <w:p w14:paraId="53ABC117" w14:textId="77777777" w:rsidR="0091670F" w:rsidRPr="004569D1" w:rsidRDefault="0091670F" w:rsidP="004E0278">
            <w:pPr>
              <w:rPr>
                <w:rFonts w:asciiTheme="minorHAnsi" w:hAnsiTheme="minorHAnsi" w:cstheme="minorHAnsi"/>
                <w:sz w:val="10"/>
                <w:szCs w:val="10"/>
              </w:rPr>
            </w:pPr>
          </w:p>
        </w:tc>
      </w:tr>
      <w:tr w:rsidR="0091670F" w14:paraId="4CE8A4F6" w14:textId="77777777" w:rsidTr="004E02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28" w:type="dxa"/>
            <w:gridSpan w:val="2"/>
            <w:vMerge/>
            <w:tcBorders>
              <w:top w:val="nil"/>
              <w:left w:val="nil"/>
              <w:bottom w:val="nil"/>
              <w:right w:val="nil"/>
            </w:tcBorders>
          </w:tcPr>
          <w:p w14:paraId="5DA1A6AA" w14:textId="77777777" w:rsidR="0091670F" w:rsidRDefault="0091670F" w:rsidP="004E0278">
            <w:pPr>
              <w:rPr>
                <w:rFonts w:cstheme="minorHAnsi"/>
                <w:sz w:val="24"/>
                <w:szCs w:val="24"/>
              </w:rPr>
            </w:pPr>
          </w:p>
        </w:tc>
        <w:tc>
          <w:tcPr>
            <w:tcW w:w="5244" w:type="dxa"/>
            <w:tcBorders>
              <w:top w:val="nil"/>
              <w:left w:val="nil"/>
              <w:bottom w:val="nil"/>
              <w:right w:val="nil"/>
            </w:tcBorders>
          </w:tcPr>
          <w:p w14:paraId="1D83BA2D" w14:textId="77777777" w:rsidR="0091670F" w:rsidRPr="004F4BDA" w:rsidRDefault="0091670F" w:rsidP="00355D81">
            <w:pPr>
              <w:pStyle w:val="Akapitzlist"/>
              <w:numPr>
                <w:ilvl w:val="0"/>
                <w:numId w:val="54"/>
              </w:numPr>
              <w:ind w:left="315" w:hanging="315"/>
              <w:rPr>
                <w:rFonts w:eastAsia="Times New Roman" w:cstheme="minorHAnsi"/>
                <w:sz w:val="22"/>
                <w:szCs w:val="22"/>
              </w:rPr>
            </w:pPr>
            <w:r w:rsidRPr="004F4BDA">
              <w:rPr>
                <w:rFonts w:eastAsia="Times New Roman" w:cstheme="minorHAnsi"/>
                <w:sz w:val="22"/>
                <w:szCs w:val="22"/>
              </w:rPr>
              <w:t>Profesor Uniwersytetu SWPS</w:t>
            </w:r>
          </w:p>
          <w:p w14:paraId="618A11D5" w14:textId="77777777" w:rsidR="0091670F" w:rsidRPr="004F4BDA" w:rsidRDefault="0091670F" w:rsidP="00355D81">
            <w:pPr>
              <w:pStyle w:val="Akapitzlist"/>
              <w:numPr>
                <w:ilvl w:val="0"/>
                <w:numId w:val="54"/>
              </w:numPr>
              <w:ind w:left="315" w:hanging="315"/>
              <w:rPr>
                <w:rFonts w:eastAsia="Times New Roman" w:cstheme="minorHAnsi"/>
                <w:sz w:val="22"/>
                <w:szCs w:val="22"/>
              </w:rPr>
            </w:pPr>
            <w:r w:rsidRPr="004F4BDA">
              <w:rPr>
                <w:rFonts w:eastAsia="Times New Roman" w:cstheme="minorHAnsi"/>
                <w:sz w:val="22"/>
                <w:szCs w:val="22"/>
              </w:rPr>
              <w:t>Wiceprezes Helsińskiej Fundacji Praw Człowieka w latach 2010-2015</w:t>
            </w:r>
          </w:p>
          <w:p w14:paraId="08DB0F25" w14:textId="77777777" w:rsidR="0091670F" w:rsidRPr="004F4BDA" w:rsidRDefault="0091670F" w:rsidP="00355D81">
            <w:pPr>
              <w:pStyle w:val="Akapitzlist"/>
              <w:numPr>
                <w:ilvl w:val="0"/>
                <w:numId w:val="54"/>
              </w:numPr>
              <w:ind w:left="315" w:hanging="315"/>
              <w:rPr>
                <w:rFonts w:eastAsia="Times New Roman" w:cstheme="minorHAnsi"/>
                <w:sz w:val="22"/>
                <w:szCs w:val="22"/>
              </w:rPr>
            </w:pPr>
            <w:r w:rsidRPr="004F4BDA">
              <w:rPr>
                <w:rFonts w:eastAsia="Times New Roman" w:cstheme="minorHAnsi"/>
                <w:sz w:val="22"/>
                <w:szCs w:val="22"/>
              </w:rPr>
              <w:t xml:space="preserve">Rzecznik Praw Obywatelskich w </w:t>
            </w:r>
            <w:r>
              <w:rPr>
                <w:rFonts w:eastAsia="Times New Roman" w:cstheme="minorHAnsi"/>
                <w:sz w:val="22"/>
                <w:szCs w:val="22"/>
              </w:rPr>
              <w:t xml:space="preserve">okresie od </w:t>
            </w:r>
            <w:r w:rsidRPr="009E65A1">
              <w:rPr>
                <w:rFonts w:eastAsia="Times New Roman" w:cstheme="minorHAnsi"/>
                <w:b/>
                <w:bCs/>
                <w:sz w:val="22"/>
                <w:szCs w:val="22"/>
              </w:rPr>
              <w:t>09.09.2015</w:t>
            </w:r>
            <w:r>
              <w:rPr>
                <w:rFonts w:eastAsia="Times New Roman" w:cstheme="minorHAnsi"/>
                <w:b/>
                <w:bCs/>
                <w:sz w:val="22"/>
                <w:szCs w:val="22"/>
              </w:rPr>
              <w:t xml:space="preserve"> r. do 15.07. </w:t>
            </w:r>
            <w:r w:rsidRPr="009E65A1">
              <w:rPr>
                <w:rFonts w:eastAsia="Times New Roman" w:cstheme="minorHAnsi"/>
                <w:b/>
                <w:bCs/>
                <w:sz w:val="22"/>
                <w:szCs w:val="22"/>
              </w:rPr>
              <w:t>202</w:t>
            </w:r>
            <w:r>
              <w:rPr>
                <w:rFonts w:eastAsia="Times New Roman" w:cstheme="minorHAnsi"/>
                <w:b/>
                <w:bCs/>
                <w:sz w:val="22"/>
                <w:szCs w:val="22"/>
              </w:rPr>
              <w:t>1 r</w:t>
            </w:r>
            <w:r w:rsidRPr="00F536A1">
              <w:rPr>
                <w:rFonts w:eastAsia="Times New Roman" w:cstheme="minorHAnsi"/>
                <w:sz w:val="22"/>
                <w:szCs w:val="22"/>
              </w:rPr>
              <w:t>.</w:t>
            </w:r>
          </w:p>
          <w:p w14:paraId="56E0AE18" w14:textId="77777777" w:rsidR="0091670F" w:rsidRPr="004F4BDA" w:rsidRDefault="0091670F" w:rsidP="00355D81">
            <w:pPr>
              <w:pStyle w:val="Akapitzlist"/>
              <w:numPr>
                <w:ilvl w:val="0"/>
                <w:numId w:val="54"/>
              </w:numPr>
              <w:ind w:left="315" w:hanging="315"/>
              <w:rPr>
                <w:rFonts w:eastAsia="Times New Roman" w:cstheme="minorHAnsi"/>
                <w:sz w:val="22"/>
                <w:szCs w:val="22"/>
              </w:rPr>
            </w:pPr>
            <w:r w:rsidRPr="004F4BDA">
              <w:rPr>
                <w:rFonts w:eastAsia="Times New Roman" w:cstheme="minorHAnsi"/>
                <w:sz w:val="22"/>
                <w:szCs w:val="22"/>
              </w:rPr>
              <w:t xml:space="preserve">Minister Sprawiedliwości od </w:t>
            </w:r>
            <w:r w:rsidRPr="009E65A1">
              <w:rPr>
                <w:rFonts w:eastAsia="Times New Roman" w:cstheme="minorHAnsi"/>
                <w:b/>
                <w:bCs/>
                <w:sz w:val="22"/>
                <w:szCs w:val="22"/>
              </w:rPr>
              <w:t>13.12.2023 r</w:t>
            </w:r>
            <w:r w:rsidRPr="00F536A1">
              <w:rPr>
                <w:rFonts w:eastAsia="Times New Roman" w:cstheme="minorHAnsi"/>
                <w:sz w:val="22"/>
                <w:szCs w:val="22"/>
              </w:rPr>
              <w:t>.</w:t>
            </w:r>
          </w:p>
          <w:p w14:paraId="0483BCA4" w14:textId="77777777" w:rsidR="0091670F" w:rsidRPr="004F4BDA" w:rsidRDefault="0091670F" w:rsidP="004E0278">
            <w:pPr>
              <w:pStyle w:val="Akapitzlist"/>
              <w:ind w:left="315"/>
              <w:rPr>
                <w:rFonts w:asciiTheme="minorHAnsi" w:hAnsiTheme="minorHAnsi" w:cstheme="minorHAnsi"/>
              </w:rPr>
            </w:pPr>
          </w:p>
        </w:tc>
      </w:tr>
    </w:tbl>
    <w:p w14:paraId="140D52DA" w14:textId="77777777" w:rsidR="0091670F" w:rsidRPr="005513F7" w:rsidRDefault="0091670F" w:rsidP="0091670F">
      <w:pPr>
        <w:spacing w:after="0"/>
        <w:rPr>
          <w:sz w:val="10"/>
          <w:szCs w:val="10"/>
        </w:rPr>
      </w:pPr>
    </w:p>
    <w:p w14:paraId="5E3034BC" w14:textId="1B0AFC71" w:rsidR="0091670F" w:rsidRDefault="0091670F" w:rsidP="00CB5915">
      <w:pPr>
        <w:spacing w:after="0"/>
        <w:rPr>
          <w:kern w:val="0"/>
          <w:sz w:val="24"/>
          <w:szCs w:val="24"/>
        </w:rPr>
      </w:pPr>
      <w:r>
        <w:rPr>
          <w:b/>
          <w:bCs/>
          <w:kern w:val="0"/>
          <w:sz w:val="24"/>
          <w:szCs w:val="24"/>
        </w:rPr>
        <w:t>P</w:t>
      </w:r>
      <w:r w:rsidRPr="00BB6DF4">
        <w:rPr>
          <w:b/>
          <w:bCs/>
          <w:kern w:val="0"/>
          <w:sz w:val="24"/>
          <w:szCs w:val="24"/>
        </w:rPr>
        <w:t>ojęcia kluczowe</w:t>
      </w:r>
      <w:r w:rsidRPr="00BB6DF4">
        <w:rPr>
          <w:kern w:val="0"/>
          <w:sz w:val="24"/>
          <w:szCs w:val="24"/>
        </w:rPr>
        <w:t xml:space="preserve">: </w:t>
      </w:r>
    </w:p>
    <w:p w14:paraId="7A63EB55" w14:textId="77777777" w:rsidR="0091670F" w:rsidRPr="004C137A" w:rsidRDefault="0091670F" w:rsidP="00CB5915">
      <w:pPr>
        <w:spacing w:after="0"/>
        <w:rPr>
          <w:sz w:val="24"/>
          <w:szCs w:val="24"/>
        </w:rPr>
      </w:pPr>
      <w:r w:rsidRPr="004C137A">
        <w:rPr>
          <w:sz w:val="24"/>
          <w:szCs w:val="24"/>
        </w:rPr>
        <w:t>KONSTYTUCJA ART. 51</w:t>
      </w:r>
    </w:p>
    <w:p w14:paraId="66481051" w14:textId="77777777" w:rsidR="0091670F" w:rsidRPr="004C137A" w:rsidRDefault="0091670F" w:rsidP="00CB5915">
      <w:pPr>
        <w:spacing w:after="0" w:line="240" w:lineRule="auto"/>
        <w:rPr>
          <w:rStyle w:val="Pogrubienie"/>
          <w:rFonts w:cstheme="minorHAnsi"/>
          <w:b w:val="0"/>
          <w:bCs w:val="0"/>
          <w:sz w:val="24"/>
          <w:szCs w:val="24"/>
        </w:rPr>
      </w:pPr>
      <w:r w:rsidRPr="004C137A">
        <w:rPr>
          <w:rStyle w:val="Pogrubienie"/>
          <w:rFonts w:cstheme="minorHAnsi"/>
          <w:b w:val="0"/>
          <w:bCs w:val="0"/>
          <w:sz w:val="24"/>
          <w:szCs w:val="24"/>
        </w:rPr>
        <w:t>KODEKS POSTĘPOWANIA ADMINISTRACYJNEGO ART. 73, ART. 8</w:t>
      </w:r>
    </w:p>
    <w:p w14:paraId="75A6D7C0" w14:textId="77777777" w:rsidR="0091670F" w:rsidRPr="004C137A" w:rsidRDefault="0091670F" w:rsidP="00CB5915">
      <w:pPr>
        <w:spacing w:after="0" w:line="240" w:lineRule="auto"/>
        <w:rPr>
          <w:sz w:val="24"/>
          <w:szCs w:val="24"/>
        </w:rPr>
      </w:pPr>
      <w:r w:rsidRPr="004C137A">
        <w:rPr>
          <w:rStyle w:val="Pogrubienie"/>
          <w:rFonts w:cstheme="minorHAnsi"/>
          <w:b w:val="0"/>
          <w:bCs w:val="0"/>
          <w:sz w:val="24"/>
          <w:szCs w:val="24"/>
        </w:rPr>
        <w:t>KOPIA AKT W POSTĘPOWANIU ADMINISTRACYJNYM</w:t>
      </w:r>
    </w:p>
    <w:p w14:paraId="1CAFE946" w14:textId="3079DB96" w:rsidR="0091670F" w:rsidRPr="00384ACE" w:rsidRDefault="0091670F" w:rsidP="00CB5915">
      <w:pPr>
        <w:spacing w:after="0"/>
        <w:rPr>
          <w:color w:val="2E74B5" w:themeColor="accent5" w:themeShade="BF"/>
          <w:sz w:val="24"/>
          <w:szCs w:val="24"/>
        </w:rPr>
      </w:pPr>
      <w:r w:rsidRPr="00D15CE8">
        <w:rPr>
          <w:b/>
          <w:bCs/>
          <w:sz w:val="24"/>
          <w:szCs w:val="24"/>
        </w:rPr>
        <w:t xml:space="preserve">Miejsce publikacji: </w:t>
      </w:r>
      <w:hyperlink r:id="rId122" w:history="1">
        <w:r w:rsidRPr="00384ACE">
          <w:rPr>
            <w:rStyle w:val="Hipercze"/>
            <w:color w:val="2E74B5" w:themeColor="accent5" w:themeShade="BF"/>
            <w:sz w:val="24"/>
            <w:szCs w:val="24"/>
          </w:rPr>
          <w:t>https://orzeczenia.nsa.gov.pl/doc/6204297404</w:t>
        </w:r>
      </w:hyperlink>
      <w:r w:rsidRPr="00384ACE">
        <w:rPr>
          <w:color w:val="2E74B5" w:themeColor="accent5" w:themeShade="BF"/>
          <w:sz w:val="24"/>
          <w:szCs w:val="24"/>
        </w:rPr>
        <w:t xml:space="preserve"> </w:t>
      </w:r>
    </w:p>
    <w:p w14:paraId="2394D41C" w14:textId="77777777" w:rsidR="0091670F" w:rsidRPr="00033A4F" w:rsidRDefault="0091670F" w:rsidP="0091670F">
      <w:pPr>
        <w:spacing w:after="0"/>
        <w:rPr>
          <w:sz w:val="2"/>
          <w:szCs w:val="2"/>
        </w:rPr>
      </w:pPr>
    </w:p>
    <w:p w14:paraId="78917298" w14:textId="77777777" w:rsidR="002950AF" w:rsidRDefault="002950AF">
      <w:pPr>
        <w:rPr>
          <w:sz w:val="20"/>
          <w:szCs w:val="20"/>
        </w:rPr>
      </w:pPr>
    </w:p>
    <w:p w14:paraId="768A5528" w14:textId="223BBF0D" w:rsidR="00A66599" w:rsidRPr="00FA6806" w:rsidRDefault="00E76D44" w:rsidP="003F6CA0">
      <w:pPr>
        <w:pStyle w:val="Nagwek2"/>
        <w:rPr>
          <w:noProof/>
          <w:lang w:eastAsia="pl-PL"/>
        </w:rPr>
      </w:pPr>
      <w:r>
        <w:rPr>
          <w:noProof/>
          <w:lang w:eastAsia="pl-PL"/>
        </w:rPr>
        <w:br/>
      </w:r>
      <w:bookmarkStart w:id="97" w:name="_Toc170117981"/>
      <w:r w:rsidR="00A66599" w:rsidRPr="00FA6806">
        <w:rPr>
          <w:noProof/>
          <w:lang w:eastAsia="pl-PL"/>
        </w:rPr>
        <w:drawing>
          <wp:anchor distT="0" distB="0" distL="114300" distR="114300" simplePos="0" relativeHeight="251872256" behindDoc="0" locked="0" layoutInCell="1" allowOverlap="1" wp14:anchorId="0961CF13" wp14:editId="4AB875F4">
            <wp:simplePos x="0" y="0"/>
            <wp:positionH relativeFrom="column">
              <wp:posOffset>-17145</wp:posOffset>
            </wp:positionH>
            <wp:positionV relativeFrom="paragraph">
              <wp:posOffset>27305</wp:posOffset>
            </wp:positionV>
            <wp:extent cx="1980000" cy="1080000"/>
            <wp:effectExtent l="0" t="0" r="1270" b="6350"/>
            <wp:wrapThrough wrapText="bothSides">
              <wp:wrapPolygon edited="0">
                <wp:start x="0" y="0"/>
                <wp:lineTo x="0" y="21346"/>
                <wp:lineTo x="21406" y="21346"/>
                <wp:lineTo x="21406" y="0"/>
                <wp:lineTo x="0" y="0"/>
              </wp:wrapPolygon>
            </wp:wrapThrough>
            <wp:docPr id="1519096140"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6599" w:rsidRPr="00FA6806">
        <w:rPr>
          <w:noProof/>
          <w:color w:val="C00000"/>
          <w:lang w:eastAsia="pl-PL"/>
        </w:rPr>
        <mc:AlternateContent>
          <mc:Choice Requires="wps">
            <w:drawing>
              <wp:anchor distT="0" distB="0" distL="114300" distR="114300" simplePos="0" relativeHeight="251871232" behindDoc="0" locked="0" layoutInCell="1" allowOverlap="1" wp14:anchorId="6BDA68BE" wp14:editId="1D1C0911">
                <wp:simplePos x="0" y="0"/>
                <wp:positionH relativeFrom="margin">
                  <wp:posOffset>-98755</wp:posOffset>
                </wp:positionH>
                <wp:positionV relativeFrom="paragraph">
                  <wp:posOffset>-383540</wp:posOffset>
                </wp:positionV>
                <wp:extent cx="527050" cy="372745"/>
                <wp:effectExtent l="0" t="0" r="6350" b="8255"/>
                <wp:wrapNone/>
                <wp:docPr id="1413826099"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4B1B5138" w14:textId="2F170FC8" w:rsidR="00541DD6" w:rsidRPr="00142068" w:rsidRDefault="00CC6551" w:rsidP="00640327">
                            <w:pPr>
                              <w:pStyle w:val="NumeracjaRozdzial"/>
                            </w:pPr>
                            <w:r>
                              <w:t>2</w:t>
                            </w:r>
                            <w:r w:rsidR="00541DD6" w:rsidRPr="00142068">
                              <w:t>.</w:t>
                            </w:r>
                          </w:p>
                          <w:p w14:paraId="7207C195" w14:textId="77777777" w:rsidR="00541DD6" w:rsidRDefault="00541DD6" w:rsidP="00A66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DA68BE" id="_x0000_s1039" type="#_x0000_t202" style="position:absolute;margin-left:-7.8pt;margin-top:-30.2pt;width:41.5pt;height:29.35pt;z-index:251871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" fillcolor="white [3201]" stroked="f" strokeweight=".5pt">
                <v:textbox>
                  <w:txbxContent>
                    <w:p w14:paraId="4B1B5138" w14:textId="2F170FC8" w:rsidR="00541DD6" w:rsidRPr="00142068" w:rsidRDefault="00CC6551" w:rsidP="00640327">
                      <w:pPr>
                        <w:pStyle w:val="NumeracjaRozdzial"/>
                      </w:pPr>
                      <w:r>
                        <w:t>2</w:t>
                      </w:r>
                      <w:r w:rsidR="00541DD6" w:rsidRPr="00142068">
                        <w:t>.</w:t>
                      </w:r>
                    </w:p>
                    <w:p w14:paraId="7207C195" w14:textId="77777777" w:rsidR="00541DD6" w:rsidRDefault="00541DD6" w:rsidP="00A66599"/>
                  </w:txbxContent>
                </v:textbox>
                <w10:wrap anchorx="margin"/>
              </v:shape>
            </w:pict>
          </mc:Fallback>
        </mc:AlternateContent>
      </w:r>
      <w:r w:rsidR="00A66599" w:rsidRPr="00FA6806">
        <w:rPr>
          <w:noProof/>
          <w:lang w:eastAsia="pl-PL"/>
        </w:rPr>
        <w:t>Wyrok z dnia 09.04</w:t>
      </w:r>
      <w:r w:rsidR="00C97720" w:rsidRPr="00FA6806">
        <w:rPr>
          <w:noProof/>
          <w:lang w:eastAsia="pl-PL"/>
        </w:rPr>
        <w:t xml:space="preserve">.2008 r. wydany w sprawie sygn. </w:t>
      </w:r>
      <w:r w:rsidR="00A66599" w:rsidRPr="00FA6806">
        <w:rPr>
          <w:noProof/>
          <w:lang w:eastAsia="pl-PL"/>
        </w:rPr>
        <w:t>akt V CSK</w:t>
      </w:r>
      <w:r w:rsidR="00C97720" w:rsidRPr="00FA6806">
        <w:rPr>
          <w:noProof/>
          <w:lang w:eastAsia="pl-PL"/>
        </w:rPr>
        <w:t xml:space="preserve"> 503/07, w którym Sąd Najwyższy </w:t>
      </w:r>
      <w:r w:rsidR="00A66599" w:rsidRPr="00FA6806">
        <w:rPr>
          <w:noProof/>
          <w:lang w:eastAsia="pl-PL"/>
        </w:rPr>
        <w:t>przypomni</w:t>
      </w:r>
      <w:r w:rsidR="00C97720" w:rsidRPr="00FA6806">
        <w:rPr>
          <w:noProof/>
          <w:lang w:eastAsia="pl-PL"/>
        </w:rPr>
        <w:t xml:space="preserve">ał o tym, że nie wolno zarzucać </w:t>
      </w:r>
      <w:r w:rsidR="00A66599" w:rsidRPr="00FA6806">
        <w:rPr>
          <w:noProof/>
          <w:lang w:eastAsia="pl-PL"/>
        </w:rPr>
        <w:t>niezgodności z pra</w:t>
      </w:r>
      <w:r w:rsidR="00C97720" w:rsidRPr="00FA6806">
        <w:rPr>
          <w:noProof/>
          <w:lang w:eastAsia="pl-PL"/>
        </w:rPr>
        <w:t xml:space="preserve">wem faktów i okoliczności długo </w:t>
      </w:r>
      <w:r w:rsidR="00A66599" w:rsidRPr="00FA6806">
        <w:rPr>
          <w:noProof/>
          <w:lang w:eastAsia="pl-PL"/>
        </w:rPr>
        <w:t xml:space="preserve">akceptowanych </w:t>
      </w:r>
      <w:r w:rsidR="007B1BEF">
        <w:rPr>
          <w:noProof/>
          <w:lang w:eastAsia="pl-PL"/>
        </w:rPr>
        <w:t>-</w:t>
      </w:r>
      <w:r w:rsidR="00A66599" w:rsidRPr="00FA6806">
        <w:rPr>
          <w:noProof/>
          <w:lang w:eastAsia="pl-PL"/>
        </w:rPr>
        <w:t xml:space="preserve"> </w:t>
      </w:r>
      <w:r w:rsidR="00A66599" w:rsidRPr="00FA6806">
        <w:rPr>
          <w:i/>
          <w:iCs/>
          <w:noProof/>
          <w:lang w:eastAsia="pl-PL"/>
        </w:rPr>
        <w:t>venire contra factum proprium</w:t>
      </w:r>
      <w:bookmarkEnd w:id="97"/>
    </w:p>
    <w:p w14:paraId="2A88C626" w14:textId="77777777" w:rsidR="00640327" w:rsidRPr="00FA6806" w:rsidRDefault="00640327" w:rsidP="00640327">
      <w:pPr>
        <w:rPr>
          <w:sz w:val="6"/>
          <w:szCs w:val="6"/>
          <w:lang w:eastAsia="pl-PL"/>
        </w:rPr>
      </w:pPr>
    </w:p>
    <w:p w14:paraId="13C78C43" w14:textId="77777777" w:rsidR="00D627B9" w:rsidRPr="00D627B9" w:rsidRDefault="00D627B9" w:rsidP="00D627B9">
      <w:pPr>
        <w:spacing w:after="0"/>
        <w:rPr>
          <w:sz w:val="24"/>
          <w:szCs w:val="24"/>
        </w:rPr>
      </w:pPr>
    </w:p>
    <w:p w14:paraId="2171132F" w14:textId="77777777" w:rsidR="00901A89" w:rsidRPr="00EC4F25" w:rsidRDefault="00901A89" w:rsidP="00901A89">
      <w:pPr>
        <w:spacing w:after="0"/>
        <w:jc w:val="center"/>
        <w:rPr>
          <w:color w:val="4472C4" w:themeColor="accent1"/>
        </w:rPr>
      </w:pPr>
      <w:r w:rsidRPr="00EC4F25">
        <w:rPr>
          <w:noProof/>
          <w:color w:val="4472C4" w:themeColor="accent1"/>
          <w:lang w:eastAsia="pl-PL"/>
        </w:rPr>
        <w:drawing>
          <wp:anchor distT="0" distB="0" distL="114300" distR="114300" simplePos="0" relativeHeight="251720704" behindDoc="1" locked="0" layoutInCell="1" allowOverlap="1" wp14:anchorId="6B27663D" wp14:editId="05F9C3A6">
            <wp:simplePos x="0" y="0"/>
            <wp:positionH relativeFrom="column">
              <wp:posOffset>3969385</wp:posOffset>
            </wp:positionH>
            <wp:positionV relativeFrom="paragraph">
              <wp:posOffset>27305</wp:posOffset>
            </wp:positionV>
            <wp:extent cx="2142490" cy="2625725"/>
            <wp:effectExtent l="0" t="0" r="0" b="3175"/>
            <wp:wrapTight wrapText="bothSides">
              <wp:wrapPolygon edited="0">
                <wp:start x="0" y="0"/>
                <wp:lineTo x="0" y="21469"/>
                <wp:lineTo x="21318" y="21469"/>
                <wp:lineTo x="21318" y="0"/>
                <wp:lineTo x="0" y="0"/>
              </wp:wrapPolygon>
            </wp:wrapTight>
            <wp:docPr id="1992329065" name="Obraz 3" descr="Obraz zawierający tekst, kreskówka, plakat, ilustr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29065" name="Obraz 3" descr="Obraz zawierający tekst, kreskówka, plakat, ilustracja&#10;&#10;Opis wygenerowany automatyczni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42490" cy="262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F9B1FE" w14:textId="77777777" w:rsidR="00901A89" w:rsidRPr="00EC4F25" w:rsidRDefault="00901A89" w:rsidP="00901A89">
      <w:pPr>
        <w:spacing w:after="0"/>
        <w:jc w:val="center"/>
        <w:rPr>
          <w:color w:val="4472C4" w:themeColor="accent1"/>
        </w:rPr>
      </w:pPr>
    </w:p>
    <w:p w14:paraId="4B2E0E6D" w14:textId="77777777" w:rsidR="00901A89" w:rsidRPr="00EC4F25" w:rsidRDefault="00901A89" w:rsidP="00901A89">
      <w:pPr>
        <w:spacing w:after="0"/>
        <w:jc w:val="center"/>
        <w:rPr>
          <w:color w:val="4472C4" w:themeColor="accent1"/>
        </w:rPr>
      </w:pPr>
    </w:p>
    <w:p w14:paraId="40EC4B6E" w14:textId="77777777" w:rsidR="00901A89" w:rsidRPr="00EC4F25" w:rsidRDefault="00901A89" w:rsidP="00901A89">
      <w:pPr>
        <w:spacing w:after="0"/>
        <w:jc w:val="center"/>
        <w:rPr>
          <w:color w:val="4472C4" w:themeColor="accent1"/>
        </w:rPr>
      </w:pPr>
    </w:p>
    <w:p w14:paraId="4416A103" w14:textId="77777777" w:rsidR="00901A89" w:rsidRPr="00EC4F25" w:rsidRDefault="00901A89" w:rsidP="00901A89">
      <w:pPr>
        <w:spacing w:after="0"/>
        <w:jc w:val="center"/>
        <w:rPr>
          <w:color w:val="4472C4" w:themeColor="accent1"/>
        </w:rPr>
      </w:pPr>
      <w:r w:rsidRPr="00EC4F25">
        <w:rPr>
          <w:noProof/>
          <w:color w:val="4472C4" w:themeColor="accent1"/>
          <w:lang w:eastAsia="pl-PL"/>
        </w:rPr>
        <w:drawing>
          <wp:anchor distT="0" distB="0" distL="114300" distR="114300" simplePos="0" relativeHeight="251721728" behindDoc="1" locked="0" layoutInCell="1" allowOverlap="1" wp14:anchorId="0AC9CD6B" wp14:editId="4D6028D0">
            <wp:simplePos x="0" y="0"/>
            <wp:positionH relativeFrom="margin">
              <wp:align>center</wp:align>
            </wp:positionH>
            <wp:positionV relativeFrom="paragraph">
              <wp:posOffset>140335</wp:posOffset>
            </wp:positionV>
            <wp:extent cx="1092200" cy="1016000"/>
            <wp:effectExtent l="0" t="0" r="0" b="0"/>
            <wp:wrapTight wrapText="bothSides">
              <wp:wrapPolygon edited="0">
                <wp:start x="0" y="0"/>
                <wp:lineTo x="0" y="21060"/>
                <wp:lineTo x="21098" y="21060"/>
                <wp:lineTo x="21098" y="0"/>
                <wp:lineTo x="0" y="0"/>
              </wp:wrapPolygon>
            </wp:wrapTight>
            <wp:docPr id="564593276" name="Obraz 2" descr="Obraz zawierający szkic, rysowanie, Grafika liniowa, haf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93276" name="Obraz 2" descr="Obraz zawierający szkic, rysowanie, Grafika liniowa, haft&#10;&#10;Opis wygenerowany automatyczni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92200" cy="1016000"/>
                    </a:xfrm>
                    <a:prstGeom prst="rect">
                      <a:avLst/>
                    </a:prstGeom>
                    <a:noFill/>
                    <a:ln>
                      <a:noFill/>
                    </a:ln>
                  </pic:spPr>
                </pic:pic>
              </a:graphicData>
            </a:graphic>
          </wp:anchor>
        </w:drawing>
      </w:r>
    </w:p>
    <w:p w14:paraId="332BD911" w14:textId="77777777" w:rsidR="00901A89" w:rsidRPr="00EC4F25" w:rsidRDefault="00901A89" w:rsidP="00901A89">
      <w:pPr>
        <w:spacing w:after="0"/>
        <w:jc w:val="center"/>
        <w:rPr>
          <w:color w:val="4472C4" w:themeColor="accent1"/>
        </w:rPr>
      </w:pPr>
    </w:p>
    <w:p w14:paraId="34332703" w14:textId="77777777" w:rsidR="00901A89" w:rsidRPr="00EC4F25" w:rsidRDefault="00901A89" w:rsidP="00901A89">
      <w:pPr>
        <w:spacing w:after="0"/>
      </w:pPr>
    </w:p>
    <w:p w14:paraId="296C5CA8" w14:textId="77777777" w:rsidR="00901A89" w:rsidRPr="00EC4F25" w:rsidRDefault="00901A89" w:rsidP="00901A89">
      <w:pPr>
        <w:spacing w:after="0"/>
      </w:pPr>
    </w:p>
    <w:p w14:paraId="3D2B6635" w14:textId="77777777" w:rsidR="00901A89" w:rsidRPr="00EC4F25" w:rsidRDefault="00901A89" w:rsidP="00901A89">
      <w:pPr>
        <w:spacing w:after="0"/>
      </w:pPr>
    </w:p>
    <w:p w14:paraId="44FCDC8A" w14:textId="77777777" w:rsidR="00901A89" w:rsidRPr="00EC4F25" w:rsidRDefault="00901A89" w:rsidP="00901A89">
      <w:pPr>
        <w:spacing w:after="0"/>
      </w:pPr>
    </w:p>
    <w:p w14:paraId="33A57971" w14:textId="77777777" w:rsidR="00901A89" w:rsidRPr="00EC4F25" w:rsidRDefault="00901A89" w:rsidP="00901A89">
      <w:pPr>
        <w:spacing w:after="0"/>
      </w:pPr>
    </w:p>
    <w:p w14:paraId="6E30BFB0" w14:textId="77777777" w:rsidR="00901A89" w:rsidRPr="00EC4F25" w:rsidRDefault="00901A89" w:rsidP="00901A89">
      <w:pPr>
        <w:spacing w:after="0"/>
      </w:pPr>
    </w:p>
    <w:p w14:paraId="5F36A265" w14:textId="77777777" w:rsidR="00901A89" w:rsidRPr="00EC4F25" w:rsidRDefault="00901A89" w:rsidP="00901A89">
      <w:pPr>
        <w:spacing w:after="0"/>
      </w:pPr>
    </w:p>
    <w:p w14:paraId="4E00E66A" w14:textId="77777777" w:rsidR="00901A89" w:rsidRPr="00D15CE8" w:rsidRDefault="00901A89" w:rsidP="00901A89">
      <w:pPr>
        <w:spacing w:after="0"/>
        <w:rPr>
          <w:sz w:val="24"/>
          <w:szCs w:val="24"/>
        </w:rPr>
      </w:pPr>
      <w:r w:rsidRPr="00D15CE8">
        <w:rPr>
          <w:sz w:val="24"/>
          <w:szCs w:val="24"/>
        </w:rPr>
        <w:t>Sygn. akt V CSK 503/07</w:t>
      </w:r>
    </w:p>
    <w:p w14:paraId="139455AA" w14:textId="4D3A551C" w:rsidR="00901A89" w:rsidRPr="00D15CE8" w:rsidRDefault="00E055FB" w:rsidP="00A65523">
      <w:pPr>
        <w:spacing w:after="0"/>
        <w:rPr>
          <w:b/>
          <w:bCs/>
          <w:sz w:val="24"/>
          <w:szCs w:val="24"/>
        </w:rPr>
      </w:pPr>
      <w:r w:rsidRPr="00D15CE8">
        <w:rPr>
          <w:sz w:val="24"/>
          <w:szCs w:val="24"/>
        </w:rPr>
        <w:t xml:space="preserve">    </w:t>
      </w:r>
      <w:r w:rsidRPr="00D15CE8">
        <w:rPr>
          <w:sz w:val="24"/>
          <w:szCs w:val="24"/>
        </w:rPr>
        <w:tab/>
      </w:r>
      <w:r w:rsidRPr="00D15CE8">
        <w:rPr>
          <w:sz w:val="24"/>
          <w:szCs w:val="24"/>
        </w:rPr>
        <w:tab/>
      </w:r>
      <w:r w:rsidRPr="00D15CE8">
        <w:rPr>
          <w:sz w:val="24"/>
          <w:szCs w:val="24"/>
        </w:rPr>
        <w:tab/>
      </w:r>
      <w:r w:rsidRPr="00D15CE8">
        <w:rPr>
          <w:sz w:val="24"/>
          <w:szCs w:val="24"/>
        </w:rPr>
        <w:tab/>
      </w:r>
      <w:r w:rsidRPr="00D15CE8">
        <w:rPr>
          <w:sz w:val="24"/>
          <w:szCs w:val="24"/>
        </w:rPr>
        <w:tab/>
      </w:r>
      <w:r w:rsidR="00A65523" w:rsidRPr="00D15CE8">
        <w:rPr>
          <w:sz w:val="24"/>
          <w:szCs w:val="24"/>
        </w:rPr>
        <w:t xml:space="preserve">           </w:t>
      </w:r>
      <w:r w:rsidR="00901A89" w:rsidRPr="00D15CE8">
        <w:rPr>
          <w:b/>
          <w:bCs/>
          <w:sz w:val="24"/>
          <w:szCs w:val="24"/>
        </w:rPr>
        <w:t>WYROK</w:t>
      </w:r>
    </w:p>
    <w:p w14:paraId="3CA7167A" w14:textId="5001C7AA" w:rsidR="00901A89" w:rsidRPr="00D15CE8" w:rsidRDefault="00E055FB" w:rsidP="00901A89">
      <w:pPr>
        <w:spacing w:after="0"/>
        <w:jc w:val="center"/>
        <w:rPr>
          <w:b/>
          <w:bCs/>
          <w:sz w:val="24"/>
          <w:szCs w:val="24"/>
        </w:rPr>
      </w:pPr>
      <w:r w:rsidRPr="00D15CE8">
        <w:rPr>
          <w:b/>
          <w:bCs/>
          <w:sz w:val="24"/>
          <w:szCs w:val="24"/>
        </w:rPr>
        <w:t xml:space="preserve">   </w:t>
      </w:r>
      <w:r w:rsidR="00901A89" w:rsidRPr="00D15CE8">
        <w:rPr>
          <w:b/>
          <w:bCs/>
          <w:sz w:val="24"/>
          <w:szCs w:val="24"/>
        </w:rPr>
        <w:t>W IMIENIU RZECZYPOSPOLITEJ POLSKIEJ</w:t>
      </w:r>
    </w:p>
    <w:p w14:paraId="7116173D" w14:textId="77777777" w:rsidR="00901A89" w:rsidRPr="00EC4F25" w:rsidRDefault="00901A89" w:rsidP="00901A89">
      <w:pPr>
        <w:spacing w:after="0"/>
        <w:jc w:val="center"/>
        <w:rPr>
          <w:b/>
          <w:bCs/>
        </w:rPr>
      </w:pPr>
    </w:p>
    <w:p w14:paraId="778685F4" w14:textId="77777777" w:rsidR="00901A89" w:rsidRPr="00D15CE8" w:rsidRDefault="00901A89" w:rsidP="00901A89">
      <w:pPr>
        <w:spacing w:after="0"/>
        <w:jc w:val="right"/>
      </w:pPr>
      <w:r w:rsidRPr="00D15CE8">
        <w:t>Dnia 9 kwietnia 2008 r.</w:t>
      </w:r>
    </w:p>
    <w:p w14:paraId="7ECDD926" w14:textId="1C011C40" w:rsidR="00901A89" w:rsidRPr="00D15CE8" w:rsidRDefault="00901A89" w:rsidP="00901A89">
      <w:pPr>
        <w:spacing w:after="0"/>
        <w:rPr>
          <w:sz w:val="24"/>
          <w:szCs w:val="24"/>
        </w:rPr>
      </w:pPr>
      <w:r w:rsidRPr="00D15CE8">
        <w:rPr>
          <w:sz w:val="24"/>
          <w:szCs w:val="24"/>
        </w:rPr>
        <w:t xml:space="preserve">Sąd Najwyższy w składzie: </w:t>
      </w:r>
    </w:p>
    <w:p w14:paraId="3A107C38" w14:textId="77777777" w:rsidR="00901A89" w:rsidRPr="00D15CE8" w:rsidRDefault="00901A89" w:rsidP="00901A89">
      <w:pPr>
        <w:spacing w:after="0"/>
        <w:ind w:left="2268"/>
        <w:rPr>
          <w:sz w:val="24"/>
          <w:szCs w:val="24"/>
        </w:rPr>
      </w:pPr>
      <w:r w:rsidRPr="00D15CE8">
        <w:rPr>
          <w:sz w:val="24"/>
          <w:szCs w:val="24"/>
        </w:rPr>
        <w:t xml:space="preserve">SSN Gerard Bieniek (przewodniczący) </w:t>
      </w:r>
    </w:p>
    <w:p w14:paraId="257A3C19" w14:textId="77777777" w:rsidR="00901A89" w:rsidRPr="00D15CE8" w:rsidRDefault="00901A89" w:rsidP="00901A89">
      <w:pPr>
        <w:spacing w:after="0"/>
        <w:ind w:left="2268"/>
        <w:rPr>
          <w:sz w:val="24"/>
          <w:szCs w:val="24"/>
        </w:rPr>
      </w:pPr>
      <w:r w:rsidRPr="00D15CE8">
        <w:rPr>
          <w:sz w:val="24"/>
          <w:szCs w:val="24"/>
        </w:rPr>
        <w:t xml:space="preserve">SSN Irena </w:t>
      </w:r>
      <w:proofErr w:type="spellStart"/>
      <w:r w:rsidRPr="00D15CE8">
        <w:rPr>
          <w:sz w:val="24"/>
          <w:szCs w:val="24"/>
        </w:rPr>
        <w:t>Gromska</w:t>
      </w:r>
      <w:proofErr w:type="spellEnd"/>
      <w:r w:rsidRPr="00D15CE8">
        <w:rPr>
          <w:sz w:val="24"/>
          <w:szCs w:val="24"/>
        </w:rPr>
        <w:t xml:space="preserve">-Szuster </w:t>
      </w:r>
    </w:p>
    <w:p w14:paraId="5D60570F" w14:textId="77777777" w:rsidR="00901A89" w:rsidRPr="00D15CE8" w:rsidRDefault="00901A89" w:rsidP="00901A89">
      <w:pPr>
        <w:spacing w:after="0"/>
        <w:ind w:left="2268"/>
        <w:rPr>
          <w:sz w:val="24"/>
          <w:szCs w:val="24"/>
        </w:rPr>
      </w:pPr>
      <w:r w:rsidRPr="00D15CE8">
        <w:rPr>
          <w:sz w:val="24"/>
          <w:szCs w:val="24"/>
        </w:rPr>
        <w:t>SSN Dariusz Zawistowski (sprawozdawca)</w:t>
      </w:r>
    </w:p>
    <w:p w14:paraId="53F8BB55" w14:textId="77777777" w:rsidR="00901A89" w:rsidRPr="00D15CE8" w:rsidRDefault="00901A89" w:rsidP="00901A89">
      <w:pPr>
        <w:spacing w:after="0"/>
        <w:rPr>
          <w:sz w:val="24"/>
          <w:szCs w:val="24"/>
        </w:rPr>
      </w:pPr>
      <w:r w:rsidRPr="00D15CE8">
        <w:rPr>
          <w:sz w:val="24"/>
          <w:szCs w:val="24"/>
        </w:rPr>
        <w:t xml:space="preserve">w sprawie z powództwa P. </w:t>
      </w:r>
      <w:proofErr w:type="spellStart"/>
      <w:r w:rsidRPr="00D15CE8">
        <w:rPr>
          <w:sz w:val="24"/>
          <w:szCs w:val="24"/>
        </w:rPr>
        <w:t>prehrambena</w:t>
      </w:r>
      <w:proofErr w:type="spellEnd"/>
      <w:r w:rsidRPr="00D15CE8">
        <w:rPr>
          <w:sz w:val="24"/>
          <w:szCs w:val="24"/>
        </w:rPr>
        <w:t xml:space="preserve"> </w:t>
      </w:r>
      <w:proofErr w:type="spellStart"/>
      <w:r w:rsidRPr="00D15CE8">
        <w:rPr>
          <w:sz w:val="24"/>
          <w:szCs w:val="24"/>
        </w:rPr>
        <w:t>industrija</w:t>
      </w:r>
      <w:proofErr w:type="spellEnd"/>
      <w:r w:rsidRPr="00D15CE8">
        <w:rPr>
          <w:sz w:val="24"/>
          <w:szCs w:val="24"/>
        </w:rPr>
        <w:t xml:space="preserve"> </w:t>
      </w:r>
      <w:proofErr w:type="spellStart"/>
      <w:r w:rsidRPr="00D15CE8">
        <w:rPr>
          <w:sz w:val="24"/>
          <w:szCs w:val="24"/>
        </w:rPr>
        <w:t>d.d</w:t>
      </w:r>
      <w:proofErr w:type="spellEnd"/>
      <w:r w:rsidRPr="00D15CE8">
        <w:rPr>
          <w:sz w:val="24"/>
          <w:szCs w:val="24"/>
        </w:rPr>
        <w:t>. w K. (Chorwacja) i "</w:t>
      </w:r>
      <w:r w:rsidRPr="00D15CE8">
        <w:rPr>
          <w:i/>
          <w:sz w:val="24"/>
          <w:szCs w:val="24"/>
        </w:rPr>
        <w:t>P. POLSKA</w:t>
      </w:r>
      <w:r w:rsidRPr="00D15CE8">
        <w:rPr>
          <w:sz w:val="24"/>
          <w:szCs w:val="24"/>
        </w:rPr>
        <w:t xml:space="preserve">" Spółki z ograniczoną odpowiedzialnością </w:t>
      </w:r>
    </w:p>
    <w:p w14:paraId="08378067" w14:textId="77777777" w:rsidR="00901A89" w:rsidRPr="00D15CE8" w:rsidRDefault="00901A89" w:rsidP="00901A89">
      <w:pPr>
        <w:spacing w:after="0"/>
        <w:rPr>
          <w:sz w:val="24"/>
          <w:szCs w:val="24"/>
        </w:rPr>
      </w:pPr>
      <w:r w:rsidRPr="00D15CE8">
        <w:rPr>
          <w:sz w:val="24"/>
          <w:szCs w:val="24"/>
        </w:rPr>
        <w:t xml:space="preserve">w K. </w:t>
      </w:r>
    </w:p>
    <w:p w14:paraId="54459EB2" w14:textId="77777777" w:rsidR="00901A89" w:rsidRPr="00D15CE8" w:rsidRDefault="00901A89" w:rsidP="00901A89">
      <w:pPr>
        <w:spacing w:after="0"/>
        <w:rPr>
          <w:sz w:val="24"/>
          <w:szCs w:val="24"/>
        </w:rPr>
      </w:pPr>
      <w:r w:rsidRPr="00D15CE8">
        <w:rPr>
          <w:sz w:val="24"/>
          <w:szCs w:val="24"/>
        </w:rPr>
        <w:t>przeciwko Przedsiębiorstwu Produkcyjno-Handlowemu "</w:t>
      </w:r>
      <w:r w:rsidRPr="00D15CE8">
        <w:rPr>
          <w:i/>
          <w:sz w:val="24"/>
          <w:szCs w:val="24"/>
        </w:rPr>
        <w:t>P</w:t>
      </w:r>
      <w:r w:rsidRPr="00D15CE8">
        <w:rPr>
          <w:sz w:val="24"/>
          <w:szCs w:val="24"/>
        </w:rPr>
        <w:t xml:space="preserve">." Spółce z ograniczoną odpowiedzialnością w J. </w:t>
      </w:r>
    </w:p>
    <w:p w14:paraId="0DE6041C" w14:textId="77777777" w:rsidR="00901A89" w:rsidRPr="00D15CE8" w:rsidRDefault="00901A89" w:rsidP="00901A89">
      <w:pPr>
        <w:spacing w:after="0"/>
        <w:rPr>
          <w:sz w:val="24"/>
          <w:szCs w:val="24"/>
        </w:rPr>
      </w:pPr>
      <w:r w:rsidRPr="00D15CE8">
        <w:rPr>
          <w:sz w:val="24"/>
          <w:szCs w:val="24"/>
        </w:rPr>
        <w:t xml:space="preserve">o zakazanie czynów nieuczciwej konkurencji, </w:t>
      </w:r>
    </w:p>
    <w:p w14:paraId="4C3859CC" w14:textId="77777777" w:rsidR="00901A89" w:rsidRPr="00D15CE8" w:rsidRDefault="00901A89" w:rsidP="00901A89">
      <w:pPr>
        <w:spacing w:after="0"/>
        <w:rPr>
          <w:sz w:val="24"/>
          <w:szCs w:val="24"/>
        </w:rPr>
      </w:pPr>
      <w:r w:rsidRPr="00D15CE8">
        <w:rPr>
          <w:sz w:val="24"/>
          <w:szCs w:val="24"/>
        </w:rPr>
        <w:t xml:space="preserve">po rozpoznaniu na posiedzeniu niejawnym w Izbie Cywilnej </w:t>
      </w:r>
    </w:p>
    <w:p w14:paraId="28D9C6B8" w14:textId="77777777" w:rsidR="00901A89" w:rsidRPr="00D15CE8" w:rsidRDefault="00901A89" w:rsidP="00901A89">
      <w:pPr>
        <w:spacing w:after="0"/>
        <w:rPr>
          <w:sz w:val="24"/>
          <w:szCs w:val="24"/>
        </w:rPr>
      </w:pPr>
      <w:r w:rsidRPr="00D15CE8">
        <w:rPr>
          <w:sz w:val="24"/>
          <w:szCs w:val="24"/>
        </w:rPr>
        <w:t xml:space="preserve">w dniu 9 kwietnia 2008 r., </w:t>
      </w:r>
    </w:p>
    <w:p w14:paraId="45A951FE" w14:textId="77777777" w:rsidR="00901A89" w:rsidRPr="00D15CE8" w:rsidRDefault="00901A89" w:rsidP="00901A89">
      <w:pPr>
        <w:spacing w:after="0"/>
        <w:rPr>
          <w:sz w:val="24"/>
          <w:szCs w:val="24"/>
        </w:rPr>
      </w:pPr>
      <w:r w:rsidRPr="00D15CE8">
        <w:rPr>
          <w:sz w:val="24"/>
          <w:szCs w:val="24"/>
        </w:rPr>
        <w:t xml:space="preserve">skargi kasacyjnej powodów od wyroku Sądu Apelacyjnego w [...] </w:t>
      </w:r>
    </w:p>
    <w:p w14:paraId="0BBB4C40" w14:textId="77777777" w:rsidR="00901A89" w:rsidRPr="00D15CE8" w:rsidRDefault="00901A89" w:rsidP="00901A89">
      <w:pPr>
        <w:spacing w:after="0"/>
        <w:rPr>
          <w:sz w:val="24"/>
          <w:szCs w:val="24"/>
        </w:rPr>
      </w:pPr>
      <w:r w:rsidRPr="00D15CE8">
        <w:rPr>
          <w:sz w:val="24"/>
          <w:szCs w:val="24"/>
        </w:rPr>
        <w:t>z dnia 24 maja 2007 r., sygn. akt [...],</w:t>
      </w:r>
    </w:p>
    <w:p w14:paraId="2B68F7F6" w14:textId="77777777" w:rsidR="00901A89" w:rsidRPr="00D15CE8" w:rsidRDefault="00901A89" w:rsidP="00901A89">
      <w:pPr>
        <w:spacing w:after="0"/>
        <w:rPr>
          <w:sz w:val="24"/>
          <w:szCs w:val="24"/>
        </w:rPr>
      </w:pPr>
    </w:p>
    <w:p w14:paraId="74FD617F" w14:textId="77777777" w:rsidR="00901A89" w:rsidRPr="00D15CE8" w:rsidRDefault="00901A89" w:rsidP="00FA6806">
      <w:pPr>
        <w:spacing w:after="0"/>
        <w:rPr>
          <w:b/>
          <w:bCs/>
          <w:sz w:val="24"/>
          <w:szCs w:val="24"/>
        </w:rPr>
      </w:pPr>
      <w:r w:rsidRPr="00D15CE8">
        <w:rPr>
          <w:b/>
          <w:bCs/>
          <w:sz w:val="24"/>
          <w:szCs w:val="24"/>
        </w:rPr>
        <w:t xml:space="preserve">oddala skargę kasacyjną i zasądza od powodów na rzecz </w:t>
      </w:r>
    </w:p>
    <w:p w14:paraId="379229C4" w14:textId="77777777" w:rsidR="00901A89" w:rsidRPr="00D15CE8" w:rsidRDefault="00901A89" w:rsidP="00FA6806">
      <w:pPr>
        <w:spacing w:after="0"/>
        <w:rPr>
          <w:b/>
          <w:bCs/>
          <w:sz w:val="24"/>
          <w:szCs w:val="24"/>
        </w:rPr>
      </w:pPr>
      <w:r w:rsidRPr="00D15CE8">
        <w:rPr>
          <w:b/>
          <w:bCs/>
          <w:sz w:val="24"/>
          <w:szCs w:val="24"/>
        </w:rPr>
        <w:t xml:space="preserve">strony pozwanej kwotę 3600 zł (trzy tysiące sześćset) tytułem </w:t>
      </w:r>
    </w:p>
    <w:p w14:paraId="7D591BF1" w14:textId="77777777" w:rsidR="00901A89" w:rsidRPr="00D15CE8" w:rsidRDefault="00901A89" w:rsidP="00FA6806">
      <w:pPr>
        <w:spacing w:after="0"/>
        <w:rPr>
          <w:b/>
          <w:bCs/>
          <w:sz w:val="24"/>
          <w:szCs w:val="24"/>
        </w:rPr>
      </w:pPr>
      <w:r w:rsidRPr="00D15CE8">
        <w:rPr>
          <w:b/>
          <w:bCs/>
          <w:sz w:val="24"/>
          <w:szCs w:val="24"/>
        </w:rPr>
        <w:t>zwrotu kosztów postępowania kasacyjnego.</w:t>
      </w:r>
    </w:p>
    <w:p w14:paraId="1E2A8BAF" w14:textId="77777777" w:rsidR="00797577" w:rsidRDefault="00797577" w:rsidP="00901A89">
      <w:pPr>
        <w:spacing w:after="0"/>
        <w:jc w:val="center"/>
        <w:rPr>
          <w:b/>
          <w:bCs/>
          <w:sz w:val="24"/>
          <w:szCs w:val="24"/>
        </w:rPr>
      </w:pPr>
    </w:p>
    <w:p w14:paraId="1D7CADB9" w14:textId="66B08D53" w:rsidR="00901A89" w:rsidRPr="00FA6806" w:rsidRDefault="00901A89" w:rsidP="00901A89">
      <w:pPr>
        <w:spacing w:after="0"/>
        <w:jc w:val="center"/>
        <w:rPr>
          <w:b/>
          <w:bCs/>
          <w:sz w:val="24"/>
          <w:szCs w:val="24"/>
        </w:rPr>
      </w:pPr>
      <w:r w:rsidRPr="00FA6806">
        <w:rPr>
          <w:b/>
          <w:bCs/>
          <w:sz w:val="24"/>
          <w:szCs w:val="24"/>
        </w:rPr>
        <w:t>Uzasadnienie</w:t>
      </w:r>
    </w:p>
    <w:p w14:paraId="532163E1" w14:textId="77777777" w:rsidR="00901A89" w:rsidRPr="00D15CE8" w:rsidRDefault="00901A89" w:rsidP="00901A89">
      <w:pPr>
        <w:spacing w:after="0"/>
        <w:jc w:val="center"/>
        <w:rPr>
          <w:sz w:val="24"/>
          <w:szCs w:val="24"/>
        </w:rPr>
      </w:pPr>
    </w:p>
    <w:p w14:paraId="43018821" w14:textId="77777777" w:rsidR="00901A89" w:rsidRPr="00D15CE8" w:rsidRDefault="00901A89" w:rsidP="00901A89">
      <w:pPr>
        <w:spacing w:after="0"/>
        <w:ind w:firstLine="567"/>
        <w:jc w:val="both"/>
        <w:rPr>
          <w:sz w:val="24"/>
          <w:szCs w:val="24"/>
        </w:rPr>
      </w:pPr>
      <w:r w:rsidRPr="00D15CE8">
        <w:rPr>
          <w:sz w:val="24"/>
          <w:szCs w:val="24"/>
        </w:rPr>
        <w:t xml:space="preserve">Sąd Okręgowy w G. wyrokiem z dnia 23 marca 2005 r. oddalił powództwo P. </w:t>
      </w:r>
      <w:proofErr w:type="spellStart"/>
      <w:r w:rsidRPr="00D15CE8">
        <w:rPr>
          <w:sz w:val="24"/>
          <w:szCs w:val="24"/>
        </w:rPr>
        <w:t>prehrambena</w:t>
      </w:r>
      <w:proofErr w:type="spellEnd"/>
      <w:r w:rsidRPr="00D15CE8">
        <w:rPr>
          <w:sz w:val="24"/>
          <w:szCs w:val="24"/>
        </w:rPr>
        <w:t xml:space="preserve"> </w:t>
      </w:r>
      <w:proofErr w:type="spellStart"/>
      <w:r w:rsidRPr="00D15CE8">
        <w:rPr>
          <w:sz w:val="24"/>
          <w:szCs w:val="24"/>
        </w:rPr>
        <w:t>industrija</w:t>
      </w:r>
      <w:proofErr w:type="spellEnd"/>
      <w:r w:rsidRPr="00D15CE8">
        <w:rPr>
          <w:sz w:val="24"/>
          <w:szCs w:val="24"/>
        </w:rPr>
        <w:t xml:space="preserve"> </w:t>
      </w:r>
      <w:proofErr w:type="spellStart"/>
      <w:r w:rsidRPr="00D15CE8">
        <w:rPr>
          <w:sz w:val="24"/>
          <w:szCs w:val="24"/>
        </w:rPr>
        <w:t>d.d</w:t>
      </w:r>
      <w:proofErr w:type="spellEnd"/>
      <w:r w:rsidRPr="00D15CE8">
        <w:rPr>
          <w:sz w:val="24"/>
          <w:szCs w:val="24"/>
        </w:rPr>
        <w:t>. w K. i P. POLSKA Sp. z o.o. w K. przeciwko Przedsiębiorstwu Produkcyjno-Handlowemu P. Sp. z o.o. w J. o zakazanie czynów nieuczciwej konkurencji.</w:t>
      </w:r>
    </w:p>
    <w:p w14:paraId="2CD02837" w14:textId="4D00C67C" w:rsidR="00901A89" w:rsidRPr="00D15CE8" w:rsidRDefault="00901A89" w:rsidP="00901A89">
      <w:pPr>
        <w:spacing w:after="0"/>
        <w:ind w:firstLine="567"/>
        <w:jc w:val="both"/>
        <w:rPr>
          <w:sz w:val="24"/>
          <w:szCs w:val="24"/>
        </w:rPr>
      </w:pPr>
      <w:r w:rsidRPr="00D15CE8">
        <w:rPr>
          <w:noProof/>
          <w:sz w:val="24"/>
          <w:szCs w:val="24"/>
          <w:lang w:eastAsia="pl-PL"/>
        </w:rPr>
        <w:drawing>
          <wp:anchor distT="0" distB="0" distL="114300" distR="114300" simplePos="0" relativeHeight="251722752" behindDoc="1" locked="0" layoutInCell="1" allowOverlap="1" wp14:anchorId="220C342F" wp14:editId="717D93A1">
            <wp:simplePos x="0" y="0"/>
            <wp:positionH relativeFrom="column">
              <wp:posOffset>3284855</wp:posOffset>
            </wp:positionH>
            <wp:positionV relativeFrom="paragraph">
              <wp:posOffset>1409700</wp:posOffset>
            </wp:positionV>
            <wp:extent cx="622800" cy="205200"/>
            <wp:effectExtent l="0" t="0" r="0" b="0"/>
            <wp:wrapTight wrapText="bothSides">
              <wp:wrapPolygon edited="0">
                <wp:start x="0" y="0"/>
                <wp:lineTo x="0" y="20062"/>
                <wp:lineTo x="21159" y="20062"/>
                <wp:lineTo x="21159" y="0"/>
                <wp:lineTo x="0" y="0"/>
              </wp:wrapPolygon>
            </wp:wrapTight>
            <wp:docPr id="49364742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5CE8">
        <w:rPr>
          <w:noProof/>
          <w:sz w:val="24"/>
          <w:szCs w:val="24"/>
          <w:lang w:eastAsia="pl-PL"/>
        </w:rPr>
        <w:drawing>
          <wp:anchor distT="0" distB="0" distL="114300" distR="114300" simplePos="0" relativeHeight="251723776" behindDoc="1" locked="0" layoutInCell="1" allowOverlap="1" wp14:anchorId="6D7A1EDA" wp14:editId="6411996F">
            <wp:simplePos x="0" y="0"/>
            <wp:positionH relativeFrom="rightMargin">
              <wp:posOffset>-6350</wp:posOffset>
            </wp:positionH>
            <wp:positionV relativeFrom="paragraph">
              <wp:posOffset>25400</wp:posOffset>
            </wp:positionV>
            <wp:extent cx="533400" cy="146050"/>
            <wp:effectExtent l="0" t="0" r="0" b="6350"/>
            <wp:wrapTight wrapText="bothSides">
              <wp:wrapPolygon edited="0">
                <wp:start x="0" y="0"/>
                <wp:lineTo x="0" y="19722"/>
                <wp:lineTo x="20829" y="19722"/>
                <wp:lineTo x="20829" y="0"/>
                <wp:lineTo x="0" y="0"/>
              </wp:wrapPolygon>
            </wp:wrapTight>
            <wp:docPr id="51054907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14:sizeRelV relativeFrom="margin">
              <wp14:pctHeight>0</wp14:pctHeight>
            </wp14:sizeRelV>
          </wp:anchor>
        </w:drawing>
      </w:r>
      <w:r w:rsidRPr="00D15CE8">
        <w:rPr>
          <w:sz w:val="24"/>
          <w:szCs w:val="24"/>
        </w:rPr>
        <w:t>Sąd ten ustalił, że produkowana przez powodów uniwersalna przyprawa do potraw „V.” jest znana w Polsce od początku lat 70-tych. Od 2002 r. jest w Polsce produkowana. W celu upowszechnienia znajomości tej przyprawy wśród konsumentów, sprzedawanej w mniejszych opakowaniach w kolorze białoczerwonym i większych, mających niebieskie tło, powodowie prowadzili intensywną i kosztowną kampanię reklamową. W 2001 r. znajomość przyprawy „V.” deklarowało 98% respondentów badanych przez Instytut Badania Opinii i Rynku „Pentor”. Sprzedaż tej przyprawy na rynku polskim rosła do połowy lat 90-tych, a później zaczęła spadać. Strona pozwana swoją przyprawę o nazwie „K.” wprowadziła na rynek pod koniec 1995 r. Jej sprzedaż prowadziła w opakowaniach o podobnej wadze, jak stosowane przez powodów. Zastosowała również, podobnie jak powodowie, niebieski kolor opakowań i wizerunek kucharza w czapce kucharskiej, na wszystkich używanych opakowaniach. Sprzedaż przyprawy „K.”</w:t>
      </w:r>
      <w:r w:rsidR="00112162" w:rsidRPr="00D15CE8">
        <w:rPr>
          <w:sz w:val="24"/>
          <w:szCs w:val="24"/>
        </w:rPr>
        <w:t xml:space="preserve"> </w:t>
      </w:r>
      <w:r w:rsidR="00112162" w:rsidRPr="00D15CE8">
        <w:rPr>
          <w:noProof/>
          <w:sz w:val="24"/>
          <w:szCs w:val="24"/>
          <w:lang w:eastAsia="pl-PL"/>
        </w:rPr>
        <w:drawing>
          <wp:inline distT="0" distB="0" distL="0" distR="0" wp14:anchorId="07A97EA8" wp14:editId="0C6CA46A">
            <wp:extent cx="622800" cy="205200"/>
            <wp:effectExtent l="0" t="0" r="6350" b="4445"/>
            <wp:docPr id="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 której cena była i jest niższa, stale wzrastała i w 2002 r. przekroczyła wielkość sprzedaży przyprawy „V”</w:t>
      </w:r>
      <w:r w:rsidR="00112162" w:rsidRPr="00D15CE8">
        <w:rPr>
          <w:sz w:val="24"/>
          <w:szCs w:val="24"/>
        </w:rPr>
        <w:t xml:space="preserve"> </w:t>
      </w:r>
      <w:r w:rsidR="00112162" w:rsidRPr="00D15CE8">
        <w:rPr>
          <w:noProof/>
          <w:sz w:val="24"/>
          <w:szCs w:val="24"/>
          <w:lang w:eastAsia="pl-PL"/>
        </w:rPr>
        <w:drawing>
          <wp:inline distT="0" distB="0" distL="0" distR="0" wp14:anchorId="03A0F427" wp14:editId="50C331F7">
            <wp:extent cx="533400" cy="146050"/>
            <wp:effectExtent l="0" t="0" r="0" b="6350"/>
            <wp:docPr id="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Pr="00D15CE8">
        <w:rPr>
          <w:sz w:val="24"/>
          <w:szCs w:val="24"/>
        </w:rPr>
        <w:t>. Strona pozwana stopniowo zwiększała również wysokość wydatków na reklamę swojego produktu. W 2002 r. wydatki na ten cel przekroczyły 5000000 zł. Wśród producentów produktów żywnościowych od dłuższego czasu istnieje tendencja do ujednolicania opakowań poszczególnych grup wyrobów. W grupie produktów przypraw uniwersalnych niebieska barwa torebek i puszek była dominująca. Z tego względu niebieska barwa tych opakowań nie miała znaczenia dla odróżniania przez konsumentów różnych producentów produktów tego samego gatunku.</w:t>
      </w:r>
    </w:p>
    <w:p w14:paraId="48A391BC" w14:textId="0159C85E" w:rsidR="00901A89" w:rsidRPr="00D15CE8" w:rsidRDefault="00901A89" w:rsidP="00901A89">
      <w:pPr>
        <w:spacing w:after="0"/>
        <w:ind w:firstLine="567"/>
        <w:jc w:val="both"/>
        <w:rPr>
          <w:sz w:val="24"/>
          <w:szCs w:val="24"/>
        </w:rPr>
      </w:pPr>
      <w:r w:rsidRPr="00D15CE8">
        <w:rPr>
          <w:sz w:val="24"/>
          <w:szCs w:val="24"/>
        </w:rPr>
        <w:t xml:space="preserve">Porównanie wyglądu opakowań przypraw „V.” </w:t>
      </w:r>
      <w:r w:rsidR="00112162" w:rsidRPr="00D15CE8">
        <w:rPr>
          <w:noProof/>
          <w:sz w:val="24"/>
          <w:szCs w:val="24"/>
          <w:lang w:eastAsia="pl-PL"/>
        </w:rPr>
        <w:drawing>
          <wp:inline distT="0" distB="0" distL="0" distR="0" wp14:anchorId="381B6E0A" wp14:editId="0F5941C3">
            <wp:extent cx="533400" cy="146050"/>
            <wp:effectExtent l="0" t="0" r="0" b="6350"/>
            <wp:docPr id="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i „K.” </w:t>
      </w:r>
      <w:r w:rsidR="00112162" w:rsidRPr="00D15CE8">
        <w:rPr>
          <w:noProof/>
          <w:sz w:val="24"/>
          <w:szCs w:val="24"/>
          <w:lang w:eastAsia="pl-PL"/>
        </w:rPr>
        <w:drawing>
          <wp:inline distT="0" distB="0" distL="0" distR="0" wp14:anchorId="2E571B25" wp14:editId="5EB92F55">
            <wp:extent cx="622800" cy="205200"/>
            <wp:effectExtent l="0" t="0" r="6350" b="444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zdaniem Sądu Okręgowego nie wskazuje na takie podobieństwo tych opakowań, które mogłoby wprowadzić konsumentów w błąd co do pochodzenia nabywanego towaru. Decydujące znaczenie miało w tym zakresie zastosowanie różnych nazw dotyczących produktu i producenta. Należało też uwzględnić, że powodowie przez wiele lat tolerowali posługiwanie się przez pozwanego opakowaniami zawierającymi elementy graficzne podobne do stosowanych przez powodów i z tego względu trudno ocenić zachowanie strony pozwanej za sprzeczne z dobrymi obyczajami. W tym czasie strona pozwana wypromowała rozpoznawalną i cenioną markę swojego produktu. Przemawiało to za oddaleniem powództwa.</w:t>
      </w:r>
    </w:p>
    <w:p w14:paraId="461AA546" w14:textId="77777777" w:rsidR="00901A89" w:rsidRPr="00D15CE8" w:rsidRDefault="00901A89" w:rsidP="00901A89">
      <w:pPr>
        <w:spacing w:after="0"/>
        <w:ind w:firstLine="567"/>
        <w:jc w:val="both"/>
        <w:rPr>
          <w:sz w:val="24"/>
          <w:szCs w:val="24"/>
        </w:rPr>
      </w:pPr>
      <w:r w:rsidRPr="00D15CE8">
        <w:rPr>
          <w:sz w:val="24"/>
          <w:szCs w:val="24"/>
        </w:rPr>
        <w:t>Sąd Apelacyjny wyrokiem z dnia 3 marca 2006 r. oddalił apelację powodów, podzielając ustalenia faktyczne i ocenę prawną Sądu pierwszej instancji.</w:t>
      </w:r>
    </w:p>
    <w:p w14:paraId="07434F51" w14:textId="4F8460F4" w:rsidR="00901A89" w:rsidRPr="00D15CE8" w:rsidRDefault="00901A89" w:rsidP="00901A89">
      <w:pPr>
        <w:spacing w:after="0"/>
        <w:ind w:firstLine="567"/>
        <w:jc w:val="both"/>
        <w:rPr>
          <w:sz w:val="24"/>
          <w:szCs w:val="24"/>
        </w:rPr>
      </w:pPr>
      <w:r w:rsidRPr="00D15CE8">
        <w:rPr>
          <w:sz w:val="24"/>
          <w:szCs w:val="24"/>
        </w:rPr>
        <w:t xml:space="preserve">Po rozpoznaniu skargi kasacyjnej powodów, Sąd Najwyższy wyrokiem z dnia 2 stycznia 2007 r. uchylił zaskarżony wyrok i przekazał sprawę Sądowi Apelacyjnemu do ponownego rozpoznania. Sąd Najwyższy stwierdził, że podobieństwo opakowania przyprawy „K.” </w:t>
      </w:r>
      <w:r w:rsidR="00112162" w:rsidRPr="00D15CE8">
        <w:rPr>
          <w:noProof/>
          <w:sz w:val="24"/>
          <w:szCs w:val="24"/>
          <w:lang w:eastAsia="pl-PL"/>
        </w:rPr>
        <w:drawing>
          <wp:inline distT="0" distB="0" distL="0" distR="0" wp14:anchorId="0267C382" wp14:editId="61C40613">
            <wp:extent cx="622800" cy="205200"/>
            <wp:effectExtent l="0" t="0" r="6350" b="444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do przyprawy „V.” </w:t>
      </w:r>
      <w:r w:rsidR="00112162" w:rsidRPr="00D15CE8">
        <w:rPr>
          <w:noProof/>
          <w:sz w:val="24"/>
          <w:szCs w:val="24"/>
          <w:lang w:eastAsia="pl-PL"/>
        </w:rPr>
        <w:drawing>
          <wp:inline distT="0" distB="0" distL="0" distR="0" wp14:anchorId="54B7CE10" wp14:editId="2A692709">
            <wp:extent cx="533400" cy="146050"/>
            <wp:effectExtent l="0" t="0" r="0" b="635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nie oznacza, że przeciętny konsument został narażony na ryzyko wprowadzenia go w błąd co do pochodzenia przyprawy produkowanej przez stronę pozwaną. Powództwo nie znajdowało zatem oparcia w art. 10 ust. 2 ustawy z dnia 16 kwietnia 1993 r. o zwalczaniu nieuczciwej konkurencji (tj. Dz. U. z 2003 r., Nr 153, poz. 1503 ze zm. - </w:t>
      </w:r>
      <w:r w:rsidRPr="00D15CE8">
        <w:rPr>
          <w:sz w:val="24"/>
          <w:szCs w:val="24"/>
        </w:rPr>
        <w:lastRenderedPageBreak/>
        <w:t xml:space="preserve">dalej </w:t>
      </w:r>
      <w:proofErr w:type="spellStart"/>
      <w:r w:rsidRPr="00D15CE8">
        <w:rPr>
          <w:sz w:val="24"/>
          <w:szCs w:val="24"/>
        </w:rPr>
        <w:t>u.z.n.k</w:t>
      </w:r>
      <w:proofErr w:type="spellEnd"/>
      <w:r w:rsidRPr="00D15CE8">
        <w:rPr>
          <w:sz w:val="24"/>
          <w:szCs w:val="24"/>
        </w:rPr>
        <w:t>.). Sąd Apelacyjny nie rozważył natomiast należycie żądania pozwu w aspekcie przesłanek przewidzianych w art. 3 ust. 1 tej ustawy. Ta sama kolorystyka opakowania przypraw „K.”</w:t>
      </w:r>
      <w:r w:rsidR="00112162" w:rsidRPr="00D15CE8">
        <w:rPr>
          <w:sz w:val="24"/>
          <w:szCs w:val="24"/>
        </w:rPr>
        <w:t xml:space="preserve"> </w:t>
      </w:r>
      <w:r w:rsidR="00112162" w:rsidRPr="00D15CE8">
        <w:rPr>
          <w:noProof/>
          <w:sz w:val="24"/>
          <w:szCs w:val="24"/>
          <w:lang w:eastAsia="pl-PL"/>
        </w:rPr>
        <w:drawing>
          <wp:inline distT="0" distB="0" distL="0" distR="0" wp14:anchorId="14BB6D96" wp14:editId="7567C3F8">
            <wp:extent cx="622800" cy="205200"/>
            <wp:effectExtent l="0" t="0" r="6350" b="444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i „V.” </w:t>
      </w:r>
      <w:r w:rsidR="00112162" w:rsidRPr="00D15CE8">
        <w:rPr>
          <w:noProof/>
          <w:sz w:val="24"/>
          <w:szCs w:val="24"/>
          <w:lang w:eastAsia="pl-PL"/>
        </w:rPr>
        <w:drawing>
          <wp:inline distT="0" distB="0" distL="0" distR="0" wp14:anchorId="6CF2CEE7" wp14:editId="39F85AA5">
            <wp:extent cx="533400" cy="146050"/>
            <wp:effectExtent l="0" t="0" r="0" b="6350"/>
            <wp:docPr id="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oraz zastosowanie przez stronę pozwaną podobnych elementów graficznych opakowania przyprawy „.” (wizerunek kucharza i bukietu warzyw, barwy oznaczające producenta, umiejscowienie poszczególnych elementów graficznych) nakazywała rozważenie, czy takie działanie strony pozwanej nie wskazuje na zamiar przeniesienia na swój produkt pozytywnych skojarzeń konsumentów dotyczących przyprawy „V.” </w:t>
      </w:r>
      <w:r w:rsidR="00112162" w:rsidRPr="00D15CE8">
        <w:rPr>
          <w:noProof/>
          <w:sz w:val="24"/>
          <w:szCs w:val="24"/>
          <w:lang w:eastAsia="pl-PL"/>
        </w:rPr>
        <w:drawing>
          <wp:inline distT="0" distB="0" distL="0" distR="0" wp14:anchorId="457A9F06" wp14:editId="0C3388A4">
            <wp:extent cx="533400" cy="146050"/>
            <wp:effectExtent l="0" t="0" r="0" b="6350"/>
            <wp:docPr id="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00112162" w:rsidRPr="00D15CE8">
        <w:rPr>
          <w:sz w:val="24"/>
          <w:szCs w:val="24"/>
        </w:rPr>
        <w:t xml:space="preserve"> </w:t>
      </w:r>
      <w:r w:rsidRPr="00D15CE8">
        <w:rPr>
          <w:sz w:val="24"/>
          <w:szCs w:val="24"/>
        </w:rPr>
        <w:t>i zamiar uzyskania przez stronę pozwaną zainteresowania konsumentów jej wyrobem, bez poniesienia stosownych wydatków na promocję, przy wykorzystaniu świadomości konsumentów będącej wynikiem wysiłków powodów na reklamę ich produktu. Sąd Najwyższy podkreślił, że dobrym obyczajem kupieckim jest nie tylko niepodszywanie się pod firmę i renomę konkurencyjnego przedsiębiorstwa lecz także niewykorzystywanie cudzych osiągnięć w promowaniu nowego produktu, tożsamego rodzajowo, bez ponoszenia w tym celu własnych wysiłków i nakładów finansowych. Jednakże w wypadku stwierdzenia, że strona pozwana weszła na rynek z przyprawą „K.”</w:t>
      </w:r>
      <w:r w:rsidR="00112162" w:rsidRPr="00D15CE8">
        <w:rPr>
          <w:sz w:val="24"/>
          <w:szCs w:val="24"/>
        </w:rPr>
        <w:t xml:space="preserve"> </w:t>
      </w:r>
      <w:r w:rsidR="00112162" w:rsidRPr="00D15CE8">
        <w:rPr>
          <w:noProof/>
          <w:sz w:val="24"/>
          <w:szCs w:val="24"/>
          <w:lang w:eastAsia="pl-PL"/>
        </w:rPr>
        <w:drawing>
          <wp:inline distT="0" distB="0" distL="0" distR="0" wp14:anchorId="1A61B1D8" wp14:editId="30F05C06">
            <wp:extent cx="622800" cy="205200"/>
            <wp:effectExtent l="0" t="0" r="6350" b="444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w sposób sprzeczny z dobrymi obyczajami należało wyjaśnić równocześnie w czym obecnie (art. 316 k.p.c.) wyraża się naruszenie interesu powodów i jakie znaczenie w realiach rozpoznawanej sprawy należy przypisać wystąpieniu z powództwem po upływie około 8 lat od wejścia strony pozwanej na rynek z przyprawa „K.” </w:t>
      </w:r>
      <w:r w:rsidR="00112162" w:rsidRPr="00D15CE8">
        <w:rPr>
          <w:noProof/>
          <w:sz w:val="24"/>
          <w:szCs w:val="24"/>
          <w:lang w:eastAsia="pl-PL"/>
        </w:rPr>
        <w:drawing>
          <wp:inline distT="0" distB="0" distL="0" distR="0" wp14:anchorId="7C7BA124" wp14:editId="2DE1EE6C">
            <wp:extent cx="622800" cy="205200"/>
            <wp:effectExtent l="0" t="0" r="6350" b="444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oraz ocenić, czy żądania pozwu pozostają adekwatne do czynu nieuczciwej konkurencji popełnionego ewentualnie przez stronę pozwaną.</w:t>
      </w:r>
    </w:p>
    <w:p w14:paraId="3C468495" w14:textId="359EAD99" w:rsidR="00901A89" w:rsidRPr="00D15CE8" w:rsidRDefault="00901A89" w:rsidP="00901A89">
      <w:pPr>
        <w:spacing w:after="0"/>
        <w:ind w:firstLine="567"/>
        <w:jc w:val="both"/>
        <w:rPr>
          <w:sz w:val="24"/>
          <w:szCs w:val="24"/>
        </w:rPr>
      </w:pPr>
      <w:r w:rsidRPr="00D15CE8">
        <w:rPr>
          <w:sz w:val="24"/>
          <w:szCs w:val="24"/>
        </w:rPr>
        <w:t xml:space="preserve">Sąd Apelacyjny po ponownym rozpoznaniu sprawy, wyrokiem z dnia 24 maja 2007 r. oddalił apelację powodów. Sąd ten stwierdził, że opakowanie przyprawy „K.” </w:t>
      </w:r>
      <w:r w:rsidR="00112162" w:rsidRPr="00D15CE8">
        <w:rPr>
          <w:noProof/>
          <w:sz w:val="24"/>
          <w:szCs w:val="24"/>
          <w:lang w:eastAsia="pl-PL"/>
        </w:rPr>
        <w:drawing>
          <wp:inline distT="0" distB="0" distL="0" distR="0" wp14:anchorId="1A4811BF" wp14:editId="59DD9D75">
            <wp:extent cx="622800" cy="205200"/>
            <wp:effectExtent l="0" t="0" r="6350" b="444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wprowadzonej na rynek w końcu 1995 r. wykazuje ogólne podobieństwo do opakowania przyprawy „V.” </w:t>
      </w:r>
      <w:r w:rsidR="00112162" w:rsidRPr="00D15CE8">
        <w:rPr>
          <w:noProof/>
          <w:sz w:val="24"/>
          <w:szCs w:val="24"/>
          <w:lang w:eastAsia="pl-PL"/>
        </w:rPr>
        <w:drawing>
          <wp:inline distT="0" distB="0" distL="0" distR="0" wp14:anchorId="14D061E4" wp14:editId="194822B9">
            <wp:extent cx="533400" cy="146050"/>
            <wp:effectExtent l="0" t="0" r="0" b="6350"/>
            <wp:docPr id="1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00112162" w:rsidRPr="00D15CE8">
        <w:rPr>
          <w:sz w:val="24"/>
          <w:szCs w:val="24"/>
        </w:rPr>
        <w:t xml:space="preserve"> </w:t>
      </w:r>
      <w:r w:rsidRPr="00D15CE8">
        <w:rPr>
          <w:sz w:val="24"/>
          <w:szCs w:val="24"/>
        </w:rPr>
        <w:t>poprzez kompozycyjne ujęcie elementów wystroju opakowania. Zastosowane przez stronę pozwana opakowanie nie było wymuszone rodzajem towaru i może świadczyć o chęci przeniesienia przez stronę pozwaną na swój produkt pozytywnych skojarzeń konsumentów z przyprawą „V”</w:t>
      </w:r>
      <w:r w:rsidR="00112162" w:rsidRPr="00D15CE8">
        <w:rPr>
          <w:sz w:val="24"/>
          <w:szCs w:val="24"/>
        </w:rPr>
        <w:t xml:space="preserve"> </w:t>
      </w:r>
      <w:r w:rsidR="00112162" w:rsidRPr="00D15CE8">
        <w:rPr>
          <w:noProof/>
          <w:sz w:val="24"/>
          <w:szCs w:val="24"/>
          <w:lang w:eastAsia="pl-PL"/>
        </w:rPr>
        <w:drawing>
          <wp:inline distT="0" distB="0" distL="0" distR="0" wp14:anchorId="382244FC" wp14:editId="15BD43D4">
            <wp:extent cx="533400" cy="146050"/>
            <wp:effectExtent l="0" t="0" r="0" b="6350"/>
            <wp:docPr id="1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Pr="00D15CE8">
        <w:rPr>
          <w:sz w:val="24"/>
          <w:szCs w:val="24"/>
        </w:rPr>
        <w:t>. Podobieństwo kompozycyjne i kolorystyczne opakowania przyprawy „K.”</w:t>
      </w:r>
      <w:r w:rsidR="00112162" w:rsidRPr="00D15CE8">
        <w:rPr>
          <w:sz w:val="24"/>
          <w:szCs w:val="24"/>
        </w:rPr>
        <w:t xml:space="preserve"> </w:t>
      </w:r>
      <w:r w:rsidR="00112162" w:rsidRPr="00D15CE8">
        <w:rPr>
          <w:noProof/>
          <w:sz w:val="24"/>
          <w:szCs w:val="24"/>
          <w:lang w:eastAsia="pl-PL"/>
        </w:rPr>
        <w:drawing>
          <wp:inline distT="0" distB="0" distL="0" distR="0" wp14:anchorId="09003B74" wp14:editId="68F57A93">
            <wp:extent cx="622800" cy="205200"/>
            <wp:effectExtent l="0" t="0" r="6350" b="444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pozwoliło stronie pozwanej na wypromowanie tego produktu w okresie wprowadzania go na rynek, przy wykorzystaniu mechanizmu kojarzenia na podstawie podobieństwa z wcześniej znanym produktem powodów, który w wyniku ich zabiegów funkcjonował w świadomości konsumentów jako produkt wysokiej jakości. Sąd Apelacyjny uznał jednak, że oceniając zachowanie strony pozwanej z punktu widzenia dobrych obyczajów nie można jednocześnie pomijać oceny zachowania powodów w obliczu wprowadzenia na rynek przyprawy „K”</w:t>
      </w:r>
      <w:r w:rsidR="00112162" w:rsidRPr="00D15CE8">
        <w:rPr>
          <w:sz w:val="24"/>
          <w:szCs w:val="24"/>
        </w:rPr>
        <w:t xml:space="preserve"> </w:t>
      </w:r>
      <w:r w:rsidR="00112162" w:rsidRPr="00D15CE8">
        <w:rPr>
          <w:noProof/>
          <w:sz w:val="24"/>
          <w:szCs w:val="24"/>
          <w:lang w:eastAsia="pl-PL"/>
        </w:rPr>
        <w:drawing>
          <wp:inline distT="0" distB="0" distL="0" distR="0" wp14:anchorId="2EDC4784" wp14:editId="53B06A3E">
            <wp:extent cx="622800" cy="205200"/>
            <wp:effectExtent l="0" t="0" r="6350" b="444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Przez długi czas nie spotkało się to z jakakolwiek reakcją z ich strony, w związku z czym trudno obecnie uznać zachowanie strony pozwanej za sprzeczne z dobrymi obyczajami. Strona pozwana poprzez wieloletnie, niezakłócone używanie stosowanych opakowań zawierających elementy zarejestrowanego znaku towarowego uzyskała znaczną własną pozycję rynkową. W celu jej uzyskania i utrzymania poniosła w tym czasie znaczne nakłady. Brak jest zatem podstaw do podzielenia stanowiska powodów aby aktualnie przez używanie stosowanych przez stronę pozwaną opakowań przyprawy „K.” </w:t>
      </w:r>
      <w:r w:rsidR="00112162" w:rsidRPr="00D15CE8">
        <w:rPr>
          <w:noProof/>
          <w:sz w:val="24"/>
          <w:szCs w:val="24"/>
          <w:lang w:eastAsia="pl-PL"/>
        </w:rPr>
        <w:drawing>
          <wp:inline distT="0" distB="0" distL="0" distR="0" wp14:anchorId="48C6C6FA" wp14:editId="0CCC4CAD">
            <wp:extent cx="622800" cy="205200"/>
            <wp:effectExtent l="0" t="0" r="635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występowało nadal zagrożenie bądź naruszenie </w:t>
      </w:r>
      <w:r w:rsidRPr="00D15CE8">
        <w:rPr>
          <w:sz w:val="24"/>
          <w:szCs w:val="24"/>
        </w:rPr>
        <w:lastRenderedPageBreak/>
        <w:t>interesów powodów związane z korzystania z renomy przyprawy „V”</w:t>
      </w:r>
      <w:r w:rsidR="00112162" w:rsidRPr="00D15CE8">
        <w:rPr>
          <w:noProof/>
          <w:sz w:val="24"/>
          <w:szCs w:val="24"/>
          <w:lang w:eastAsia="pl-PL"/>
        </w:rPr>
        <w:t xml:space="preserve"> </w:t>
      </w:r>
      <w:r w:rsidR="00112162" w:rsidRPr="00D15CE8">
        <w:rPr>
          <w:noProof/>
          <w:sz w:val="24"/>
          <w:szCs w:val="24"/>
          <w:lang w:eastAsia="pl-PL"/>
        </w:rPr>
        <w:drawing>
          <wp:inline distT="0" distB="0" distL="0" distR="0" wp14:anchorId="27FAC8E4" wp14:editId="5AF9A0E7">
            <wp:extent cx="533400" cy="146050"/>
            <wp:effectExtent l="0" t="0" r="0" b="6350"/>
            <wp:docPr id="2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146050"/>
                    </a:xfrm>
                    <a:prstGeom prst="rect">
                      <a:avLst/>
                    </a:prstGeom>
                    <a:noFill/>
                    <a:ln>
                      <a:noFill/>
                    </a:ln>
                  </pic:spPr>
                </pic:pic>
              </a:graphicData>
            </a:graphic>
          </wp:inline>
        </w:drawing>
      </w:r>
      <w:r w:rsidRPr="00D15CE8">
        <w:rPr>
          <w:sz w:val="24"/>
          <w:szCs w:val="24"/>
        </w:rPr>
        <w:t>. Nadto stylizacja opakowania, do której zastrzeżenia zgłosili powodowie uległa zmianie, co powoduje, że powództwo nie może być uwzględnione, gdyż nie istnieje materialny substrat, którego miałby dotyczyć zakaz objęty żądaniem pozwu. Prewencyjny charakter roszczenia o zaniechanie uzasadnia natomiast konieczność istnienia interesu prawnego po stronie powoda w dacie orzekania. Przemawiało to za oddaleniem apelacji powodów.</w:t>
      </w:r>
    </w:p>
    <w:p w14:paraId="78591DC5" w14:textId="77777777" w:rsidR="00901A89" w:rsidRPr="00D15CE8" w:rsidRDefault="00901A89" w:rsidP="00901A89">
      <w:pPr>
        <w:spacing w:after="0"/>
        <w:ind w:firstLine="567"/>
        <w:jc w:val="both"/>
        <w:rPr>
          <w:sz w:val="24"/>
          <w:szCs w:val="24"/>
        </w:rPr>
      </w:pPr>
      <w:r w:rsidRPr="00D15CE8">
        <w:rPr>
          <w:sz w:val="24"/>
          <w:szCs w:val="24"/>
        </w:rPr>
        <w:t xml:space="preserve">Skarga kasacyjna powodów została oparta o obie podstawy określone w art. 3983 § 1 k.p.c. W ramach podstawy naruszenia prawa materialnego skarżący zarzucili obrazę art. 3 ust. 1 </w:t>
      </w:r>
      <w:proofErr w:type="spellStart"/>
      <w:r w:rsidRPr="00D15CE8">
        <w:rPr>
          <w:sz w:val="24"/>
          <w:szCs w:val="24"/>
        </w:rPr>
        <w:t>u.z.n.k</w:t>
      </w:r>
      <w:proofErr w:type="spellEnd"/>
      <w:r w:rsidRPr="00D15CE8">
        <w:rPr>
          <w:sz w:val="24"/>
          <w:szCs w:val="24"/>
        </w:rPr>
        <w:t>. oraz art. 5 k.c. w wyniku ich błędnej wykładni. W ramach zaś podstawy naruszenia przepisów postępowania zarzucili obrazę art. 328 § 2 w zw. z art. 391 k.p.c. W oparciu o te zarzuty wnieśli o uchylenie zaskarżonego wyroku i poprzedzającego go wyroku Sądu Okręgowego w G. i przekazanie sprawy Sądowi pierwszej instancji do ponownego rozpoznania lub orzeczenie co do istoty sprawy i zmianę wyroku Sądu Apelacyjnego poprzez uwzględnienie żądania pozwu, ewentualnie uchylenie zaskarżonego wyroku i przekazanie sprawy do ponownego rozpoznania Sądowi Apelacyjnemu.</w:t>
      </w:r>
    </w:p>
    <w:p w14:paraId="0DD80003" w14:textId="77777777" w:rsidR="00901A89" w:rsidRPr="00D15CE8" w:rsidRDefault="00901A89" w:rsidP="00901A89">
      <w:pPr>
        <w:spacing w:after="0"/>
        <w:ind w:firstLine="567"/>
        <w:jc w:val="both"/>
        <w:rPr>
          <w:sz w:val="24"/>
          <w:szCs w:val="24"/>
        </w:rPr>
      </w:pPr>
    </w:p>
    <w:p w14:paraId="328526DE" w14:textId="77777777" w:rsidR="00901A89" w:rsidRPr="00D15CE8" w:rsidRDefault="00901A89" w:rsidP="00901A89">
      <w:pPr>
        <w:spacing w:after="0"/>
        <w:ind w:firstLine="567"/>
        <w:jc w:val="center"/>
        <w:rPr>
          <w:sz w:val="24"/>
          <w:szCs w:val="24"/>
        </w:rPr>
      </w:pPr>
      <w:r w:rsidRPr="00D15CE8">
        <w:rPr>
          <w:sz w:val="24"/>
          <w:szCs w:val="24"/>
        </w:rPr>
        <w:t>Sąd Najwyższy zważył, co następuje:</w:t>
      </w:r>
    </w:p>
    <w:p w14:paraId="3930D9D5" w14:textId="77777777" w:rsidR="00901A89" w:rsidRPr="00D15CE8" w:rsidRDefault="00901A89" w:rsidP="00901A89">
      <w:pPr>
        <w:spacing w:after="0"/>
        <w:ind w:firstLine="567"/>
        <w:jc w:val="center"/>
        <w:rPr>
          <w:sz w:val="24"/>
          <w:szCs w:val="24"/>
        </w:rPr>
      </w:pPr>
    </w:p>
    <w:p w14:paraId="22218949" w14:textId="7DBB68AA" w:rsidR="00901A89" w:rsidRPr="00D15CE8" w:rsidRDefault="00901A89" w:rsidP="00901A89">
      <w:pPr>
        <w:spacing w:after="0"/>
        <w:ind w:firstLine="567"/>
        <w:jc w:val="both"/>
        <w:rPr>
          <w:sz w:val="24"/>
          <w:szCs w:val="24"/>
        </w:rPr>
      </w:pPr>
      <w:r w:rsidRPr="00D15CE8">
        <w:rPr>
          <w:sz w:val="24"/>
          <w:szCs w:val="24"/>
        </w:rPr>
        <w:t>Zarzut naruszenia art. 328 § 2 w zw. z art. 391 k.p.c. jest nieuzasadniony. W ocenie skarżących wadliwość uzasadnienia wyroku Sądu Apelacyjnego wynika z braku wskazania na jakich podstawach Sąd ten uznał, że powodowie tolerowali świadomie rodzaj opakowań stosowanych przez stronę pozwaną. Tymczasem Sąd drugiej instancji stwierdził jednoznacznie, że powodowie wiedzieli o pojawieniu się na rynku przyprawy „K.”</w:t>
      </w:r>
      <w:r w:rsidR="00112162" w:rsidRPr="00D15CE8">
        <w:rPr>
          <w:sz w:val="24"/>
          <w:szCs w:val="24"/>
        </w:rPr>
        <w:t xml:space="preserve"> </w:t>
      </w:r>
      <w:r w:rsidR="00112162" w:rsidRPr="00D15CE8">
        <w:rPr>
          <w:noProof/>
          <w:sz w:val="24"/>
          <w:szCs w:val="24"/>
          <w:lang w:eastAsia="pl-PL"/>
        </w:rPr>
        <w:drawing>
          <wp:inline distT="0" distB="0" distL="0" distR="0" wp14:anchorId="19AB457C" wp14:editId="5A95661C">
            <wp:extent cx="622800" cy="205200"/>
            <wp:effectExtent l="0" t="0" r="6350" b="444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i nie spotkało się to z żadną reakcją z ich strony, aż do momentu uzyskania przez przyprawę produkowana przez stronę pozwaną cech rozpoznawalnej i cenionej przez konsumentów marki produktu. Nie może budzić wątpliwości, że stwierdzenie o „tolerowaniu zachowania konkurenta” było związane z tymi stwierdzeniami.</w:t>
      </w:r>
    </w:p>
    <w:p w14:paraId="7B9C853D" w14:textId="71A58363" w:rsidR="00901A89" w:rsidRPr="00D15CE8" w:rsidRDefault="00901A89" w:rsidP="00901A89">
      <w:pPr>
        <w:spacing w:after="0"/>
        <w:ind w:firstLine="567"/>
        <w:jc w:val="both"/>
        <w:rPr>
          <w:sz w:val="24"/>
          <w:szCs w:val="24"/>
        </w:rPr>
      </w:pPr>
      <w:r w:rsidRPr="00D15CE8">
        <w:rPr>
          <w:sz w:val="24"/>
          <w:szCs w:val="24"/>
        </w:rPr>
        <w:t>Bezzasadne były również zarzuty naruszenia prawa materialnego. Co do zarzutu naruszenia art. 5 k.c. należy podkreślić, że Sąd drugiej instancji w jednym fragmencie uzasadnienia zaskarżonego wyroku użył wprawdzie zwrotu odnoszącego się do nadużycia prawa, jednakże brak jest podstaw by wiązać to z zastosowaniem art. 5 k.c. jako przepisu prawa materialnego rzutującego na treść rozstrzygnięcia w sprawie. Po pierwsze Sąd Apelacyjny nie odwołał się do tego przepisu, jako podstawy rozstrzygnięcia i nie stwierdził, aby to wniesienie pozwu było czynnością godzącą w zasady współżycia społecznego lub było sprzeczne ze społeczno-gospodarczym przeznaczeniem prawa. Stwierdzenie o nadużyciu prawa odnosiło się ewidentnie do oceny zachowania powodów po wprowadzeniu przyprawy „K.”</w:t>
      </w:r>
      <w:r w:rsidR="00112162" w:rsidRPr="00D15CE8">
        <w:rPr>
          <w:sz w:val="24"/>
          <w:szCs w:val="24"/>
        </w:rPr>
        <w:t xml:space="preserve"> </w:t>
      </w:r>
      <w:r w:rsidR="00112162" w:rsidRPr="00D15CE8">
        <w:rPr>
          <w:noProof/>
          <w:sz w:val="24"/>
          <w:szCs w:val="24"/>
          <w:lang w:eastAsia="pl-PL"/>
        </w:rPr>
        <w:drawing>
          <wp:inline distT="0" distB="0" distL="0" distR="0" wp14:anchorId="048F4D49" wp14:editId="0894A517">
            <wp:extent cx="622800" cy="205200"/>
            <wp:effectExtent l="0" t="0" r="6350" b="444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na rynek i ich oceny uznanej za niekonsekwentną. Posłużyło ono do wyrażenia oceny, że można odmówić uznania za czyn nieuczciwej konkurencji zachowania, które aczkolwiek formalnie wskazuje na naruszenie zasad uczciwej konkurencji, to jednak w danych okolicznościach faktycznych trudno uznać je za sprzeczne z dobrymi obyczajami, gdy powodowi można „</w:t>
      </w:r>
      <w:r w:rsidRPr="00CE1236">
        <w:rPr>
          <w:b/>
          <w:bCs/>
          <w:i/>
          <w:iCs/>
          <w:sz w:val="24"/>
          <w:szCs w:val="24"/>
        </w:rPr>
        <w:t xml:space="preserve">postawić zarzut </w:t>
      </w:r>
      <w:proofErr w:type="spellStart"/>
      <w:r w:rsidRPr="00CE1236">
        <w:rPr>
          <w:b/>
          <w:bCs/>
          <w:i/>
          <w:iCs/>
          <w:sz w:val="24"/>
          <w:szCs w:val="24"/>
        </w:rPr>
        <w:t>venire</w:t>
      </w:r>
      <w:proofErr w:type="spellEnd"/>
      <w:r w:rsidRPr="00CE1236">
        <w:rPr>
          <w:b/>
          <w:bCs/>
          <w:i/>
          <w:iCs/>
          <w:sz w:val="24"/>
          <w:szCs w:val="24"/>
        </w:rPr>
        <w:t xml:space="preserve"> contra factum </w:t>
      </w:r>
      <w:proofErr w:type="spellStart"/>
      <w:r w:rsidRPr="00CE1236">
        <w:rPr>
          <w:b/>
          <w:bCs/>
          <w:i/>
          <w:iCs/>
          <w:sz w:val="24"/>
          <w:szCs w:val="24"/>
        </w:rPr>
        <w:t>proprium</w:t>
      </w:r>
      <w:proofErr w:type="spellEnd"/>
      <w:r w:rsidRPr="00D15CE8">
        <w:rPr>
          <w:sz w:val="24"/>
          <w:szCs w:val="24"/>
        </w:rPr>
        <w:t xml:space="preserve">”. Wyrażenie takiego poglądu nie oznacza, że Sąd Apelacyjny przyjął jako podstawę swojego rozstrzygnięcia konstrukcję zakładającą istnienie czynu nieuczciwej konkurencji i oddalenie powództwa z uwagi na treść art. 5 k.c., jak sugerują </w:t>
      </w:r>
      <w:r w:rsidRPr="00D15CE8">
        <w:rPr>
          <w:sz w:val="24"/>
          <w:szCs w:val="24"/>
        </w:rPr>
        <w:lastRenderedPageBreak/>
        <w:t>skarżący, zakładając bezpodstawnie, że Sąd drugiej instancji uwzględnił „zarzut nadużycia prawa oparty na niewniesieniu roszczenia przez powodów w określonym czasie”. Ta bezzasadność oceny skarżących odnosi się również do pozostałej części zarzutu naruszenia art. 5 k.c., który w części jest przy tym konstrukcyjne wadliwy. Nie sposób bowiem zarzucać sądowi błędnego podniesienia zarzutu nadużycia prawa z urzędu, gdyż podnoszenie jakichkolwiek zarzutów nie może odnosić się do działania sądu z urzędu.</w:t>
      </w:r>
    </w:p>
    <w:p w14:paraId="3EB07F8E" w14:textId="6127D420" w:rsidR="00901A89" w:rsidRPr="00D15CE8" w:rsidRDefault="00901A89" w:rsidP="00901A89">
      <w:pPr>
        <w:spacing w:after="0"/>
        <w:ind w:firstLine="567"/>
        <w:jc w:val="both"/>
        <w:rPr>
          <w:sz w:val="24"/>
          <w:szCs w:val="24"/>
        </w:rPr>
      </w:pPr>
      <w:r w:rsidRPr="00D15CE8">
        <w:rPr>
          <w:sz w:val="24"/>
          <w:szCs w:val="24"/>
        </w:rPr>
        <w:t xml:space="preserve">Nieuzasadniony był także zarzut naruszenia art. 3 ust. 1 </w:t>
      </w:r>
      <w:proofErr w:type="spellStart"/>
      <w:r w:rsidRPr="00D15CE8">
        <w:rPr>
          <w:sz w:val="24"/>
          <w:szCs w:val="24"/>
        </w:rPr>
        <w:t>u.z.n.k</w:t>
      </w:r>
      <w:proofErr w:type="spellEnd"/>
      <w:r w:rsidRPr="00D15CE8">
        <w:rPr>
          <w:sz w:val="24"/>
          <w:szCs w:val="24"/>
        </w:rPr>
        <w:t>. Twierdzenie skarżących, że Sąd Apelacyjny dokonał błędnej wykładni tego przepisu przyjmując, że warunkiem udzielenia ochrony przed czynami nieuczciwej konkurencji jest natychmiastowe i aktywne podjęcie „działań prawnych w pełnym zakresie” i na powodach spoczywał obowiązek podejmowania działań przeciwko podmiotom naruszającym ich prawa, jest pozbawione racji z tego powodu, że Sąd drugiej instancji takiej oceny w rzeczywistości nie wyraził. Natomiast jak już wcześniej zaznaczono, stwierdzenie o nadużyciu prawa przez powodów odnosiło się wyłącznie do oceny zachowania powodów przy wprowadzeniu na rynek przyprawy „K.”</w:t>
      </w:r>
      <w:r w:rsidR="00112162" w:rsidRPr="00D15CE8">
        <w:rPr>
          <w:sz w:val="24"/>
          <w:szCs w:val="24"/>
        </w:rPr>
        <w:t xml:space="preserve"> </w:t>
      </w:r>
      <w:r w:rsidR="00112162" w:rsidRPr="00D15CE8">
        <w:rPr>
          <w:noProof/>
          <w:sz w:val="24"/>
          <w:szCs w:val="24"/>
          <w:lang w:eastAsia="pl-PL"/>
        </w:rPr>
        <w:drawing>
          <wp:inline distT="0" distB="0" distL="0" distR="0" wp14:anchorId="5A1A5A7A" wp14:editId="400DEFBC">
            <wp:extent cx="622800" cy="205200"/>
            <wp:effectExtent l="0" t="0" r="6350" b="444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Pr="00D15CE8">
        <w:rPr>
          <w:sz w:val="24"/>
          <w:szCs w:val="24"/>
        </w:rPr>
        <w:t xml:space="preserve"> i było związane z ustaleniem, że powodowie przez okres kilku lat w żaden sposób nie reagowali na pojawienie się tego produktu. Nie można podzielić zatem stanowiska skarżących, że w wyniku jedynie rzekomego stwierdzenia nadużycia prawa przez powodów Sąd drugiej instancji dokonał błędnej wykładni art. 3 ust. 1 </w:t>
      </w:r>
      <w:proofErr w:type="spellStart"/>
      <w:r w:rsidRPr="00D15CE8">
        <w:rPr>
          <w:sz w:val="24"/>
          <w:szCs w:val="24"/>
        </w:rPr>
        <w:t>u.z.n.k</w:t>
      </w:r>
      <w:proofErr w:type="spellEnd"/>
      <w:r w:rsidRPr="00D15CE8">
        <w:rPr>
          <w:sz w:val="24"/>
          <w:szCs w:val="24"/>
        </w:rPr>
        <w:t>. Wymaga też podkreślenia, że z uwagi na treść art. 398</w:t>
      </w:r>
      <w:r w:rsidRPr="00D15CE8">
        <w:rPr>
          <w:sz w:val="24"/>
          <w:szCs w:val="24"/>
          <w:vertAlign w:val="superscript"/>
        </w:rPr>
        <w:t>20</w:t>
      </w:r>
      <w:r w:rsidRPr="00D15CE8">
        <w:rPr>
          <w:sz w:val="24"/>
          <w:szCs w:val="24"/>
        </w:rPr>
        <w:t xml:space="preserve"> k.p.c. Sąd ten był związany wykładnią prawa dokonaną w rozpoznawanej sprawie przez Sąd Najwyższy. Sąd Najwyższy wskazał zaś, że przy stwierdzeniu, iż strona pozwana przyprawę „K.” </w:t>
      </w:r>
      <w:r w:rsidR="00112162" w:rsidRPr="00D15CE8">
        <w:rPr>
          <w:noProof/>
          <w:sz w:val="24"/>
          <w:szCs w:val="24"/>
          <w:lang w:eastAsia="pl-PL"/>
        </w:rPr>
        <w:drawing>
          <wp:inline distT="0" distB="0" distL="0" distR="0" wp14:anchorId="73219DD4" wp14:editId="6BB0B317">
            <wp:extent cx="622800" cy="205200"/>
            <wp:effectExtent l="0" t="0" r="6350" b="444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 xml:space="preserve">wprowadziła na rynek w sposób sprzeczny z dobrymi obyczajami, w kontekście regulacji z art. 3 ust. 1 </w:t>
      </w:r>
      <w:proofErr w:type="spellStart"/>
      <w:r w:rsidRPr="00D15CE8">
        <w:rPr>
          <w:sz w:val="24"/>
          <w:szCs w:val="24"/>
        </w:rPr>
        <w:t>u.z.n.k</w:t>
      </w:r>
      <w:proofErr w:type="spellEnd"/>
      <w:r w:rsidRPr="00D15CE8">
        <w:rPr>
          <w:sz w:val="24"/>
          <w:szCs w:val="24"/>
        </w:rPr>
        <w:t xml:space="preserve">., należy wyjaśnić w czym obecnie wyraża się naruszenie interesu powodów i rozważyć jakie znaczenie można przypisać w realiach rozpoznawanej sprawy wystąpieniu przez powodów z powództwem po upływie około 8 lat od wejścia strony pozwanej na polski rynek. Nie można zatem przyjąć, aby Sąd Apelacyjny dokonał błędnej wykładni art. 3 ust. 1 </w:t>
      </w:r>
      <w:proofErr w:type="spellStart"/>
      <w:r w:rsidRPr="00D15CE8">
        <w:rPr>
          <w:sz w:val="24"/>
          <w:szCs w:val="24"/>
        </w:rPr>
        <w:t>u.z.n.k</w:t>
      </w:r>
      <w:proofErr w:type="spellEnd"/>
      <w:r w:rsidRPr="00D15CE8">
        <w:rPr>
          <w:sz w:val="24"/>
          <w:szCs w:val="24"/>
        </w:rPr>
        <w:t xml:space="preserve">. oceniając znaczenie tolerowania przez powodów sprzedaży przyprawy „K.” </w:t>
      </w:r>
      <w:r w:rsidR="00112162" w:rsidRPr="00D15CE8">
        <w:rPr>
          <w:noProof/>
          <w:sz w:val="24"/>
          <w:szCs w:val="24"/>
          <w:lang w:eastAsia="pl-PL"/>
        </w:rPr>
        <w:drawing>
          <wp:inline distT="0" distB="0" distL="0" distR="0" wp14:anchorId="6E44E320" wp14:editId="63CA40E1">
            <wp:extent cx="622800" cy="205200"/>
            <wp:effectExtent l="0" t="0" r="6350" b="444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800" cy="205200"/>
                    </a:xfrm>
                    <a:prstGeom prst="rect">
                      <a:avLst/>
                    </a:prstGeom>
                    <a:noFill/>
                    <a:ln>
                      <a:noFill/>
                    </a:ln>
                  </pic:spPr>
                </pic:pic>
              </a:graphicData>
            </a:graphic>
          </wp:inline>
        </w:drawing>
      </w:r>
      <w:r w:rsidR="00112162" w:rsidRPr="00D15CE8">
        <w:rPr>
          <w:sz w:val="24"/>
          <w:szCs w:val="24"/>
        </w:rPr>
        <w:t xml:space="preserve"> </w:t>
      </w:r>
      <w:r w:rsidRPr="00D15CE8">
        <w:rPr>
          <w:sz w:val="24"/>
          <w:szCs w:val="24"/>
        </w:rPr>
        <w:t>w stosowanym przez stronę opakowaniu przez okres kilku lat od pojawienia się jej na rynku.</w:t>
      </w:r>
    </w:p>
    <w:p w14:paraId="141A30F2" w14:textId="77777777" w:rsidR="00901A89" w:rsidRPr="00D15CE8" w:rsidRDefault="00901A89" w:rsidP="00901A89">
      <w:pPr>
        <w:spacing w:after="0"/>
        <w:ind w:firstLine="567"/>
        <w:jc w:val="both"/>
        <w:rPr>
          <w:sz w:val="24"/>
          <w:szCs w:val="24"/>
        </w:rPr>
      </w:pPr>
      <w:r w:rsidRPr="00D15CE8">
        <w:rPr>
          <w:sz w:val="24"/>
          <w:szCs w:val="24"/>
        </w:rPr>
        <w:t>W skardze kasacyjnej nie zakwestionowano jednocześnie oceny Sądu drugiej instancji odnoszącej się do braku interesu prawnego po stronie powodów w domaganiu się zaniechania czynów nieuczciwej konkurencji, istniejącego w dacie orzekania, co zalecił uwzględnić Sąd Najwyższy przy uchyleniu sprawy do ponownego rozpoznania. Ocena ta stanowiła zaś również podstawę oddalenia apelacji powodów. Brak jej podważenia w skardze kasacyjnej oznaczał, że niezależnie nawet od ewentualnej zasadności zarzutów zawartych w tej skardze, jej uwzględnienie nie byłoby możliwe.</w:t>
      </w:r>
    </w:p>
    <w:p w14:paraId="4BD47CE5" w14:textId="77777777" w:rsidR="00901A89" w:rsidRPr="00D15CE8" w:rsidRDefault="00901A89" w:rsidP="00901A89">
      <w:pPr>
        <w:spacing w:after="0"/>
        <w:ind w:firstLine="567"/>
        <w:jc w:val="both"/>
        <w:rPr>
          <w:sz w:val="24"/>
          <w:szCs w:val="24"/>
        </w:rPr>
      </w:pPr>
      <w:r w:rsidRPr="00D15CE8">
        <w:rPr>
          <w:sz w:val="24"/>
          <w:szCs w:val="24"/>
        </w:rPr>
        <w:t>Z tych względów skarga kasacyjna, jako pozbawiona uzasadnionych podstaw podlegała oddaleniu na podstawie art. 398</w:t>
      </w:r>
      <w:r w:rsidRPr="00D15CE8">
        <w:rPr>
          <w:sz w:val="24"/>
          <w:szCs w:val="24"/>
          <w:vertAlign w:val="superscript"/>
        </w:rPr>
        <w:t>14</w:t>
      </w:r>
      <w:r w:rsidRPr="00D15CE8">
        <w:rPr>
          <w:sz w:val="24"/>
          <w:szCs w:val="24"/>
        </w:rPr>
        <w:t xml:space="preserve"> k.p.c.</w:t>
      </w:r>
    </w:p>
    <w:p w14:paraId="31C833E2" w14:textId="368E3552" w:rsidR="008E4727" w:rsidRPr="00D15CE8" w:rsidRDefault="00901A89" w:rsidP="00901A89">
      <w:pPr>
        <w:spacing w:after="0"/>
        <w:ind w:firstLine="567"/>
        <w:jc w:val="both"/>
        <w:rPr>
          <w:sz w:val="24"/>
          <w:szCs w:val="24"/>
        </w:rPr>
      </w:pPr>
      <w:r w:rsidRPr="00D15CE8">
        <w:rPr>
          <w:sz w:val="24"/>
          <w:szCs w:val="24"/>
        </w:rPr>
        <w:t>O kosztach postępowania kasacyjnego orzeczono na podstawie art. 98 § 1, 391 § 1 i 398</w:t>
      </w:r>
      <w:r w:rsidRPr="00D15CE8">
        <w:rPr>
          <w:sz w:val="24"/>
          <w:szCs w:val="24"/>
          <w:vertAlign w:val="superscript"/>
        </w:rPr>
        <w:t>21</w:t>
      </w:r>
      <w:r w:rsidRPr="00D15CE8">
        <w:rPr>
          <w:sz w:val="24"/>
          <w:szCs w:val="24"/>
        </w:rPr>
        <w:t xml:space="preserve"> k.p.c.</w:t>
      </w:r>
    </w:p>
    <w:p w14:paraId="0E10FB26" w14:textId="77777777" w:rsidR="002950AF" w:rsidRDefault="002950AF" w:rsidP="002950AF">
      <w:pPr>
        <w:spacing w:after="0"/>
        <w:rPr>
          <w:b/>
          <w:bCs/>
          <w:kern w:val="0"/>
          <w:sz w:val="24"/>
          <w:szCs w:val="24"/>
        </w:rPr>
      </w:pPr>
    </w:p>
    <w:p w14:paraId="0CDAC806" w14:textId="77777777" w:rsidR="00972F3D" w:rsidRDefault="00972F3D" w:rsidP="00972F3D">
      <w:pPr>
        <w:ind w:left="360"/>
        <w:jc w:val="center"/>
        <w:rPr>
          <w:b/>
          <w:bCs/>
          <w:sz w:val="24"/>
          <w:szCs w:val="24"/>
        </w:rPr>
      </w:pPr>
    </w:p>
    <w:p w14:paraId="7350C744" w14:textId="77777777" w:rsidR="00A364F9" w:rsidRDefault="00A364F9" w:rsidP="00972F3D">
      <w:pPr>
        <w:ind w:left="360"/>
        <w:jc w:val="center"/>
        <w:rPr>
          <w:b/>
          <w:bCs/>
          <w:sz w:val="24"/>
          <w:szCs w:val="24"/>
        </w:rPr>
      </w:pPr>
    </w:p>
    <w:p w14:paraId="5799275D" w14:textId="3920EFEF" w:rsidR="00972F3D" w:rsidRPr="00972F3D" w:rsidRDefault="00972F3D" w:rsidP="00972F3D">
      <w:pPr>
        <w:ind w:left="360" w:hanging="502"/>
        <w:jc w:val="center"/>
        <w:rPr>
          <w:b/>
          <w:bCs/>
          <w:sz w:val="24"/>
          <w:szCs w:val="24"/>
        </w:rPr>
      </w:pPr>
      <w:r>
        <w:rPr>
          <w:b/>
          <w:bCs/>
          <w:sz w:val="24"/>
          <w:szCs w:val="24"/>
        </w:rPr>
        <w:lastRenderedPageBreak/>
        <w:t>* * *</w:t>
      </w:r>
    </w:p>
    <w:p w14:paraId="615F6A1F" w14:textId="27D3A221" w:rsidR="00E51724" w:rsidRDefault="00E51724" w:rsidP="00E51724">
      <w:pPr>
        <w:spacing w:after="0"/>
        <w:rPr>
          <w:rFonts w:cstheme="minorHAnsi"/>
          <w:bCs/>
          <w:sz w:val="24"/>
          <w:szCs w:val="24"/>
        </w:rPr>
      </w:pPr>
      <w:r>
        <w:rPr>
          <w:b/>
          <w:bCs/>
          <w:sz w:val="24"/>
          <w:szCs w:val="24"/>
        </w:rPr>
        <w:t>U</w:t>
      </w:r>
      <w:r w:rsidRPr="0012786A">
        <w:rPr>
          <w:b/>
          <w:bCs/>
          <w:sz w:val="24"/>
          <w:szCs w:val="24"/>
        </w:rPr>
        <w:t xml:space="preserve">wagi </w:t>
      </w:r>
      <w:r>
        <w:rPr>
          <w:b/>
          <w:bCs/>
          <w:sz w:val="24"/>
          <w:szCs w:val="24"/>
        </w:rPr>
        <w:t>R</w:t>
      </w:r>
      <w:r w:rsidRPr="0012786A">
        <w:rPr>
          <w:b/>
          <w:bCs/>
          <w:sz w:val="24"/>
          <w:szCs w:val="24"/>
        </w:rPr>
        <w:t>edakcji</w:t>
      </w:r>
      <w:r w:rsidRPr="009970E0">
        <w:rPr>
          <w:b/>
          <w:bCs/>
          <w:sz w:val="24"/>
          <w:szCs w:val="24"/>
        </w:rPr>
        <w:t xml:space="preserve"> </w:t>
      </w:r>
      <w:r>
        <w:rPr>
          <w:rFonts w:cstheme="minorHAnsi"/>
          <w:bCs/>
          <w:sz w:val="24"/>
          <w:szCs w:val="24"/>
        </w:rPr>
        <w:t xml:space="preserve">do przypomnianego wyżej wyroku opracowali: </w:t>
      </w:r>
    </w:p>
    <w:p w14:paraId="75EE4EAB" w14:textId="77777777" w:rsidR="00E51724" w:rsidRPr="002E484E" w:rsidRDefault="00E51724" w:rsidP="00E51724">
      <w:pPr>
        <w:spacing w:after="0"/>
        <w:rPr>
          <w:b/>
          <w:bCs/>
          <w:sz w:val="24"/>
          <w:szCs w:val="24"/>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96"/>
      </w:tblGrid>
      <w:tr w:rsidR="00E51724" w:rsidRPr="006A1234" w14:paraId="2B48646B" w14:textId="77777777" w:rsidTr="00384ACE">
        <w:tc>
          <w:tcPr>
            <w:tcW w:w="1276" w:type="dxa"/>
          </w:tcPr>
          <w:p w14:paraId="2477067F" w14:textId="77777777" w:rsidR="00E51724" w:rsidRPr="00EC4F25" w:rsidRDefault="00E51724" w:rsidP="00164F9D">
            <w:pPr>
              <w:rPr>
                <w:rFonts w:cstheme="minorHAnsi"/>
                <w:b/>
                <w:bCs/>
                <w:noProof/>
                <w:sz w:val="18"/>
                <w:szCs w:val="18"/>
              </w:rPr>
            </w:pPr>
          </w:p>
        </w:tc>
        <w:tc>
          <w:tcPr>
            <w:tcW w:w="7796" w:type="dxa"/>
          </w:tcPr>
          <w:p w14:paraId="05410ACF" w14:textId="77777777" w:rsidR="00E51724" w:rsidRPr="006A1234" w:rsidRDefault="00E51724" w:rsidP="00164F9D">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E51724" w:rsidRPr="00E51724" w14:paraId="3C629941" w14:textId="77777777" w:rsidTr="00384ACE">
        <w:tc>
          <w:tcPr>
            <w:tcW w:w="1276" w:type="dxa"/>
          </w:tcPr>
          <w:p w14:paraId="13411FB6" w14:textId="77777777" w:rsidR="00E51724" w:rsidRPr="00E51724" w:rsidRDefault="00E51724" w:rsidP="00164F9D">
            <w:pPr>
              <w:rPr>
                <w:rFonts w:cstheme="minorHAnsi"/>
                <w:b/>
                <w:bCs/>
                <w:color w:val="000000"/>
                <w:sz w:val="22"/>
                <w:szCs w:val="22"/>
              </w:rPr>
            </w:pPr>
          </w:p>
          <w:p w14:paraId="446A3D7E" w14:textId="77777777" w:rsidR="00E51724" w:rsidRPr="00E51724" w:rsidRDefault="00E51724" w:rsidP="00164F9D">
            <w:pPr>
              <w:rPr>
                <w:rFonts w:cstheme="minorHAnsi"/>
                <w:b/>
                <w:bCs/>
                <w:color w:val="000000"/>
                <w:sz w:val="22"/>
                <w:szCs w:val="22"/>
              </w:rPr>
            </w:pPr>
            <w:r w:rsidRPr="00E51724">
              <w:rPr>
                <w:noProof/>
              </w:rPr>
              <w:drawing>
                <wp:inline distT="0" distB="0" distL="0" distR="0" wp14:anchorId="30C1794E" wp14:editId="095765B4">
                  <wp:extent cx="662400" cy="900000"/>
                  <wp:effectExtent l="0" t="0" r="4445" b="0"/>
                  <wp:docPr id="431345470"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0722"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7796" w:type="dxa"/>
          </w:tcPr>
          <w:p w14:paraId="3AC5E357" w14:textId="77777777" w:rsidR="00E51724" w:rsidRPr="00E51724" w:rsidRDefault="00E51724" w:rsidP="00164F9D">
            <w:pPr>
              <w:rPr>
                <w:rFonts w:asciiTheme="minorHAnsi" w:hAnsiTheme="minorHAnsi" w:cstheme="minorHAnsi"/>
                <w:bCs/>
                <w:color w:val="000000"/>
                <w:sz w:val="22"/>
                <w:szCs w:val="22"/>
              </w:rPr>
            </w:pPr>
            <w:r w:rsidRPr="00E51724">
              <w:rPr>
                <w:rFonts w:asciiTheme="minorHAnsi" w:hAnsiTheme="minorHAnsi" w:cstheme="minorHAnsi"/>
                <w:bCs/>
                <w:color w:val="000000"/>
                <w:sz w:val="22"/>
                <w:szCs w:val="22"/>
              </w:rPr>
              <w:t>Marek BESLER</w:t>
            </w:r>
          </w:p>
          <w:p w14:paraId="54AF4EE8" w14:textId="7316063E" w:rsidR="00E51724" w:rsidRPr="00E51724" w:rsidRDefault="007A5198" w:rsidP="00164F9D">
            <w:pPr>
              <w:pStyle w:val="Akapitzlist"/>
              <w:numPr>
                <w:ilvl w:val="0"/>
                <w:numId w:val="47"/>
              </w:numPr>
              <w:ind w:left="320" w:hanging="334"/>
              <w:rPr>
                <w:rFonts w:eastAsia="Times New Roman" w:cstheme="minorHAnsi"/>
                <w:bCs/>
                <w:color w:val="000000"/>
                <w:sz w:val="22"/>
                <w:szCs w:val="22"/>
              </w:rPr>
            </w:pPr>
            <w:r w:rsidRPr="007A5198">
              <w:rPr>
                <w:rFonts w:eastAsia="Times New Roman" w:cstheme="minorHAnsi"/>
                <w:bCs/>
                <w:color w:val="000000"/>
                <w:sz w:val="22"/>
                <w:szCs w:val="22"/>
              </w:rPr>
              <w:t>współorzekający w Komisji Odwoławczej przy Urzędzie Patentowym w sprawach własności przemysłowej, składom której przewodniczyli sędziowie Sądu Najwyższego, w latach 1979 -2001</w:t>
            </w:r>
            <w:r w:rsidR="00E51724" w:rsidRPr="00E51724">
              <w:rPr>
                <w:rFonts w:eastAsia="Times New Roman" w:cstheme="minorHAnsi"/>
                <w:bCs/>
                <w:color w:val="000000"/>
                <w:sz w:val="22"/>
                <w:szCs w:val="22"/>
              </w:rPr>
              <w:t xml:space="preserve"> </w:t>
            </w:r>
          </w:p>
          <w:p w14:paraId="6472ED00" w14:textId="77777777" w:rsidR="00E51724" w:rsidRPr="00E51724" w:rsidRDefault="00E51724" w:rsidP="00164F9D">
            <w:pPr>
              <w:pStyle w:val="Akapitzlist"/>
              <w:numPr>
                <w:ilvl w:val="0"/>
                <w:numId w:val="47"/>
              </w:numPr>
              <w:ind w:left="320" w:hanging="334"/>
              <w:rPr>
                <w:rFonts w:cstheme="minorHAnsi"/>
                <w:bCs/>
                <w:color w:val="000000"/>
                <w:sz w:val="22"/>
                <w:szCs w:val="22"/>
              </w:rPr>
            </w:pPr>
            <w:r w:rsidRPr="00E51724">
              <w:rPr>
                <w:rFonts w:cstheme="minorHAnsi"/>
                <w:bCs/>
                <w:color w:val="000000"/>
                <w:sz w:val="22"/>
                <w:szCs w:val="22"/>
              </w:rPr>
              <w:t>rzecznik patentowy nr 1571</w:t>
            </w:r>
          </w:p>
          <w:p w14:paraId="27FB0739" w14:textId="77777777" w:rsidR="00E51724" w:rsidRPr="00E51724" w:rsidRDefault="00E51724" w:rsidP="00164F9D">
            <w:pPr>
              <w:pStyle w:val="Akapitzlist"/>
              <w:numPr>
                <w:ilvl w:val="0"/>
                <w:numId w:val="47"/>
              </w:numPr>
              <w:ind w:left="320" w:hanging="334"/>
              <w:rPr>
                <w:rFonts w:cstheme="minorHAnsi"/>
                <w:bCs/>
                <w:color w:val="000000"/>
                <w:sz w:val="22"/>
                <w:szCs w:val="22"/>
              </w:rPr>
            </w:pPr>
            <w:r w:rsidRPr="00E51724">
              <w:rPr>
                <w:rFonts w:cstheme="minorHAnsi"/>
                <w:bCs/>
                <w:color w:val="000000"/>
                <w:sz w:val="22"/>
                <w:szCs w:val="22"/>
              </w:rPr>
              <w:t>profesjonalny pełnomocnik przed EUIPO (</w:t>
            </w:r>
            <w:r w:rsidRPr="00E51724">
              <w:rPr>
                <w:rFonts w:cstheme="minorHAnsi"/>
                <w:bCs/>
                <w:i/>
                <w:color w:val="000000"/>
                <w:sz w:val="22"/>
                <w:szCs w:val="22"/>
              </w:rPr>
              <w:t>European Union Intellectual Property Office</w:t>
            </w:r>
            <w:r w:rsidRPr="00E51724">
              <w:rPr>
                <w:rFonts w:cstheme="minorHAnsi"/>
                <w:bCs/>
                <w:color w:val="000000"/>
                <w:sz w:val="22"/>
                <w:szCs w:val="22"/>
              </w:rPr>
              <w:t xml:space="preserve"> – Urząd Unii Europejskiej ds. Własności Intelektualnej), nr 27177</w:t>
            </w:r>
          </w:p>
          <w:p w14:paraId="6450D099" w14:textId="77777777" w:rsidR="00E51724" w:rsidRPr="00E51724" w:rsidRDefault="00E51724" w:rsidP="00164F9D">
            <w:pPr>
              <w:pStyle w:val="Akapitzlist"/>
              <w:numPr>
                <w:ilvl w:val="0"/>
                <w:numId w:val="47"/>
              </w:numPr>
              <w:ind w:left="320" w:hanging="334"/>
              <w:rPr>
                <w:rFonts w:cstheme="minorHAnsi"/>
                <w:bCs/>
                <w:color w:val="000000"/>
                <w:sz w:val="22"/>
                <w:szCs w:val="22"/>
              </w:rPr>
            </w:pPr>
            <w:r w:rsidRPr="00E51724">
              <w:rPr>
                <w:rFonts w:cstheme="minorHAnsi"/>
                <w:bCs/>
                <w:color w:val="000000"/>
                <w:sz w:val="22"/>
                <w:szCs w:val="22"/>
              </w:rPr>
              <w:t>Europejski Rzecznik Patentowy nr 138820</w:t>
            </w:r>
          </w:p>
          <w:p w14:paraId="0B5F74F2" w14:textId="77777777" w:rsidR="00E51724" w:rsidRPr="00E51724" w:rsidRDefault="00E51724" w:rsidP="00164F9D">
            <w:pPr>
              <w:pStyle w:val="Akapitzlist"/>
              <w:numPr>
                <w:ilvl w:val="0"/>
                <w:numId w:val="47"/>
              </w:numPr>
              <w:ind w:left="320" w:hanging="334"/>
              <w:rPr>
                <w:rFonts w:cstheme="minorHAnsi"/>
                <w:bCs/>
                <w:color w:val="000000"/>
                <w:sz w:val="22"/>
                <w:szCs w:val="22"/>
              </w:rPr>
            </w:pPr>
            <w:r w:rsidRPr="00E51724">
              <w:rPr>
                <w:rFonts w:cstheme="minorHAnsi"/>
                <w:bCs/>
                <w:color w:val="000000"/>
                <w:sz w:val="22"/>
                <w:szCs w:val="22"/>
              </w:rPr>
              <w:t>Prezes Polskiej Izby Rzeczników Patentowych w latach 2002-2005</w:t>
            </w:r>
          </w:p>
          <w:p w14:paraId="681628F3" w14:textId="77777777" w:rsidR="00E51724" w:rsidRPr="00E51724" w:rsidRDefault="00E51724" w:rsidP="00164F9D">
            <w:pPr>
              <w:pStyle w:val="Akapitzlist"/>
              <w:numPr>
                <w:ilvl w:val="0"/>
                <w:numId w:val="47"/>
              </w:numPr>
              <w:ind w:left="320" w:hanging="334"/>
              <w:rPr>
                <w:rFonts w:cstheme="minorHAnsi"/>
                <w:bCs/>
                <w:color w:val="000000"/>
                <w:sz w:val="22"/>
                <w:szCs w:val="22"/>
              </w:rPr>
            </w:pPr>
            <w:r w:rsidRPr="00E51724">
              <w:rPr>
                <w:rFonts w:cstheme="minorHAnsi"/>
                <w:bCs/>
                <w:color w:val="000000"/>
                <w:sz w:val="22"/>
                <w:szCs w:val="22"/>
              </w:rPr>
              <w:t>Wiceprezes Zarządu StoWI od 2023 r.</w:t>
            </w:r>
          </w:p>
          <w:p w14:paraId="352DE598" w14:textId="77777777" w:rsidR="00E51724" w:rsidRPr="00E51724" w:rsidRDefault="00E51724" w:rsidP="00164F9D">
            <w:pPr>
              <w:pStyle w:val="Akapitzlist"/>
              <w:numPr>
                <w:ilvl w:val="0"/>
                <w:numId w:val="47"/>
              </w:numPr>
              <w:ind w:left="320" w:hanging="334"/>
              <w:rPr>
                <w:rFonts w:cstheme="minorHAnsi"/>
                <w:bCs/>
                <w:color w:val="000000"/>
                <w:sz w:val="22"/>
                <w:szCs w:val="22"/>
              </w:rPr>
            </w:pPr>
            <w:r w:rsidRPr="00E51724">
              <w:rPr>
                <w:rFonts w:cstheme="minorHAnsi"/>
                <w:bCs/>
                <w:color w:val="000000"/>
                <w:sz w:val="22"/>
                <w:szCs w:val="22"/>
              </w:rPr>
              <w:t>Redaktor naczelny Kwartalnika „THINK-TANK WSZYSTKO o IP w PL” od listopada 2023 r.</w:t>
            </w:r>
          </w:p>
          <w:p w14:paraId="3CCDC09A" w14:textId="77777777" w:rsidR="00E51724" w:rsidRPr="00E51724" w:rsidRDefault="00E51724" w:rsidP="00164F9D">
            <w:pPr>
              <w:pStyle w:val="Akapitzlist"/>
              <w:ind w:left="320"/>
              <w:rPr>
                <w:rFonts w:cstheme="minorHAnsi"/>
                <w:bCs/>
                <w:color w:val="000000"/>
                <w:sz w:val="22"/>
                <w:szCs w:val="22"/>
              </w:rPr>
            </w:pPr>
          </w:p>
        </w:tc>
      </w:tr>
      <w:tr w:rsidR="00E51724" w:rsidRPr="00E51724" w14:paraId="492BED8C" w14:textId="77777777" w:rsidTr="00384ACE">
        <w:tc>
          <w:tcPr>
            <w:tcW w:w="1276" w:type="dxa"/>
          </w:tcPr>
          <w:p w14:paraId="2D9E2D21" w14:textId="77777777" w:rsidR="00E51724" w:rsidRPr="00E51724" w:rsidRDefault="00E51724" w:rsidP="00164F9D">
            <w:pPr>
              <w:tabs>
                <w:tab w:val="left" w:pos="2261"/>
              </w:tabs>
              <w:rPr>
                <w:rFonts w:cstheme="minorHAnsi"/>
                <w:b/>
                <w:bCs/>
                <w:color w:val="000000"/>
                <w:sz w:val="22"/>
                <w:szCs w:val="22"/>
              </w:rPr>
            </w:pPr>
            <w:r w:rsidRPr="00E51724">
              <w:rPr>
                <w:noProof/>
              </w:rPr>
              <w:drawing>
                <wp:inline distT="0" distB="0" distL="0" distR="0" wp14:anchorId="78E55EFD" wp14:editId="1279FD62">
                  <wp:extent cx="658800" cy="900000"/>
                  <wp:effectExtent l="0" t="0" r="8255" b="0"/>
                  <wp:docPr id="2027445183"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9886"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p w14:paraId="28360EA6" w14:textId="77777777" w:rsidR="00E51724" w:rsidRPr="00E51724" w:rsidRDefault="00E51724" w:rsidP="00164F9D">
            <w:pPr>
              <w:tabs>
                <w:tab w:val="left" w:pos="2261"/>
              </w:tabs>
              <w:rPr>
                <w:rFonts w:cstheme="minorHAnsi"/>
                <w:b/>
                <w:bCs/>
                <w:color w:val="000000"/>
                <w:sz w:val="22"/>
                <w:szCs w:val="22"/>
              </w:rPr>
            </w:pPr>
          </w:p>
        </w:tc>
        <w:tc>
          <w:tcPr>
            <w:tcW w:w="7796" w:type="dxa"/>
          </w:tcPr>
          <w:p w14:paraId="3CDCD0F8" w14:textId="77777777" w:rsidR="00E51724" w:rsidRPr="00E51724" w:rsidRDefault="00E51724" w:rsidP="00164F9D">
            <w:pPr>
              <w:rPr>
                <w:rFonts w:asciiTheme="minorHAnsi" w:hAnsiTheme="minorHAnsi" w:cstheme="minorHAnsi"/>
                <w:bCs/>
                <w:color w:val="000000"/>
                <w:sz w:val="22"/>
                <w:szCs w:val="22"/>
              </w:rPr>
            </w:pPr>
            <w:r w:rsidRPr="00E51724">
              <w:rPr>
                <w:rFonts w:asciiTheme="minorHAnsi" w:hAnsiTheme="minorHAnsi" w:cstheme="minorHAnsi"/>
                <w:bCs/>
                <w:color w:val="000000"/>
                <w:sz w:val="22"/>
                <w:szCs w:val="22"/>
              </w:rPr>
              <w:t>Anna KORBELA</w:t>
            </w:r>
          </w:p>
          <w:p w14:paraId="7E498BB0" w14:textId="0244DE81" w:rsidR="00E51724" w:rsidRPr="00E51724" w:rsidRDefault="00E86418" w:rsidP="00164F9D">
            <w:pPr>
              <w:pStyle w:val="Akapitzlist"/>
              <w:numPr>
                <w:ilvl w:val="0"/>
                <w:numId w:val="45"/>
              </w:numPr>
              <w:ind w:left="320" w:hanging="334"/>
              <w:rPr>
                <w:rFonts w:cstheme="minorHAnsi"/>
                <w:bCs/>
                <w:color w:val="000000"/>
                <w:sz w:val="22"/>
                <w:szCs w:val="22"/>
              </w:rPr>
            </w:pPr>
            <w:r w:rsidRPr="00E51724">
              <w:rPr>
                <w:rFonts w:cstheme="minorHAnsi"/>
                <w:bCs/>
                <w:color w:val="000000"/>
                <w:sz w:val="22"/>
                <w:szCs w:val="22"/>
              </w:rPr>
              <w:t xml:space="preserve">w 1994 r. </w:t>
            </w:r>
            <w:r w:rsidR="00FE4722" w:rsidRPr="00FE4722">
              <w:rPr>
                <w:rFonts w:cstheme="minorHAnsi"/>
                <w:bCs/>
                <w:color w:val="000000"/>
                <w:sz w:val="22"/>
                <w:szCs w:val="22"/>
              </w:rPr>
              <w:t xml:space="preserve">zdała </w:t>
            </w:r>
            <w:r w:rsidR="00E51724" w:rsidRPr="00E51724">
              <w:rPr>
                <w:rFonts w:cstheme="minorHAnsi"/>
                <w:bCs/>
                <w:color w:val="000000"/>
                <w:sz w:val="22"/>
                <w:szCs w:val="22"/>
              </w:rPr>
              <w:t xml:space="preserve">egzamin sędziowski poprzedzony etatową aplikacją sędziowską (złożony z </w:t>
            </w:r>
            <w:r w:rsidR="00123357" w:rsidRPr="00E51724">
              <w:rPr>
                <w:rFonts w:cstheme="minorHAnsi"/>
                <w:bCs/>
                <w:color w:val="000000"/>
                <w:sz w:val="22"/>
                <w:szCs w:val="22"/>
              </w:rPr>
              <w:t xml:space="preserve">dobrym </w:t>
            </w:r>
            <w:r w:rsidR="00E51724" w:rsidRPr="00E51724">
              <w:rPr>
                <w:rFonts w:cstheme="minorHAnsi"/>
                <w:bCs/>
                <w:color w:val="000000"/>
                <w:sz w:val="22"/>
                <w:szCs w:val="22"/>
              </w:rPr>
              <w:t>wynikiem, umożliwiającym podjęcie kariery sędziowskiej)</w:t>
            </w:r>
          </w:p>
          <w:p w14:paraId="6680D7B8" w14:textId="77777777" w:rsidR="00E51724" w:rsidRPr="00E51724" w:rsidRDefault="00E51724" w:rsidP="00164F9D">
            <w:pPr>
              <w:pStyle w:val="Akapitzlist"/>
              <w:numPr>
                <w:ilvl w:val="0"/>
                <w:numId w:val="45"/>
              </w:numPr>
              <w:ind w:left="320" w:hanging="334"/>
              <w:rPr>
                <w:rFonts w:cstheme="minorHAnsi"/>
                <w:bCs/>
                <w:color w:val="000000"/>
                <w:sz w:val="22"/>
                <w:szCs w:val="22"/>
              </w:rPr>
            </w:pPr>
            <w:r w:rsidRPr="00E51724">
              <w:rPr>
                <w:rFonts w:cstheme="minorHAnsi"/>
                <w:bCs/>
                <w:color w:val="000000"/>
                <w:sz w:val="22"/>
                <w:szCs w:val="22"/>
              </w:rPr>
              <w:t>rzecznik patentowy nr 3040</w:t>
            </w:r>
          </w:p>
          <w:p w14:paraId="77E0A68D" w14:textId="77777777" w:rsidR="00E51724" w:rsidRPr="00E51724" w:rsidRDefault="00E51724" w:rsidP="00164F9D">
            <w:pPr>
              <w:pStyle w:val="Akapitzlist"/>
              <w:numPr>
                <w:ilvl w:val="0"/>
                <w:numId w:val="45"/>
              </w:numPr>
              <w:ind w:left="320" w:hanging="334"/>
              <w:rPr>
                <w:rFonts w:cstheme="minorHAnsi"/>
                <w:bCs/>
                <w:color w:val="000000"/>
                <w:sz w:val="22"/>
                <w:szCs w:val="22"/>
              </w:rPr>
            </w:pPr>
            <w:r w:rsidRPr="00E51724">
              <w:rPr>
                <w:rFonts w:cstheme="minorHAnsi"/>
                <w:bCs/>
                <w:color w:val="000000"/>
                <w:sz w:val="22"/>
                <w:szCs w:val="22"/>
              </w:rPr>
              <w:t>radca prawny nr 364/96</w:t>
            </w:r>
          </w:p>
          <w:p w14:paraId="006260F8" w14:textId="77777777" w:rsidR="00E51724" w:rsidRPr="00E51724" w:rsidRDefault="00E51724" w:rsidP="00164F9D">
            <w:pPr>
              <w:pStyle w:val="Akapitzlist"/>
              <w:numPr>
                <w:ilvl w:val="0"/>
                <w:numId w:val="45"/>
              </w:numPr>
              <w:ind w:left="320" w:hanging="334"/>
              <w:rPr>
                <w:rFonts w:cstheme="minorHAnsi"/>
                <w:bCs/>
                <w:color w:val="000000"/>
                <w:sz w:val="22"/>
                <w:szCs w:val="22"/>
              </w:rPr>
            </w:pPr>
            <w:r w:rsidRPr="00E51724">
              <w:rPr>
                <w:rFonts w:cstheme="minorHAnsi"/>
                <w:bCs/>
                <w:color w:val="000000"/>
                <w:sz w:val="22"/>
                <w:szCs w:val="22"/>
              </w:rPr>
              <w:t>profesjonalny pełnomocnik przed EUIPO (</w:t>
            </w:r>
            <w:r w:rsidRPr="00E51724">
              <w:rPr>
                <w:rFonts w:cstheme="minorHAnsi"/>
                <w:bCs/>
                <w:i/>
                <w:color w:val="000000"/>
                <w:sz w:val="22"/>
                <w:szCs w:val="22"/>
              </w:rPr>
              <w:t>European Union Intellectual Property Office</w:t>
            </w:r>
            <w:r w:rsidRPr="00E51724">
              <w:rPr>
                <w:rFonts w:cstheme="minorHAnsi"/>
                <w:bCs/>
                <w:color w:val="000000"/>
                <w:sz w:val="22"/>
                <w:szCs w:val="22"/>
              </w:rPr>
              <w:t xml:space="preserve"> - </w:t>
            </w:r>
            <w:r w:rsidRPr="00E51724">
              <w:rPr>
                <w:rFonts w:eastAsia="Times New Roman" w:cstheme="minorHAnsi"/>
                <w:bCs/>
                <w:color w:val="000000"/>
                <w:sz w:val="22"/>
                <w:szCs w:val="22"/>
              </w:rPr>
              <w:t>Urzędem</w:t>
            </w:r>
            <w:r w:rsidRPr="00E51724">
              <w:rPr>
                <w:rFonts w:cstheme="minorHAnsi"/>
                <w:bCs/>
                <w:color w:val="000000"/>
                <w:sz w:val="22"/>
                <w:szCs w:val="22"/>
              </w:rPr>
              <w:t xml:space="preserve"> Unii Europejskiej ds. Własności Intelektualnej), nr 27595</w:t>
            </w:r>
          </w:p>
          <w:p w14:paraId="592EB361" w14:textId="77777777" w:rsidR="00E51724" w:rsidRPr="00E51724" w:rsidRDefault="00E51724" w:rsidP="00164F9D">
            <w:pPr>
              <w:pStyle w:val="Akapitzlist"/>
              <w:numPr>
                <w:ilvl w:val="0"/>
                <w:numId w:val="45"/>
              </w:numPr>
              <w:ind w:left="320" w:hanging="334"/>
              <w:rPr>
                <w:rFonts w:cstheme="minorHAnsi"/>
                <w:bCs/>
                <w:color w:val="000000"/>
                <w:sz w:val="22"/>
                <w:szCs w:val="22"/>
              </w:rPr>
            </w:pPr>
            <w:r w:rsidRPr="00E51724">
              <w:rPr>
                <w:rFonts w:cstheme="minorHAnsi"/>
                <w:bCs/>
                <w:color w:val="000000"/>
                <w:sz w:val="22"/>
                <w:szCs w:val="22"/>
              </w:rPr>
              <w:t>Europejski Rzecznik Patentowy nr 137760</w:t>
            </w:r>
          </w:p>
          <w:p w14:paraId="6FA46D4C" w14:textId="77777777" w:rsidR="00E51724" w:rsidRPr="00E51724" w:rsidRDefault="00E51724" w:rsidP="00164F9D">
            <w:pPr>
              <w:pStyle w:val="Akapitzlist"/>
              <w:numPr>
                <w:ilvl w:val="0"/>
                <w:numId w:val="45"/>
              </w:numPr>
              <w:ind w:left="320" w:hanging="334"/>
              <w:rPr>
                <w:rFonts w:cstheme="minorHAnsi"/>
                <w:bCs/>
                <w:color w:val="000000"/>
                <w:sz w:val="22"/>
                <w:szCs w:val="22"/>
              </w:rPr>
            </w:pPr>
            <w:r w:rsidRPr="00E51724">
              <w:rPr>
                <w:rFonts w:cstheme="minorHAnsi"/>
                <w:bCs/>
                <w:color w:val="000000"/>
                <w:sz w:val="22"/>
                <w:szCs w:val="22"/>
              </w:rPr>
              <w:t>pełnomocnik uprawniony do działania przed DPMA (</w:t>
            </w:r>
            <w:proofErr w:type="spellStart"/>
            <w:r w:rsidRPr="00E51724">
              <w:rPr>
                <w:rFonts w:cstheme="minorHAnsi"/>
                <w:bCs/>
                <w:i/>
                <w:color w:val="000000"/>
                <w:sz w:val="22"/>
                <w:szCs w:val="22"/>
              </w:rPr>
              <w:t>Deutsches</w:t>
            </w:r>
            <w:proofErr w:type="spellEnd"/>
            <w:r w:rsidRPr="00E51724">
              <w:rPr>
                <w:rFonts w:cstheme="minorHAnsi"/>
                <w:bCs/>
                <w:i/>
                <w:color w:val="000000"/>
                <w:sz w:val="22"/>
                <w:szCs w:val="22"/>
              </w:rPr>
              <w:t xml:space="preserve"> Patent- </w:t>
            </w:r>
            <w:proofErr w:type="spellStart"/>
            <w:r w:rsidRPr="00E51724">
              <w:rPr>
                <w:rFonts w:cstheme="minorHAnsi"/>
                <w:bCs/>
                <w:i/>
                <w:color w:val="000000"/>
                <w:sz w:val="22"/>
                <w:szCs w:val="22"/>
              </w:rPr>
              <w:t>und</w:t>
            </w:r>
            <w:proofErr w:type="spellEnd"/>
            <w:r w:rsidRPr="00E51724">
              <w:rPr>
                <w:rFonts w:cstheme="minorHAnsi"/>
                <w:bCs/>
                <w:i/>
                <w:color w:val="000000"/>
                <w:sz w:val="22"/>
                <w:szCs w:val="22"/>
              </w:rPr>
              <w:t xml:space="preserve"> </w:t>
            </w:r>
            <w:proofErr w:type="spellStart"/>
            <w:r w:rsidRPr="00E51724">
              <w:rPr>
                <w:rFonts w:cstheme="minorHAnsi"/>
                <w:bCs/>
                <w:i/>
                <w:color w:val="000000"/>
                <w:sz w:val="22"/>
                <w:szCs w:val="22"/>
              </w:rPr>
              <w:t>Markenamt</w:t>
            </w:r>
            <w:proofErr w:type="spellEnd"/>
            <w:r w:rsidRPr="00E51724">
              <w:rPr>
                <w:rFonts w:cstheme="minorHAnsi"/>
                <w:bCs/>
                <w:i/>
                <w:color w:val="000000"/>
                <w:sz w:val="22"/>
                <w:szCs w:val="22"/>
              </w:rPr>
              <w:t xml:space="preserve"> -</w:t>
            </w:r>
            <w:r w:rsidRPr="00E51724">
              <w:rPr>
                <w:rFonts w:cstheme="minorHAnsi"/>
                <w:bCs/>
                <w:color w:val="000000"/>
                <w:sz w:val="22"/>
                <w:szCs w:val="22"/>
              </w:rPr>
              <w:t xml:space="preserve"> </w:t>
            </w:r>
            <w:r w:rsidRPr="00E51724">
              <w:rPr>
                <w:rFonts w:eastAsia="Times New Roman" w:cstheme="minorHAnsi"/>
                <w:bCs/>
                <w:color w:val="000000"/>
                <w:sz w:val="22"/>
                <w:szCs w:val="22"/>
              </w:rPr>
              <w:t xml:space="preserve">Niemieckim Urzędem ds. Patentów </w:t>
            </w:r>
            <w:r w:rsidRPr="00E51724">
              <w:rPr>
                <w:rFonts w:cstheme="minorHAnsi"/>
                <w:bCs/>
                <w:color w:val="000000"/>
                <w:sz w:val="22"/>
                <w:szCs w:val="22"/>
              </w:rPr>
              <w:t>i Znaków Towarowych) nr 38701324</w:t>
            </w:r>
          </w:p>
          <w:p w14:paraId="1201FBC4" w14:textId="77777777" w:rsidR="00E51724" w:rsidRPr="00E51724" w:rsidRDefault="00E51724" w:rsidP="00164F9D">
            <w:pPr>
              <w:pStyle w:val="Akapitzlist"/>
              <w:numPr>
                <w:ilvl w:val="0"/>
                <w:numId w:val="45"/>
              </w:numPr>
              <w:ind w:left="324" w:hanging="335"/>
              <w:rPr>
                <w:rFonts w:cstheme="minorHAnsi"/>
                <w:bCs/>
                <w:color w:val="000000"/>
                <w:sz w:val="22"/>
                <w:szCs w:val="22"/>
              </w:rPr>
            </w:pPr>
            <w:r w:rsidRPr="00E51724">
              <w:rPr>
                <w:rFonts w:cstheme="minorHAnsi"/>
                <w:bCs/>
                <w:color w:val="000000"/>
                <w:sz w:val="22"/>
                <w:szCs w:val="22"/>
              </w:rPr>
              <w:t>pełnomocnik przed UPC (</w:t>
            </w:r>
            <w:proofErr w:type="spellStart"/>
            <w:r w:rsidRPr="00E51724">
              <w:rPr>
                <w:rFonts w:cstheme="minorHAnsi"/>
                <w:bCs/>
                <w:i/>
                <w:color w:val="000000"/>
                <w:sz w:val="22"/>
                <w:szCs w:val="22"/>
              </w:rPr>
              <w:t>Unitary</w:t>
            </w:r>
            <w:proofErr w:type="spellEnd"/>
            <w:r w:rsidRPr="00E51724">
              <w:rPr>
                <w:rFonts w:cstheme="minorHAnsi"/>
                <w:bCs/>
                <w:i/>
                <w:color w:val="000000"/>
                <w:sz w:val="22"/>
                <w:szCs w:val="22"/>
              </w:rPr>
              <w:t xml:space="preserve"> Patent Court</w:t>
            </w:r>
            <w:r w:rsidRPr="00E51724">
              <w:rPr>
                <w:rFonts w:cstheme="minorHAnsi"/>
                <w:bCs/>
                <w:color w:val="000000"/>
                <w:sz w:val="22"/>
                <w:szCs w:val="22"/>
              </w:rPr>
              <w:t xml:space="preserve"> - Jednolitym Sądem Patentowym) AUTH_525119/2023</w:t>
            </w:r>
          </w:p>
          <w:p w14:paraId="71244B1E" w14:textId="77777777" w:rsidR="00E51724" w:rsidRPr="00E51724" w:rsidRDefault="00E51724" w:rsidP="00164F9D">
            <w:pPr>
              <w:pStyle w:val="Akapitzlist"/>
              <w:numPr>
                <w:ilvl w:val="0"/>
                <w:numId w:val="45"/>
              </w:numPr>
              <w:ind w:left="324" w:hanging="335"/>
              <w:rPr>
                <w:rFonts w:cstheme="minorHAnsi"/>
                <w:bCs/>
                <w:color w:val="000000"/>
                <w:sz w:val="22"/>
                <w:szCs w:val="22"/>
              </w:rPr>
            </w:pPr>
            <w:r w:rsidRPr="00E51724">
              <w:rPr>
                <w:rFonts w:cstheme="minorHAnsi"/>
                <w:bCs/>
                <w:color w:val="000000"/>
                <w:sz w:val="22"/>
                <w:szCs w:val="22"/>
              </w:rPr>
              <w:t>Prezes Polskiej Izby Rzeczników Patentowych w latach 2009-2013 i 2013-2017</w:t>
            </w:r>
          </w:p>
          <w:p w14:paraId="1862B197" w14:textId="77777777" w:rsidR="00E51724" w:rsidRPr="00E51724" w:rsidRDefault="00E51724" w:rsidP="00164F9D">
            <w:pPr>
              <w:pStyle w:val="Akapitzlist"/>
              <w:numPr>
                <w:ilvl w:val="0"/>
                <w:numId w:val="45"/>
              </w:numPr>
              <w:ind w:left="324" w:hanging="335"/>
              <w:rPr>
                <w:rFonts w:cstheme="minorHAnsi"/>
                <w:bCs/>
                <w:color w:val="000000"/>
                <w:sz w:val="22"/>
                <w:szCs w:val="22"/>
              </w:rPr>
            </w:pPr>
            <w:r w:rsidRPr="00E51724">
              <w:rPr>
                <w:rFonts w:cstheme="minorHAnsi"/>
                <w:bCs/>
                <w:color w:val="000000"/>
                <w:sz w:val="22"/>
                <w:szCs w:val="22"/>
              </w:rPr>
              <w:t>Prezes StoWI od 2023 r.</w:t>
            </w:r>
          </w:p>
          <w:p w14:paraId="1D43B2B8" w14:textId="77777777" w:rsidR="00E51724" w:rsidRPr="00E51724" w:rsidRDefault="00E51724" w:rsidP="00164F9D">
            <w:pPr>
              <w:rPr>
                <w:rFonts w:eastAsia="Calibri" w:cstheme="minorHAnsi"/>
                <w:bCs/>
                <w:color w:val="000000"/>
                <w:sz w:val="22"/>
                <w:szCs w:val="22"/>
              </w:rPr>
            </w:pPr>
          </w:p>
        </w:tc>
      </w:tr>
    </w:tbl>
    <w:p w14:paraId="3544F03F" w14:textId="77777777" w:rsidR="00E51724" w:rsidRPr="000420EF" w:rsidRDefault="00E51724" w:rsidP="00E51724">
      <w:pPr>
        <w:spacing w:after="0"/>
        <w:jc w:val="center"/>
        <w:rPr>
          <w:b/>
          <w:bCs/>
          <w:sz w:val="24"/>
          <w:szCs w:val="24"/>
        </w:rPr>
      </w:pPr>
      <w:r w:rsidRPr="000420EF">
        <w:rPr>
          <w:b/>
          <w:bCs/>
          <w:sz w:val="24"/>
          <w:szCs w:val="24"/>
        </w:rPr>
        <w:t>*</w:t>
      </w:r>
      <w:r>
        <w:rPr>
          <w:b/>
          <w:bCs/>
          <w:sz w:val="24"/>
          <w:szCs w:val="24"/>
        </w:rPr>
        <w:t xml:space="preserve"> </w:t>
      </w:r>
      <w:r w:rsidRPr="000420EF">
        <w:rPr>
          <w:b/>
          <w:bCs/>
          <w:sz w:val="24"/>
          <w:szCs w:val="24"/>
        </w:rPr>
        <w:t>*</w:t>
      </w:r>
      <w:r>
        <w:rPr>
          <w:b/>
          <w:bCs/>
          <w:sz w:val="24"/>
          <w:szCs w:val="24"/>
        </w:rPr>
        <w:t xml:space="preserve"> </w:t>
      </w:r>
      <w:r w:rsidRPr="000420EF">
        <w:rPr>
          <w:b/>
          <w:bCs/>
          <w:sz w:val="24"/>
          <w:szCs w:val="24"/>
        </w:rPr>
        <w:t>*</w:t>
      </w:r>
    </w:p>
    <w:p w14:paraId="667D598E" w14:textId="77777777" w:rsidR="00E51724" w:rsidRDefault="00E51724" w:rsidP="00EC584F">
      <w:pPr>
        <w:pStyle w:val="Akapitzlist"/>
        <w:ind w:left="567"/>
        <w:rPr>
          <w:b/>
          <w:bCs/>
          <w:sz w:val="24"/>
          <w:szCs w:val="24"/>
        </w:rPr>
      </w:pPr>
    </w:p>
    <w:p w14:paraId="0DF8DBE7" w14:textId="71E18928" w:rsidR="00972F3D" w:rsidRDefault="00A364F9" w:rsidP="00384ACE">
      <w:pPr>
        <w:pStyle w:val="Akapitzlist"/>
        <w:ind w:left="0"/>
        <w:rPr>
          <w:b/>
          <w:bCs/>
          <w:sz w:val="24"/>
          <w:szCs w:val="24"/>
        </w:rPr>
      </w:pPr>
      <w:bookmarkStart w:id="98" w:name="_Hlk170061159"/>
      <w:r>
        <w:rPr>
          <w:b/>
          <w:bCs/>
          <w:sz w:val="24"/>
          <w:szCs w:val="24"/>
        </w:rPr>
        <w:t xml:space="preserve">Uwagi Redakcji: </w:t>
      </w:r>
    </w:p>
    <w:p w14:paraId="7198454C" w14:textId="79A77076" w:rsidR="00C73C32" w:rsidRPr="00C73C32" w:rsidRDefault="00C73C32" w:rsidP="00384ACE">
      <w:pPr>
        <w:pStyle w:val="Akapitzlist"/>
        <w:ind w:left="0"/>
        <w:rPr>
          <w:b/>
          <w:bCs/>
          <w:sz w:val="26"/>
          <w:szCs w:val="26"/>
        </w:rPr>
      </w:pPr>
      <w:r w:rsidRPr="00C73C32">
        <w:rPr>
          <w:b/>
          <w:color w:val="2E74B5" w:themeColor="accent5" w:themeShade="BF"/>
          <w:sz w:val="24"/>
          <w:szCs w:val="24"/>
          <w:lang w:val="en-US"/>
        </w:rPr>
        <w:t>Editor's Note:</w:t>
      </w:r>
    </w:p>
    <w:p w14:paraId="3F8EA9D8" w14:textId="034FBDD9" w:rsidR="00806BDA" w:rsidRDefault="005D5C3D" w:rsidP="00384ACE">
      <w:pPr>
        <w:pStyle w:val="nrbrzegowy2"/>
        <w:numPr>
          <w:ilvl w:val="0"/>
          <w:numId w:val="78"/>
        </w:numPr>
        <w:ind w:left="0" w:hanging="851"/>
      </w:pPr>
      <w:r w:rsidRPr="00EC584F">
        <w:t>S</w:t>
      </w:r>
      <w:r w:rsidR="00CE1236" w:rsidRPr="00EC584F">
        <w:t>ą</w:t>
      </w:r>
      <w:r w:rsidRPr="00EC584F">
        <w:t>d Na</w:t>
      </w:r>
      <w:r w:rsidR="001C3D3E" w:rsidRPr="00EC584F">
        <w:t>j</w:t>
      </w:r>
      <w:r w:rsidRPr="00EC584F">
        <w:t>wyższy nie dostrzegł naruszenia zasad uczciwej konkurencji</w:t>
      </w:r>
      <w:r w:rsidR="00CE1236" w:rsidRPr="00EC584F">
        <w:t xml:space="preserve"> w działaniach pozwanego.</w:t>
      </w:r>
      <w:r w:rsidR="004314C4" w:rsidRPr="00EC584F">
        <w:t xml:space="preserve"> </w:t>
      </w:r>
    </w:p>
    <w:p w14:paraId="33478A50" w14:textId="70DF0C52" w:rsidR="00806BDA" w:rsidRPr="00806BDA" w:rsidRDefault="00806BDA" w:rsidP="00384ACE">
      <w:pPr>
        <w:pStyle w:val="nrbrzegowy2"/>
        <w:numPr>
          <w:ilvl w:val="0"/>
          <w:numId w:val="0"/>
        </w:numPr>
        <w:rPr>
          <w:color w:val="2E74B5" w:themeColor="accent5" w:themeShade="BF"/>
          <w:lang w:val="en-US"/>
        </w:rPr>
      </w:pPr>
      <w:r w:rsidRPr="00806BDA">
        <w:rPr>
          <w:color w:val="2E74B5" w:themeColor="accent5" w:themeShade="BF"/>
          <w:lang w:val="en-US"/>
        </w:rPr>
        <w:t xml:space="preserve">The Supreme Court did not find any violation of the </w:t>
      </w:r>
      <w:r w:rsidR="00586016" w:rsidRPr="003E2AE9">
        <w:rPr>
          <w:color w:val="2E74B5" w:themeColor="accent5" w:themeShade="BF"/>
          <w:lang w:val="en-US"/>
        </w:rPr>
        <w:t>rules</w:t>
      </w:r>
      <w:r w:rsidR="00586016" w:rsidRPr="00586016">
        <w:rPr>
          <w:b/>
          <w:bCs w:val="0"/>
          <w:color w:val="2E74B5" w:themeColor="accent5" w:themeShade="BF"/>
          <w:lang w:val="en-US"/>
        </w:rPr>
        <w:t xml:space="preserve"> </w:t>
      </w:r>
      <w:r w:rsidRPr="00806BDA">
        <w:rPr>
          <w:color w:val="2E74B5" w:themeColor="accent5" w:themeShade="BF"/>
          <w:lang w:val="en-US"/>
        </w:rPr>
        <w:t>of fair competition in the defendant's actions.</w:t>
      </w:r>
    </w:p>
    <w:p w14:paraId="028E4EC7" w14:textId="379F936C" w:rsidR="005D5C3D" w:rsidRDefault="00CE1236" w:rsidP="00384ACE">
      <w:pPr>
        <w:pStyle w:val="nrbrzegowy2"/>
        <w:numPr>
          <w:ilvl w:val="0"/>
          <w:numId w:val="78"/>
        </w:numPr>
        <w:ind w:left="0" w:hanging="851"/>
      </w:pPr>
      <w:r w:rsidRPr="00EC584F">
        <w:t>N</w:t>
      </w:r>
      <w:r w:rsidR="004314C4" w:rsidRPr="00EC584F">
        <w:t xml:space="preserve">atomiast </w:t>
      </w:r>
      <w:r w:rsidRPr="00EC584F">
        <w:t xml:space="preserve">zarówno Urząd Patentowy RP, jak i </w:t>
      </w:r>
      <w:r w:rsidR="004314C4" w:rsidRPr="00EC584F">
        <w:t>s</w:t>
      </w:r>
      <w:r w:rsidR="005D5C3D" w:rsidRPr="00EC584F">
        <w:t xml:space="preserve">ądy administracyjne </w:t>
      </w:r>
      <w:r w:rsidR="004314C4" w:rsidRPr="00EC584F">
        <w:t xml:space="preserve">podkreślały, </w:t>
      </w:r>
      <w:r w:rsidRPr="00EC584F">
        <w:t>ż</w:t>
      </w:r>
      <w:r w:rsidR="004314C4" w:rsidRPr="00EC584F">
        <w:t xml:space="preserve">e ustalenia </w:t>
      </w:r>
      <w:r w:rsidRPr="00EC584F">
        <w:t xml:space="preserve">SN </w:t>
      </w:r>
      <w:r w:rsidR="004314C4" w:rsidRPr="00EC584F">
        <w:t>nie wiążą</w:t>
      </w:r>
      <w:r w:rsidR="00586016">
        <w:t xml:space="preserve"> ich</w:t>
      </w:r>
      <w:r w:rsidRPr="00EC584F">
        <w:t>, ponieważ w tych instytucjach badana jest wyłącznie zdolność</w:t>
      </w:r>
      <w:r w:rsidR="00806BDA">
        <w:t xml:space="preserve"> ochronna znaku towarowego.</w:t>
      </w:r>
    </w:p>
    <w:p w14:paraId="08390D6F" w14:textId="2C9C48BD" w:rsidR="00C73C32" w:rsidRDefault="00C73C32" w:rsidP="00384ACE">
      <w:pPr>
        <w:pStyle w:val="nrbrzegowy2"/>
        <w:numPr>
          <w:ilvl w:val="0"/>
          <w:numId w:val="0"/>
        </w:numPr>
        <w:rPr>
          <w:color w:val="2E74B5" w:themeColor="accent5" w:themeShade="BF"/>
          <w:lang w:val="en-US"/>
        </w:rPr>
      </w:pPr>
      <w:r w:rsidRPr="00C73C32">
        <w:rPr>
          <w:color w:val="2E74B5" w:themeColor="accent5" w:themeShade="BF"/>
          <w:lang w:val="en-US"/>
        </w:rPr>
        <w:t>However, both the Polish Patent Office and administrative courts emphasized that the Supreme Court's findings are not binding, because in these institutions only the protective capacity of a trademark is examined.</w:t>
      </w:r>
    </w:p>
    <w:p w14:paraId="38A3B3AB" w14:textId="77777777" w:rsidR="00903633" w:rsidRPr="00F561D7" w:rsidRDefault="00903633" w:rsidP="00384ACE">
      <w:pPr>
        <w:pStyle w:val="nrbrzegowy2"/>
        <w:numPr>
          <w:ilvl w:val="0"/>
          <w:numId w:val="0"/>
        </w:numPr>
        <w:ind w:hanging="851"/>
        <w:rPr>
          <w:color w:val="2E74B5" w:themeColor="accent5" w:themeShade="BF"/>
          <w:sz w:val="10"/>
          <w:szCs w:val="6"/>
          <w:lang w:val="en-US"/>
        </w:rPr>
      </w:pPr>
    </w:p>
    <w:p w14:paraId="52D63F24" w14:textId="0034D70C" w:rsidR="00CE1236" w:rsidRPr="00F21BD8" w:rsidRDefault="00CE1236" w:rsidP="00384ACE">
      <w:pPr>
        <w:pStyle w:val="nrbrzegowy2"/>
        <w:ind w:left="0" w:hanging="851"/>
      </w:pPr>
      <w:r w:rsidRPr="00F21BD8">
        <w:t>Faktem jest, że obszary zainteresowania sądów powszechnych i administracyjnych nie pokrywa</w:t>
      </w:r>
      <w:r w:rsidR="00586016" w:rsidRPr="00F21BD8">
        <w:t>ją</w:t>
      </w:r>
      <w:r w:rsidRPr="00F21BD8">
        <w:t xml:space="preserve"> się, raczej można mówić o krzyżowaniu się </w:t>
      </w:r>
      <w:r w:rsidR="00586016" w:rsidRPr="00F21BD8">
        <w:t xml:space="preserve">ich </w:t>
      </w:r>
      <w:r w:rsidRPr="00F21BD8">
        <w:t xml:space="preserve">obszarów </w:t>
      </w:r>
      <w:r w:rsidR="00586016" w:rsidRPr="00F21BD8">
        <w:t>kompetencji</w:t>
      </w:r>
      <w:r w:rsidRPr="00F21BD8">
        <w:t xml:space="preserve">. </w:t>
      </w:r>
    </w:p>
    <w:p w14:paraId="6ACDAB3E" w14:textId="6FCF5676" w:rsidR="00C73C32" w:rsidRPr="00F21BD8" w:rsidRDefault="00C73C32" w:rsidP="00384ACE">
      <w:pPr>
        <w:pStyle w:val="nrbrzegowy2"/>
        <w:numPr>
          <w:ilvl w:val="0"/>
          <w:numId w:val="0"/>
        </w:numPr>
        <w:rPr>
          <w:color w:val="2E74B5" w:themeColor="accent5" w:themeShade="BF"/>
          <w:lang w:val="en-US"/>
        </w:rPr>
      </w:pPr>
      <w:r w:rsidRPr="00F21BD8">
        <w:rPr>
          <w:color w:val="2E74B5" w:themeColor="accent5" w:themeShade="BF"/>
          <w:lang w:val="en-US"/>
        </w:rPr>
        <w:lastRenderedPageBreak/>
        <w:t xml:space="preserve">The fact is that the areas of interest of common and administrative courts did not overlap; rather, we can talk about </w:t>
      </w:r>
      <w:r w:rsidR="00EE2B2B">
        <w:rPr>
          <w:color w:val="2E74B5" w:themeColor="accent5" w:themeShade="BF"/>
          <w:lang w:val="en-US"/>
        </w:rPr>
        <w:t>an intersection of their areas of competence</w:t>
      </w:r>
      <w:r w:rsidRPr="00F21BD8">
        <w:rPr>
          <w:color w:val="2E74B5" w:themeColor="accent5" w:themeShade="BF"/>
          <w:lang w:val="en-US"/>
        </w:rPr>
        <w:t>.</w:t>
      </w:r>
    </w:p>
    <w:p w14:paraId="75FA5634" w14:textId="7595D269" w:rsidR="00CE1236" w:rsidRPr="00F21BD8" w:rsidRDefault="00CE1236" w:rsidP="00384ACE">
      <w:pPr>
        <w:pStyle w:val="nrbrzegowy2"/>
        <w:ind w:left="0" w:hanging="851"/>
      </w:pPr>
      <w:r w:rsidRPr="00F21BD8">
        <w:t xml:space="preserve">Nie możemy </w:t>
      </w:r>
      <w:r w:rsidR="00586016" w:rsidRPr="00F21BD8">
        <w:t xml:space="preserve">jednak </w:t>
      </w:r>
      <w:r w:rsidRPr="00F21BD8">
        <w:t>mówić o wykluczaniu się obu zakresów</w:t>
      </w:r>
      <w:r w:rsidR="00CC43F5">
        <w:t xml:space="preserve"> ich działania</w:t>
      </w:r>
      <w:r w:rsidRPr="00F21BD8">
        <w:t>, tak jak nie można mówić o wykluczaniu się zakresu ochrony wynikającej</w:t>
      </w:r>
      <w:r w:rsidR="00586016" w:rsidRPr="00F21BD8">
        <w:t xml:space="preserve"> z</w:t>
      </w:r>
      <w:r w:rsidRPr="00F21BD8">
        <w:t xml:space="preserve"> zasad uczciwej konkurencji oraz zdolności ochronnej znaku towarowego</w:t>
      </w:r>
      <w:r w:rsidR="00F21BD8">
        <w:t>. S</w:t>
      </w:r>
      <w:r w:rsidRPr="00F21BD8">
        <w:t>przeczność z zasad</w:t>
      </w:r>
      <w:r w:rsidR="00586016" w:rsidRPr="00F21BD8">
        <w:t>ami</w:t>
      </w:r>
      <w:r w:rsidRPr="00F21BD8">
        <w:t xml:space="preserve"> uczciwej konkurencji jest jedną z przesłanek negatywnych zdolności ochronnej znaku towarowego.</w:t>
      </w:r>
    </w:p>
    <w:p w14:paraId="44FCA775" w14:textId="2DB328F8" w:rsidR="001B5FA2" w:rsidRPr="00F21BD8" w:rsidRDefault="001B5FA2" w:rsidP="00384ACE">
      <w:pPr>
        <w:pStyle w:val="nrbrzegowy2"/>
        <w:numPr>
          <w:ilvl w:val="0"/>
          <w:numId w:val="0"/>
        </w:numPr>
        <w:rPr>
          <w:color w:val="2E74B5" w:themeColor="accent5" w:themeShade="BF"/>
          <w:lang w:val="en-US"/>
        </w:rPr>
      </w:pPr>
      <w:r w:rsidRPr="001B5FA2">
        <w:rPr>
          <w:color w:val="2E74B5" w:themeColor="accent5" w:themeShade="BF"/>
          <w:lang w:val="en-US"/>
        </w:rPr>
        <w:t>We cannot talk about the exclusion of both scopes, just as we cannot talk about the exclusion of the scope of protection resulting from the principles of fair competition and the protective capacity of a trademark (contradiction with the principles of fair competition is one of the negative premises of the protective capacity of a trademark).</w:t>
      </w:r>
    </w:p>
    <w:p w14:paraId="070A213B" w14:textId="1C51C18F" w:rsidR="004314C4" w:rsidRDefault="00CA440A" w:rsidP="00384ACE">
      <w:pPr>
        <w:pStyle w:val="nrbrzegowy2"/>
        <w:ind w:left="0" w:hanging="851"/>
      </w:pPr>
      <w:r w:rsidRPr="00EC584F">
        <w:t>Obecnie w Polsce można zao</w:t>
      </w:r>
      <w:r w:rsidR="004314C4" w:rsidRPr="00EC584F">
        <w:t>bserw</w:t>
      </w:r>
      <w:r w:rsidRPr="00EC584F">
        <w:t xml:space="preserve">ować </w:t>
      </w:r>
      <w:r w:rsidR="004314C4" w:rsidRPr="00EC584F">
        <w:t>m</w:t>
      </w:r>
      <w:r w:rsidR="00CE1236" w:rsidRPr="00EC584F">
        <w:t>i</w:t>
      </w:r>
      <w:r w:rsidR="004314C4" w:rsidRPr="00EC584F">
        <w:t>a</w:t>
      </w:r>
      <w:r w:rsidR="00CE1236" w:rsidRPr="00EC584F">
        <w:t>ż</w:t>
      </w:r>
      <w:r w:rsidR="004314C4" w:rsidRPr="00EC584F">
        <w:t>dżącą przewag</w:t>
      </w:r>
      <w:r w:rsidR="00CE1236" w:rsidRPr="00EC584F">
        <w:t>ę</w:t>
      </w:r>
      <w:r w:rsidR="004314C4" w:rsidRPr="00EC584F">
        <w:t xml:space="preserve"> procedury nad ocenami merytorycznymi.</w:t>
      </w:r>
    </w:p>
    <w:p w14:paraId="65CF6F34" w14:textId="207C1969" w:rsidR="001B5FA2" w:rsidRDefault="001B5FA2" w:rsidP="00384ACE">
      <w:pPr>
        <w:pStyle w:val="nrbrzegowy2"/>
        <w:numPr>
          <w:ilvl w:val="0"/>
          <w:numId w:val="0"/>
        </w:numPr>
        <w:rPr>
          <w:color w:val="2E74B5" w:themeColor="accent5" w:themeShade="BF"/>
          <w:lang w:val="en-US"/>
        </w:rPr>
      </w:pPr>
      <w:r w:rsidRPr="001B5FA2">
        <w:rPr>
          <w:color w:val="2E74B5" w:themeColor="accent5" w:themeShade="BF"/>
          <w:lang w:val="en-US"/>
        </w:rPr>
        <w:t>Currently, in Poland, we can observe an overwhelming advantage of procedure over substantive assessments.</w:t>
      </w:r>
    </w:p>
    <w:p w14:paraId="5BAE9046" w14:textId="77777777" w:rsidR="00903633" w:rsidRPr="00F561D7" w:rsidRDefault="00903633" w:rsidP="00384ACE">
      <w:pPr>
        <w:pStyle w:val="nrbrzegowy2"/>
        <w:numPr>
          <w:ilvl w:val="0"/>
          <w:numId w:val="0"/>
        </w:numPr>
        <w:ind w:hanging="851"/>
        <w:rPr>
          <w:color w:val="2E74B5" w:themeColor="accent5" w:themeShade="BF"/>
          <w:sz w:val="10"/>
          <w:szCs w:val="6"/>
          <w:lang w:val="en-US"/>
        </w:rPr>
      </w:pPr>
    </w:p>
    <w:p w14:paraId="20109683" w14:textId="70F48795" w:rsidR="00CA440A" w:rsidRDefault="00CA440A" w:rsidP="00384ACE">
      <w:pPr>
        <w:pStyle w:val="nrbrzegowy2"/>
        <w:ind w:left="0" w:hanging="851"/>
      </w:pPr>
      <w:r w:rsidRPr="00EC584F">
        <w:t>Rezultat ilustruje następujący przykład</w:t>
      </w:r>
      <w:r w:rsidR="00276E59">
        <w:t>.</w:t>
      </w:r>
    </w:p>
    <w:p w14:paraId="6A676CE1" w14:textId="14E42D49" w:rsidR="000C2997" w:rsidRPr="000C2997" w:rsidRDefault="000C2997" w:rsidP="00384ACE">
      <w:pPr>
        <w:pStyle w:val="nrbrzegowy2"/>
        <w:numPr>
          <w:ilvl w:val="0"/>
          <w:numId w:val="0"/>
        </w:numPr>
        <w:rPr>
          <w:color w:val="2E74B5" w:themeColor="accent5" w:themeShade="BF"/>
          <w:lang w:val="en-US"/>
        </w:rPr>
      </w:pPr>
      <w:r w:rsidRPr="000C2997">
        <w:rPr>
          <w:color w:val="2E74B5" w:themeColor="accent5" w:themeShade="BF"/>
          <w:lang w:val="en-US"/>
        </w:rPr>
        <w:t>The result is illustrated by the following example</w:t>
      </w:r>
      <w:r w:rsidR="00384ACE">
        <w:rPr>
          <w:color w:val="2E74B5" w:themeColor="accent5" w:themeShade="BF"/>
          <w:lang w:val="en-US"/>
        </w:rPr>
        <w:t>.</w:t>
      </w:r>
    </w:p>
    <w:p w14:paraId="0B7B5111" w14:textId="4AAAC6E6" w:rsidR="00EC584F" w:rsidRDefault="00EC584F" w:rsidP="00384ACE">
      <w:pPr>
        <w:pStyle w:val="nrbrzegowy2"/>
        <w:numPr>
          <w:ilvl w:val="0"/>
          <w:numId w:val="0"/>
        </w:numPr>
        <w:ind w:hanging="851"/>
        <w:rPr>
          <w:b/>
          <w:color w:val="2E74B5" w:themeColor="accent5" w:themeShade="BF"/>
          <w:sz w:val="10"/>
          <w:szCs w:val="6"/>
          <w:lang w:val="en-US"/>
        </w:rPr>
      </w:pPr>
    </w:p>
    <w:p w14:paraId="69E4A9B6" w14:textId="5DA7AE31" w:rsidR="00276E59" w:rsidRPr="00276E59" w:rsidRDefault="00276E59" w:rsidP="00384ACE">
      <w:pPr>
        <w:pStyle w:val="nrbrzegowy2"/>
        <w:ind w:left="0" w:hanging="851"/>
        <w:rPr>
          <w:b/>
          <w:bCs w:val="0"/>
        </w:rPr>
      </w:pPr>
      <w:r w:rsidRPr="00276E59">
        <w:rPr>
          <w:b/>
          <w:bCs w:val="0"/>
        </w:rPr>
        <w:t>Przykład miażdżącej przewagi procedury nad ocenami merytorycznymi:</w:t>
      </w:r>
    </w:p>
    <w:p w14:paraId="044FADF2" w14:textId="7A9D14AB" w:rsidR="00276E59" w:rsidRPr="00F561D7" w:rsidRDefault="00276E59" w:rsidP="00384ACE">
      <w:pPr>
        <w:pStyle w:val="nrbrzegowy2"/>
        <w:numPr>
          <w:ilvl w:val="0"/>
          <w:numId w:val="0"/>
        </w:numPr>
        <w:rPr>
          <w:color w:val="2E74B5" w:themeColor="accent5" w:themeShade="BF"/>
          <w:lang w:val="en-US"/>
        </w:rPr>
      </w:pPr>
      <w:r w:rsidRPr="00F561D7">
        <w:rPr>
          <w:b/>
          <w:bCs w:val="0"/>
          <w:color w:val="2E74B5" w:themeColor="accent5" w:themeShade="BF"/>
          <w:lang w:val="en-US"/>
        </w:rPr>
        <w:t>The example of overwhelming advantage of procedure over substantive assessments</w:t>
      </w:r>
      <w:r w:rsidRPr="00F561D7">
        <w:rPr>
          <w:color w:val="2E74B5" w:themeColor="accent5" w:themeShade="BF"/>
          <w:lang w:val="en-US"/>
        </w:rPr>
        <w:t>:</w:t>
      </w:r>
    </w:p>
    <w:p w14:paraId="7900361D" w14:textId="77777777" w:rsidR="00276E59" w:rsidRDefault="00276E59" w:rsidP="00276E59">
      <w:pPr>
        <w:pStyle w:val="nrbrzegowy2"/>
        <w:numPr>
          <w:ilvl w:val="0"/>
          <w:numId w:val="0"/>
        </w:numPr>
        <w:ind w:left="502" w:hanging="360"/>
        <w:rPr>
          <w:b/>
          <w:color w:val="2E74B5" w:themeColor="accent5" w:themeShade="BF"/>
          <w:lang w:val="en-US"/>
        </w:rPr>
      </w:pPr>
    </w:p>
    <w:p w14:paraId="74C90E91" w14:textId="77777777" w:rsidR="001B5FA2" w:rsidRDefault="001B5FA2" w:rsidP="00276E59">
      <w:pPr>
        <w:pStyle w:val="nrbrzegowy2"/>
        <w:numPr>
          <w:ilvl w:val="0"/>
          <w:numId w:val="0"/>
        </w:numPr>
        <w:ind w:left="502" w:hanging="360"/>
        <w:rPr>
          <w:b/>
          <w:color w:val="2E74B5" w:themeColor="accent5" w:themeShade="BF"/>
          <w:lang w:val="en-US"/>
        </w:rPr>
      </w:pPr>
    </w:p>
    <w:bookmarkEnd w:id="98"/>
    <w:p w14:paraId="31665BD0" w14:textId="77777777" w:rsidR="001B5FA2" w:rsidRPr="00276E59" w:rsidRDefault="001B5FA2" w:rsidP="00276E59">
      <w:pPr>
        <w:pStyle w:val="nrbrzegowy2"/>
        <w:numPr>
          <w:ilvl w:val="0"/>
          <w:numId w:val="0"/>
        </w:numPr>
        <w:ind w:left="502" w:hanging="360"/>
        <w:rPr>
          <w:b/>
          <w:color w:val="2E74B5" w:themeColor="accent5" w:themeShade="BF"/>
          <w:lang w:val="en-US"/>
        </w:rPr>
      </w:pPr>
    </w:p>
    <w:p w14:paraId="29124F43" w14:textId="3DA0D844" w:rsidR="00903633" w:rsidRDefault="00903633" w:rsidP="00384ACE">
      <w:pPr>
        <w:jc w:val="center"/>
        <w:rPr>
          <w:b/>
          <w:bCs/>
          <w:sz w:val="24"/>
          <w:szCs w:val="24"/>
        </w:rPr>
      </w:pPr>
      <w:r w:rsidRPr="004035E4">
        <w:rPr>
          <w:b/>
          <w:bCs/>
          <w:sz w:val="24"/>
          <w:szCs w:val="24"/>
        </w:rPr>
        <w:t xml:space="preserve">Pytanie, czy </w:t>
      </w:r>
      <w:r>
        <w:rPr>
          <w:b/>
          <w:bCs/>
          <w:sz w:val="24"/>
          <w:szCs w:val="24"/>
        </w:rPr>
        <w:t>procedura</w:t>
      </w:r>
      <w:r w:rsidR="00EE2B2B">
        <w:rPr>
          <w:b/>
          <w:bCs/>
          <w:sz w:val="24"/>
          <w:szCs w:val="24"/>
        </w:rPr>
        <w:t>,</w:t>
      </w:r>
      <w:r>
        <w:rPr>
          <w:b/>
          <w:bCs/>
          <w:sz w:val="24"/>
          <w:szCs w:val="24"/>
        </w:rPr>
        <w:t xml:space="preserve"> jaką stosują </w:t>
      </w:r>
      <w:r w:rsidRPr="004035E4">
        <w:rPr>
          <w:b/>
          <w:bCs/>
          <w:sz w:val="24"/>
          <w:szCs w:val="24"/>
        </w:rPr>
        <w:t>polskie sądy administracyjne</w:t>
      </w:r>
      <w:r w:rsidR="00EE2B2B">
        <w:rPr>
          <w:b/>
          <w:bCs/>
          <w:sz w:val="24"/>
          <w:szCs w:val="24"/>
        </w:rPr>
        <w:t>,</w:t>
      </w:r>
      <w:r w:rsidRPr="004035E4">
        <w:rPr>
          <w:b/>
          <w:bCs/>
          <w:sz w:val="24"/>
          <w:szCs w:val="24"/>
        </w:rPr>
        <w:t xml:space="preserve"> </w:t>
      </w:r>
      <w:r>
        <w:rPr>
          <w:b/>
          <w:bCs/>
          <w:sz w:val="24"/>
          <w:szCs w:val="24"/>
        </w:rPr>
        <w:t xml:space="preserve">jest </w:t>
      </w:r>
      <w:r w:rsidRPr="004035E4">
        <w:rPr>
          <w:b/>
          <w:bCs/>
          <w:sz w:val="24"/>
          <w:szCs w:val="24"/>
        </w:rPr>
        <w:t>przystosowan</w:t>
      </w:r>
      <w:r>
        <w:rPr>
          <w:b/>
          <w:bCs/>
          <w:sz w:val="24"/>
          <w:szCs w:val="24"/>
        </w:rPr>
        <w:t>a</w:t>
      </w:r>
      <w:r w:rsidR="00384ACE">
        <w:rPr>
          <w:b/>
          <w:bCs/>
          <w:sz w:val="24"/>
          <w:szCs w:val="24"/>
        </w:rPr>
        <w:t xml:space="preserve"> </w:t>
      </w:r>
      <w:r w:rsidRPr="004035E4">
        <w:rPr>
          <w:b/>
          <w:bCs/>
          <w:sz w:val="24"/>
          <w:szCs w:val="24"/>
        </w:rPr>
        <w:t>do orzekania w sprawach z zakresu prawa własności przemysłowej</w:t>
      </w:r>
      <w:r w:rsidR="00EE2B2B">
        <w:rPr>
          <w:b/>
          <w:bCs/>
          <w:sz w:val="24"/>
          <w:szCs w:val="24"/>
        </w:rPr>
        <w:t xml:space="preserve"> -</w:t>
      </w:r>
      <w:r w:rsidRPr="004035E4">
        <w:rPr>
          <w:b/>
          <w:bCs/>
          <w:sz w:val="24"/>
          <w:szCs w:val="24"/>
        </w:rPr>
        <w:t xml:space="preserve"> </w:t>
      </w:r>
      <w:r>
        <w:rPr>
          <w:b/>
          <w:bCs/>
          <w:sz w:val="24"/>
          <w:szCs w:val="24"/>
        </w:rPr>
        <w:t>po</w:t>
      </w:r>
      <w:r w:rsidRPr="004035E4">
        <w:rPr>
          <w:b/>
          <w:bCs/>
          <w:sz w:val="24"/>
          <w:szCs w:val="24"/>
        </w:rPr>
        <w:t>stawion</w:t>
      </w:r>
      <w:r>
        <w:rPr>
          <w:b/>
          <w:bCs/>
          <w:sz w:val="24"/>
          <w:szCs w:val="24"/>
        </w:rPr>
        <w:t>e</w:t>
      </w:r>
      <w:r w:rsidRPr="004035E4">
        <w:rPr>
          <w:b/>
          <w:bCs/>
          <w:sz w:val="24"/>
          <w:szCs w:val="24"/>
        </w:rPr>
        <w:t xml:space="preserve"> </w:t>
      </w:r>
      <w:r>
        <w:rPr>
          <w:b/>
          <w:bCs/>
          <w:sz w:val="24"/>
          <w:szCs w:val="24"/>
        </w:rPr>
        <w:br/>
      </w:r>
      <w:r w:rsidRPr="004035E4">
        <w:rPr>
          <w:b/>
          <w:bCs/>
          <w:sz w:val="24"/>
          <w:szCs w:val="24"/>
        </w:rPr>
        <w:t>na tle historii znaku towarowego</w:t>
      </w:r>
      <w:r w:rsidR="00EE2B2B">
        <w:rPr>
          <w:b/>
          <w:bCs/>
          <w:sz w:val="24"/>
          <w:szCs w:val="24"/>
        </w:rPr>
        <w:t>:</w:t>
      </w:r>
    </w:p>
    <w:p w14:paraId="08424E1E" w14:textId="5ED2CFC4" w:rsidR="00EE2B2B" w:rsidRDefault="00903633" w:rsidP="00384ACE">
      <w:pPr>
        <w:spacing w:after="0"/>
        <w:jc w:val="center"/>
        <w:rPr>
          <w:b/>
          <w:bCs/>
          <w:color w:val="2E74B5" w:themeColor="accent5" w:themeShade="BF"/>
          <w:sz w:val="24"/>
          <w:szCs w:val="24"/>
          <w:lang w:val="en-US"/>
        </w:rPr>
      </w:pPr>
      <w:r w:rsidRPr="00F561D7">
        <w:rPr>
          <w:b/>
          <w:bCs/>
          <w:color w:val="2E74B5" w:themeColor="accent5" w:themeShade="BF"/>
          <w:sz w:val="24"/>
          <w:szCs w:val="24"/>
          <w:lang w:val="en-US"/>
        </w:rPr>
        <w:t>The question is whether the procedure used by Polish administrative courts is adapted to adjudicating on industrial property law cases</w:t>
      </w:r>
      <w:r w:rsidR="00EE2B2B">
        <w:rPr>
          <w:b/>
          <w:bCs/>
          <w:color w:val="2E74B5" w:themeColor="accent5" w:themeShade="BF"/>
          <w:sz w:val="24"/>
          <w:szCs w:val="24"/>
          <w:lang w:val="en-US"/>
        </w:rPr>
        <w:t xml:space="preserve"> -</w:t>
      </w:r>
    </w:p>
    <w:p w14:paraId="346E4AE0" w14:textId="1AFA1D4A" w:rsidR="00903633" w:rsidRPr="00F561D7" w:rsidRDefault="00EE2B2B" w:rsidP="00EE2B2B">
      <w:pPr>
        <w:spacing w:after="0"/>
        <w:ind w:firstLine="567"/>
        <w:jc w:val="center"/>
        <w:rPr>
          <w:b/>
          <w:bCs/>
          <w:color w:val="2E74B5" w:themeColor="accent5" w:themeShade="BF"/>
          <w:sz w:val="24"/>
          <w:szCs w:val="24"/>
          <w:lang w:val="en-US"/>
        </w:rPr>
      </w:pPr>
      <w:r>
        <w:rPr>
          <w:b/>
          <w:bCs/>
          <w:color w:val="2E74B5" w:themeColor="accent5" w:themeShade="BF"/>
          <w:sz w:val="24"/>
          <w:szCs w:val="24"/>
          <w:lang w:val="en-US"/>
        </w:rPr>
        <w:t xml:space="preserve">asked on the base of </w:t>
      </w:r>
      <w:r w:rsidR="00903633" w:rsidRPr="00F561D7">
        <w:rPr>
          <w:b/>
          <w:bCs/>
          <w:color w:val="2E74B5" w:themeColor="accent5" w:themeShade="BF"/>
          <w:sz w:val="24"/>
          <w:szCs w:val="24"/>
          <w:lang w:val="en-US"/>
        </w:rPr>
        <w:t>the background of the history of the trademark:</w:t>
      </w:r>
    </w:p>
    <w:p w14:paraId="6F62F9CF" w14:textId="77777777" w:rsidR="00F561D7" w:rsidRPr="00B7601C" w:rsidRDefault="00F561D7" w:rsidP="00903633">
      <w:pPr>
        <w:jc w:val="center"/>
        <w:rPr>
          <w:sz w:val="24"/>
          <w:szCs w:val="24"/>
          <w:lang w:val="en-US"/>
        </w:rPr>
      </w:pPr>
    </w:p>
    <w:p w14:paraId="3E779156" w14:textId="33CA3513" w:rsidR="00903633" w:rsidRDefault="00903633" w:rsidP="00903633">
      <w:pPr>
        <w:jc w:val="center"/>
        <w:rPr>
          <w:sz w:val="24"/>
          <w:szCs w:val="24"/>
        </w:rPr>
      </w:pPr>
      <w:r w:rsidRPr="004035E4">
        <w:rPr>
          <w:noProof/>
          <w:sz w:val="24"/>
          <w:szCs w:val="24"/>
        </w:rPr>
        <w:drawing>
          <wp:inline distT="0" distB="0" distL="0" distR="0" wp14:anchorId="21D39B70" wp14:editId="4DFECA43">
            <wp:extent cx="1685925" cy="1708716"/>
            <wp:effectExtent l="0" t="0" r="0" b="6350"/>
            <wp:docPr id="687394283" name="Obraz 1" descr="Obraz zawierający tekst, plakat, książka, kwi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19109" name="Obraz 1" descr="Obraz zawierający tekst, plakat, książka, kwiat&#10;&#10;Opis wygenerowany automatycznie"/>
                    <pic:cNvPicPr>
                      <a:picLocks noChangeAspect="1" noChangeArrowheads="1"/>
                    </pic:cNvPicPr>
                  </pic:nvPicPr>
                  <pic:blipFill rotWithShape="1">
                    <a:blip r:embed="rId128">
                      <a:extLst>
                        <a:ext uri="{28A0092B-C50C-407E-A947-70E740481C1C}">
                          <a14:useLocalDpi xmlns:a14="http://schemas.microsoft.com/office/drawing/2010/main" val="0"/>
                        </a:ext>
                      </a:extLst>
                    </a:blip>
                    <a:srcRect l="4815" t="4213" r="6178" b="5577"/>
                    <a:stretch/>
                  </pic:blipFill>
                  <pic:spPr bwMode="auto">
                    <a:xfrm>
                      <a:off x="0" y="0"/>
                      <a:ext cx="1720526" cy="1743785"/>
                    </a:xfrm>
                    <a:prstGeom prst="rect">
                      <a:avLst/>
                    </a:prstGeom>
                    <a:noFill/>
                    <a:ln>
                      <a:noFill/>
                    </a:ln>
                    <a:extLst>
                      <a:ext uri="{53640926-AAD7-44D8-BBD7-CCE9431645EC}">
                        <a14:shadowObscured xmlns:a14="http://schemas.microsoft.com/office/drawing/2010/main"/>
                      </a:ext>
                    </a:extLst>
                  </pic:spPr>
                </pic:pic>
              </a:graphicData>
            </a:graphic>
          </wp:inline>
        </w:drawing>
      </w:r>
    </w:p>
    <w:p w14:paraId="0C0F5B79" w14:textId="77777777" w:rsidR="00903633" w:rsidRPr="00F561D7" w:rsidRDefault="00903633" w:rsidP="00903633">
      <w:pPr>
        <w:jc w:val="center"/>
        <w:rPr>
          <w:sz w:val="6"/>
          <w:szCs w:val="6"/>
        </w:rPr>
      </w:pPr>
    </w:p>
    <w:p w14:paraId="4434F285" w14:textId="77777777" w:rsidR="00903633" w:rsidRPr="004035E4" w:rsidRDefault="00903633" w:rsidP="00903633">
      <w:pPr>
        <w:spacing w:line="240" w:lineRule="auto"/>
        <w:ind w:firstLine="567"/>
        <w:jc w:val="both"/>
        <w:rPr>
          <w:sz w:val="2"/>
          <w:szCs w:val="2"/>
        </w:rPr>
      </w:pPr>
    </w:p>
    <w:p w14:paraId="3E48AFAF" w14:textId="77777777" w:rsidR="00903633" w:rsidRPr="004035E4" w:rsidRDefault="00903633" w:rsidP="00384ACE">
      <w:pPr>
        <w:pStyle w:val="nrbrzegowy2"/>
        <w:numPr>
          <w:ilvl w:val="0"/>
          <w:numId w:val="81"/>
        </w:numPr>
        <w:ind w:left="0" w:hanging="851"/>
      </w:pPr>
      <w:r w:rsidRPr="004035E4">
        <w:t xml:space="preserve">Wtłoczenie w ramy sądownictwa administracyjnego spraw </w:t>
      </w:r>
      <w:r>
        <w:t xml:space="preserve">z </w:t>
      </w:r>
      <w:r w:rsidRPr="004035E4">
        <w:t xml:space="preserve">zakresu własności przemysłowej podległych obszarowi działania Urzędu Patentowego RP, ze wszystkimi </w:t>
      </w:r>
      <w:r>
        <w:t xml:space="preserve">mankamentami </w:t>
      </w:r>
      <w:r w:rsidRPr="004035E4">
        <w:t>tego postępowania ograniczającego się tylko do sprawdzenia zgodności z prawem orzeczenia wydanego przez Urząd Patentowy RP (jak podkreśla się nieustannie w wyrokach tych sądów</w:t>
      </w:r>
      <w:r>
        <w:t>,</w:t>
      </w:r>
      <w:r w:rsidRPr="004035E4">
        <w:t xml:space="preserve"> ograniczają się one </w:t>
      </w:r>
      <w:r>
        <w:t xml:space="preserve">do </w:t>
      </w:r>
      <w:r w:rsidRPr="004035E4">
        <w:t>analizy: „</w:t>
      </w:r>
      <w:r w:rsidRPr="0030504A">
        <w:rPr>
          <w:b/>
          <w:i/>
          <w:iCs/>
        </w:rPr>
        <w:t>uchybień przepisom postępowania administracyjnego</w:t>
      </w:r>
      <w:r w:rsidRPr="004035E4">
        <w:t xml:space="preserve">”) - pozbawia w istocie strony możliwości dwuinstancyjnego rozpoznania sprawy pod względem </w:t>
      </w:r>
      <w:r w:rsidRPr="004035E4">
        <w:lastRenderedPageBreak/>
        <w:t xml:space="preserve">merytorycznym, a jak widać ani nie przyspiesza, ani też nie umożliwia realizacji nakazów wynikających z treści </w:t>
      </w:r>
      <w:r w:rsidRPr="0030504A">
        <w:rPr>
          <w:b/>
        </w:rPr>
        <w:t>art. 176 ust. 1 Konstytucji</w:t>
      </w:r>
      <w:r w:rsidRPr="004035E4">
        <w:t xml:space="preserve">. </w:t>
      </w:r>
    </w:p>
    <w:p w14:paraId="067E50D6" w14:textId="77777777" w:rsidR="00E935F8" w:rsidRDefault="00903633" w:rsidP="00384ACE">
      <w:pPr>
        <w:pStyle w:val="nrbrzegowy2"/>
        <w:ind w:left="0" w:hanging="851"/>
      </w:pPr>
      <w:r w:rsidRPr="004035E4">
        <w:t xml:space="preserve">W sprawie ww. znaku towarowego KUCHAREK </w:t>
      </w:r>
      <w:r w:rsidRPr="004035E4">
        <w:rPr>
          <w:b/>
        </w:rPr>
        <w:t>R.111073</w:t>
      </w:r>
      <w:r w:rsidRPr="004035E4">
        <w:t xml:space="preserve"> </w:t>
      </w:r>
      <w:r w:rsidRPr="004035E4">
        <w:rPr>
          <w:b/>
        </w:rPr>
        <w:t>od roku 1999 toczy się</w:t>
      </w:r>
      <w:r w:rsidRPr="004035E4">
        <w:t xml:space="preserve"> postępowanie, o którym Urząd Patentowy RP </w:t>
      </w:r>
      <w:r w:rsidRPr="004035E4">
        <w:rPr>
          <w:spacing w:val="30"/>
        </w:rPr>
        <w:t>nie informuje</w:t>
      </w:r>
      <w:r w:rsidRPr="004035E4">
        <w:t xml:space="preserve"> na </w:t>
      </w:r>
      <w:r>
        <w:t xml:space="preserve">urzędowych </w:t>
      </w:r>
      <w:r w:rsidRPr="004035E4">
        <w:t>stronach internetowych</w:t>
      </w:r>
      <w:r>
        <w:t>,</w:t>
      </w:r>
      <w:r w:rsidRPr="004035E4">
        <w:t xml:space="preserve"> </w:t>
      </w:r>
      <w:r>
        <w:t xml:space="preserve">poprzestając opisaniu stanu prawnego </w:t>
      </w:r>
      <w:r w:rsidRPr="004035E4">
        <w:t>znaku towarowego</w:t>
      </w:r>
      <w:r>
        <w:t>: „</w:t>
      </w:r>
      <w:r>
        <w:rPr>
          <w:i/>
          <w:iCs/>
        </w:rPr>
        <w:t>udzielenie prawa</w:t>
      </w:r>
      <w:r>
        <w:t>”</w:t>
      </w:r>
      <w:r w:rsidRPr="004035E4">
        <w:t>.</w:t>
      </w:r>
    </w:p>
    <w:p w14:paraId="65344FE3" w14:textId="66026F8D" w:rsidR="00903633" w:rsidRPr="00E935F8" w:rsidRDefault="00903633" w:rsidP="00384ACE">
      <w:pPr>
        <w:pStyle w:val="nrbrzegowy2"/>
        <w:ind w:left="0" w:hanging="851"/>
      </w:pPr>
      <w:r w:rsidRPr="00E935F8">
        <w:rPr>
          <w:szCs w:val="24"/>
        </w:rPr>
        <w:t>Tymczasem kilkukrotnie wydawano decyzję o unieważnieniu prawa ochronnego na ten znak towarowy, a także kilkukrotnie zaś je uchylano:</w:t>
      </w:r>
    </w:p>
    <w:p w14:paraId="22E99FB1" w14:textId="77777777" w:rsidR="00903633" w:rsidRPr="004035E4" w:rsidRDefault="00903633" w:rsidP="00903633">
      <w:pPr>
        <w:spacing w:after="0" w:line="240" w:lineRule="auto"/>
        <w:jc w:val="both"/>
        <w:rPr>
          <w:sz w:val="10"/>
          <w:szCs w:val="10"/>
        </w:rPr>
      </w:pPr>
    </w:p>
    <w:p w14:paraId="77A0162D"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 xml:space="preserve">W dniu </w:t>
      </w:r>
      <w:r w:rsidRPr="004035E4">
        <w:rPr>
          <w:rFonts w:eastAsia="Times New Roman"/>
          <w:b/>
          <w:bCs/>
          <w:sz w:val="24"/>
          <w:szCs w:val="24"/>
        </w:rPr>
        <w:t>27.10.1999</w:t>
      </w:r>
      <w:r w:rsidRPr="004035E4">
        <w:rPr>
          <w:rFonts w:eastAsia="Times New Roman"/>
          <w:sz w:val="24"/>
          <w:szCs w:val="24"/>
        </w:rPr>
        <w:t xml:space="preserve"> r. PODRAVKA </w:t>
      </w:r>
      <w:proofErr w:type="spellStart"/>
      <w:r w:rsidRPr="004035E4">
        <w:rPr>
          <w:rFonts w:eastAsia="Times New Roman"/>
          <w:sz w:val="24"/>
          <w:szCs w:val="24"/>
        </w:rPr>
        <w:t>Prehrambena</w:t>
      </w:r>
      <w:proofErr w:type="spellEnd"/>
      <w:r w:rsidRPr="004035E4">
        <w:rPr>
          <w:rFonts w:eastAsia="Times New Roman"/>
          <w:sz w:val="24"/>
          <w:szCs w:val="24"/>
        </w:rPr>
        <w:t xml:space="preserve"> </w:t>
      </w:r>
      <w:proofErr w:type="spellStart"/>
      <w:r w:rsidRPr="004035E4">
        <w:rPr>
          <w:rFonts w:eastAsia="Times New Roman"/>
          <w:sz w:val="24"/>
          <w:szCs w:val="24"/>
        </w:rPr>
        <w:t>Industrija</w:t>
      </w:r>
      <w:proofErr w:type="spellEnd"/>
      <w:r w:rsidRPr="004035E4">
        <w:rPr>
          <w:rFonts w:eastAsia="Times New Roman"/>
          <w:sz w:val="24"/>
          <w:szCs w:val="24"/>
        </w:rPr>
        <w:t xml:space="preserve"> </w:t>
      </w:r>
      <w:proofErr w:type="spellStart"/>
      <w:r w:rsidRPr="004035E4">
        <w:rPr>
          <w:rFonts w:eastAsia="Times New Roman"/>
          <w:sz w:val="24"/>
          <w:szCs w:val="24"/>
        </w:rPr>
        <w:t>d.d</w:t>
      </w:r>
      <w:proofErr w:type="spellEnd"/>
      <w:r w:rsidRPr="004035E4">
        <w:rPr>
          <w:rFonts w:eastAsia="Times New Roman"/>
          <w:sz w:val="24"/>
          <w:szCs w:val="24"/>
        </w:rPr>
        <w:t>.</w:t>
      </w:r>
      <w:r w:rsidRPr="004035E4">
        <w:rPr>
          <w:rFonts w:eastAsia="Times New Roman"/>
          <w:b/>
          <w:bCs/>
          <w:sz w:val="24"/>
          <w:szCs w:val="24"/>
        </w:rPr>
        <w:t xml:space="preserve"> wystąpiła do Urzędu</w:t>
      </w:r>
      <w:r w:rsidRPr="004035E4">
        <w:rPr>
          <w:rFonts w:eastAsia="Times New Roman"/>
          <w:sz w:val="24"/>
          <w:szCs w:val="24"/>
        </w:rPr>
        <w:t xml:space="preserve"> Patentowego </w:t>
      </w:r>
      <w:r w:rsidRPr="004035E4">
        <w:rPr>
          <w:rFonts w:eastAsia="Times New Roman"/>
          <w:b/>
          <w:bCs/>
          <w:sz w:val="24"/>
          <w:szCs w:val="24"/>
        </w:rPr>
        <w:t>z wnioskiem o unieważnienie</w:t>
      </w:r>
      <w:r w:rsidRPr="004035E4">
        <w:rPr>
          <w:rFonts w:eastAsia="Times New Roman"/>
          <w:sz w:val="24"/>
          <w:szCs w:val="24"/>
        </w:rPr>
        <w:t xml:space="preserve"> prawa z rejestracji </w:t>
      </w:r>
      <w:r w:rsidRPr="004035E4">
        <w:rPr>
          <w:rFonts w:eastAsia="Times New Roman"/>
          <w:b/>
          <w:bCs/>
          <w:sz w:val="24"/>
          <w:szCs w:val="24"/>
        </w:rPr>
        <w:t>znaku towarowego</w:t>
      </w:r>
      <w:r w:rsidRPr="004035E4">
        <w:rPr>
          <w:rFonts w:eastAsia="Times New Roman"/>
          <w:sz w:val="24"/>
          <w:szCs w:val="24"/>
        </w:rPr>
        <w:t xml:space="preserve"> słowno-graficznego z napisem KUCHAREK R.111073.</w:t>
      </w:r>
    </w:p>
    <w:p w14:paraId="537FA41F"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 xml:space="preserve">W dniu </w:t>
      </w:r>
      <w:r w:rsidRPr="004035E4">
        <w:rPr>
          <w:rFonts w:eastAsia="Times New Roman"/>
          <w:b/>
          <w:bCs/>
          <w:sz w:val="24"/>
          <w:szCs w:val="24"/>
        </w:rPr>
        <w:t>09.05.2000</w:t>
      </w:r>
      <w:r w:rsidRPr="004035E4">
        <w:rPr>
          <w:rFonts w:eastAsia="Times New Roman"/>
          <w:sz w:val="24"/>
          <w:szCs w:val="24"/>
        </w:rPr>
        <w:t xml:space="preserve">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Sp. 244/99</w:t>
      </w:r>
      <w:r w:rsidRPr="004035E4">
        <w:rPr>
          <w:rFonts w:eastAsia="Times New Roman"/>
          <w:sz w:val="24"/>
          <w:szCs w:val="24"/>
        </w:rPr>
        <w:t xml:space="preserve">) </w:t>
      </w:r>
      <w:r w:rsidRPr="004035E4">
        <w:rPr>
          <w:b/>
          <w:sz w:val="24"/>
          <w:szCs w:val="24"/>
        </w:rPr>
        <w:t>Urząd Patentowy RP</w:t>
      </w:r>
      <w:r w:rsidRPr="004035E4">
        <w:rPr>
          <w:bCs/>
          <w:sz w:val="24"/>
          <w:szCs w:val="24"/>
        </w:rPr>
        <w:t xml:space="preserve"> podjął decyzję</w:t>
      </w:r>
      <w:r w:rsidRPr="004035E4">
        <w:rPr>
          <w:sz w:val="24"/>
          <w:szCs w:val="24"/>
        </w:rPr>
        <w:t xml:space="preserve">, którą odmówił unieważnienia znaku towarowego KUCHAREK </w:t>
      </w:r>
      <w:r w:rsidRPr="004035E4">
        <w:rPr>
          <w:b/>
          <w:bCs/>
          <w:sz w:val="24"/>
          <w:szCs w:val="24"/>
        </w:rPr>
        <w:t>R.111073</w:t>
      </w:r>
      <w:r w:rsidRPr="004035E4">
        <w:rPr>
          <w:sz w:val="24"/>
          <w:szCs w:val="24"/>
        </w:rPr>
        <w:t>.</w:t>
      </w:r>
    </w:p>
    <w:p w14:paraId="62C82921" w14:textId="77777777" w:rsidR="00903633" w:rsidRPr="00E806DD" w:rsidRDefault="00903633" w:rsidP="00384ACE">
      <w:pPr>
        <w:pStyle w:val="Akapitzlist"/>
        <w:numPr>
          <w:ilvl w:val="0"/>
          <w:numId w:val="79"/>
        </w:numPr>
        <w:ind w:left="851" w:hanging="567"/>
        <w:jc w:val="both"/>
        <w:rPr>
          <w:rFonts w:eastAsia="Times New Roman"/>
          <w:bCs/>
          <w:i/>
          <w:iCs/>
          <w:sz w:val="24"/>
          <w:szCs w:val="24"/>
        </w:rPr>
      </w:pPr>
      <w:r w:rsidRPr="004035E4">
        <w:rPr>
          <w:b/>
          <w:sz w:val="24"/>
          <w:szCs w:val="24"/>
        </w:rPr>
        <w:t xml:space="preserve">W wyniku odwołania </w:t>
      </w:r>
      <w:r w:rsidRPr="004035E4">
        <w:rPr>
          <w:bCs/>
          <w:sz w:val="24"/>
          <w:szCs w:val="24"/>
        </w:rPr>
        <w:t>sprawa</w:t>
      </w:r>
      <w:r w:rsidRPr="004035E4">
        <w:rPr>
          <w:b/>
          <w:sz w:val="24"/>
          <w:szCs w:val="24"/>
        </w:rPr>
        <w:t xml:space="preserve"> </w:t>
      </w:r>
      <w:r w:rsidRPr="004035E4">
        <w:rPr>
          <w:bCs/>
          <w:sz w:val="24"/>
          <w:szCs w:val="24"/>
        </w:rPr>
        <w:t xml:space="preserve">zaczęła być rozpatrywana </w:t>
      </w:r>
      <w:r w:rsidRPr="004035E4">
        <w:rPr>
          <w:b/>
          <w:bCs/>
          <w:sz w:val="24"/>
          <w:szCs w:val="24"/>
        </w:rPr>
        <w:t>przez Komisj</w:t>
      </w:r>
      <w:r>
        <w:rPr>
          <w:b/>
          <w:bCs/>
          <w:sz w:val="24"/>
          <w:szCs w:val="24"/>
        </w:rPr>
        <w:t>ę</w:t>
      </w:r>
      <w:r w:rsidRPr="004035E4">
        <w:rPr>
          <w:b/>
          <w:bCs/>
          <w:sz w:val="24"/>
          <w:szCs w:val="24"/>
        </w:rPr>
        <w:t xml:space="preserve"> Odwoławczą</w:t>
      </w:r>
      <w:r w:rsidRPr="004035E4">
        <w:rPr>
          <w:sz w:val="24"/>
          <w:szCs w:val="24"/>
        </w:rPr>
        <w:t xml:space="preserve"> </w:t>
      </w:r>
      <w:r w:rsidRPr="004035E4">
        <w:rPr>
          <w:b/>
          <w:sz w:val="24"/>
          <w:szCs w:val="24"/>
        </w:rPr>
        <w:t xml:space="preserve">przy Urzędzie Patentowym RP </w:t>
      </w:r>
      <w:r w:rsidRPr="004035E4">
        <w:rPr>
          <w:bCs/>
          <w:sz w:val="24"/>
          <w:szCs w:val="24"/>
        </w:rPr>
        <w:t xml:space="preserve">sygnatura akt </w:t>
      </w:r>
      <w:proofErr w:type="spellStart"/>
      <w:r w:rsidRPr="004035E4">
        <w:rPr>
          <w:b/>
          <w:sz w:val="24"/>
          <w:szCs w:val="24"/>
        </w:rPr>
        <w:t>Odw</w:t>
      </w:r>
      <w:proofErr w:type="spellEnd"/>
      <w:r w:rsidRPr="004035E4">
        <w:rPr>
          <w:b/>
          <w:sz w:val="24"/>
          <w:szCs w:val="24"/>
        </w:rPr>
        <w:t xml:space="preserve">. 1721/00, lecz </w:t>
      </w:r>
      <w:r w:rsidRPr="00E806DD">
        <w:rPr>
          <w:bCs/>
          <w:sz w:val="24"/>
          <w:szCs w:val="24"/>
        </w:rPr>
        <w:t>zgodnie</w:t>
      </w:r>
      <w:r w:rsidRPr="004035E4">
        <w:rPr>
          <w:bCs/>
          <w:sz w:val="24"/>
          <w:szCs w:val="24"/>
        </w:rPr>
        <w:t xml:space="preserve"> ze z</w:t>
      </w:r>
      <w:r>
        <w:rPr>
          <w:bCs/>
          <w:sz w:val="24"/>
          <w:szCs w:val="24"/>
        </w:rPr>
        <w:t xml:space="preserve">nowelizowanymi </w:t>
      </w:r>
      <w:r w:rsidRPr="004035E4">
        <w:rPr>
          <w:bCs/>
          <w:sz w:val="24"/>
          <w:szCs w:val="24"/>
        </w:rPr>
        <w:t xml:space="preserve">wówczas przepisami i </w:t>
      </w:r>
      <w:r w:rsidRPr="004035E4">
        <w:rPr>
          <w:sz w:val="24"/>
          <w:szCs w:val="24"/>
        </w:rPr>
        <w:t>zmian</w:t>
      </w:r>
      <w:r>
        <w:rPr>
          <w:sz w:val="24"/>
          <w:szCs w:val="24"/>
        </w:rPr>
        <w:t>ą</w:t>
      </w:r>
      <w:r w:rsidRPr="00E806DD">
        <w:rPr>
          <w:sz w:val="24"/>
          <w:szCs w:val="24"/>
        </w:rPr>
        <w:t xml:space="preserve">, która wynikała z przepisów przejściowych </w:t>
      </w:r>
      <w:r w:rsidRPr="00E806DD">
        <w:rPr>
          <w:b/>
          <w:bCs/>
          <w:sz w:val="24"/>
          <w:szCs w:val="24"/>
        </w:rPr>
        <w:t>art. 317</w:t>
      </w:r>
      <w:r>
        <w:rPr>
          <w:b/>
          <w:bCs/>
          <w:sz w:val="24"/>
          <w:szCs w:val="24"/>
        </w:rPr>
        <w:t xml:space="preserve"> </w:t>
      </w:r>
      <w:r w:rsidRPr="00E806DD">
        <w:rPr>
          <w:b/>
          <w:bCs/>
          <w:sz w:val="24"/>
          <w:szCs w:val="24"/>
        </w:rPr>
        <w:t>-</w:t>
      </w:r>
      <w:r>
        <w:rPr>
          <w:b/>
          <w:bCs/>
          <w:sz w:val="24"/>
          <w:szCs w:val="24"/>
        </w:rPr>
        <w:t xml:space="preserve"> </w:t>
      </w:r>
      <w:r w:rsidRPr="00E806DD">
        <w:rPr>
          <w:b/>
          <w:bCs/>
          <w:sz w:val="24"/>
          <w:szCs w:val="24"/>
        </w:rPr>
        <w:t xml:space="preserve">art. </w:t>
      </w:r>
      <w:r>
        <w:rPr>
          <w:b/>
          <w:bCs/>
          <w:sz w:val="24"/>
          <w:szCs w:val="24"/>
        </w:rPr>
        <w:t>3</w:t>
      </w:r>
      <w:r w:rsidRPr="00E806DD">
        <w:rPr>
          <w:b/>
          <w:bCs/>
          <w:sz w:val="24"/>
          <w:szCs w:val="24"/>
        </w:rPr>
        <w:t>19</w:t>
      </w:r>
      <w:r w:rsidRPr="00E806DD">
        <w:rPr>
          <w:sz w:val="24"/>
          <w:szCs w:val="24"/>
        </w:rPr>
        <w:t xml:space="preserve"> ustawy z dnia 30 czerwca 2000 r. </w:t>
      </w:r>
      <w:r w:rsidRPr="00E806DD">
        <w:rPr>
          <w:b/>
          <w:bCs/>
          <w:sz w:val="24"/>
          <w:szCs w:val="24"/>
        </w:rPr>
        <w:t>Prawo własności przemysłowej</w:t>
      </w:r>
      <w:r w:rsidRPr="00E806DD">
        <w:rPr>
          <w:sz w:val="24"/>
          <w:szCs w:val="24"/>
        </w:rPr>
        <w:t xml:space="preserve"> (Dz. U. z 2001 r., Nr 49, poz. 508</w:t>
      </w:r>
      <w:r w:rsidRPr="00E806DD">
        <w:rPr>
          <w:bCs/>
          <w:sz w:val="24"/>
          <w:szCs w:val="24"/>
        </w:rPr>
        <w:t>)</w:t>
      </w:r>
      <w:r w:rsidRPr="00E806DD">
        <w:rPr>
          <w:sz w:val="24"/>
          <w:szCs w:val="24"/>
        </w:rPr>
        <w:t>, przede wszystkim z</w:t>
      </w:r>
      <w:r>
        <w:rPr>
          <w:sz w:val="24"/>
          <w:szCs w:val="24"/>
        </w:rPr>
        <w:t>godnie z</w:t>
      </w:r>
      <w:r w:rsidRPr="00E806DD">
        <w:rPr>
          <w:sz w:val="24"/>
          <w:szCs w:val="24"/>
        </w:rPr>
        <w:t xml:space="preserve"> </w:t>
      </w:r>
      <w:r>
        <w:rPr>
          <w:sz w:val="24"/>
          <w:szCs w:val="24"/>
        </w:rPr>
        <w:t>treścią</w:t>
      </w:r>
      <w:r w:rsidRPr="00E806DD">
        <w:rPr>
          <w:sz w:val="24"/>
          <w:szCs w:val="24"/>
        </w:rPr>
        <w:t xml:space="preserve"> </w:t>
      </w:r>
      <w:r w:rsidRPr="00E806DD">
        <w:rPr>
          <w:b/>
          <w:bCs/>
          <w:sz w:val="24"/>
          <w:szCs w:val="24"/>
        </w:rPr>
        <w:t>art. 318 ust. 2</w:t>
      </w:r>
      <w:r w:rsidRPr="00E806DD">
        <w:rPr>
          <w:sz w:val="24"/>
          <w:szCs w:val="24"/>
        </w:rPr>
        <w:t xml:space="preserve"> tej ustawy: „</w:t>
      </w:r>
      <w:r w:rsidRPr="00E806DD">
        <w:rPr>
          <w:rFonts w:ascii="Noto Serif" w:eastAsia="Times New Roman" w:hAnsi="Noto Serif" w:cs="Noto Serif"/>
          <w:b/>
          <w:bCs/>
          <w:i/>
          <w:iCs/>
          <w:color w:val="333333"/>
          <w:sz w:val="20"/>
          <w:szCs w:val="20"/>
          <w:lang w:eastAsia="pl-PL"/>
        </w:rPr>
        <w:t xml:space="preserve">Art. 318. </w:t>
      </w:r>
      <w:bookmarkStart w:id="99" w:name="mip68786163"/>
      <w:bookmarkStart w:id="100" w:name="mip68786164"/>
      <w:bookmarkEnd w:id="99"/>
      <w:bookmarkEnd w:id="100"/>
      <w:r w:rsidRPr="00E806DD">
        <w:rPr>
          <w:rFonts w:ascii="Noto Serif" w:eastAsia="Times New Roman" w:hAnsi="Noto Serif" w:cs="Noto Serif"/>
          <w:b/>
          <w:bCs/>
          <w:i/>
          <w:iCs/>
          <w:color w:val="333333"/>
          <w:sz w:val="20"/>
          <w:szCs w:val="20"/>
          <w:lang w:eastAsia="pl-PL"/>
        </w:rPr>
        <w:t>2. Sprawy</w:t>
      </w:r>
      <w:r w:rsidRPr="00E806DD">
        <w:rPr>
          <w:rFonts w:ascii="Noto Serif" w:eastAsia="Times New Roman" w:hAnsi="Noto Serif" w:cs="Noto Serif"/>
          <w:i/>
          <w:iCs/>
          <w:color w:val="333333"/>
          <w:sz w:val="20"/>
          <w:szCs w:val="20"/>
          <w:lang w:eastAsia="pl-PL"/>
        </w:rPr>
        <w:t>, o których mowa w </w:t>
      </w:r>
      <w:hyperlink r:id="rId129" w:history="1">
        <w:r w:rsidRPr="00E806DD">
          <w:rPr>
            <w:rFonts w:ascii="Noto Serif" w:eastAsia="Times New Roman" w:hAnsi="Noto Serif" w:cs="Noto Serif"/>
            <w:i/>
            <w:iCs/>
            <w:color w:val="CC0000"/>
            <w:sz w:val="20"/>
            <w:szCs w:val="20"/>
            <w:u w:val="single"/>
            <w:lang w:eastAsia="pl-PL"/>
          </w:rPr>
          <w:t>art. 255</w:t>
        </w:r>
      </w:hyperlink>
      <w:r w:rsidRPr="00E806DD">
        <w:rPr>
          <w:rFonts w:ascii="Noto Serif" w:eastAsia="Times New Roman" w:hAnsi="Noto Serif" w:cs="Noto Serif"/>
          <w:i/>
          <w:iCs/>
          <w:color w:val="333333"/>
          <w:sz w:val="20"/>
          <w:szCs w:val="20"/>
          <w:lang w:eastAsia="pl-PL"/>
        </w:rPr>
        <w:t xml:space="preserve">, </w:t>
      </w:r>
      <w:r w:rsidRPr="00E806DD">
        <w:rPr>
          <w:rFonts w:ascii="Noto Serif" w:eastAsia="Times New Roman" w:hAnsi="Noto Serif" w:cs="Noto Serif"/>
          <w:b/>
          <w:bCs/>
          <w:i/>
          <w:iCs/>
          <w:color w:val="333333"/>
          <w:sz w:val="20"/>
          <w:szCs w:val="20"/>
          <w:lang w:eastAsia="pl-PL"/>
        </w:rPr>
        <w:t>rozpatrywane</w:t>
      </w:r>
      <w:r w:rsidRPr="00E806DD">
        <w:rPr>
          <w:rFonts w:ascii="Noto Serif" w:eastAsia="Times New Roman" w:hAnsi="Noto Serif" w:cs="Noto Serif"/>
          <w:i/>
          <w:iCs/>
          <w:color w:val="333333"/>
          <w:sz w:val="20"/>
          <w:szCs w:val="20"/>
          <w:lang w:eastAsia="pl-PL"/>
        </w:rPr>
        <w:t xml:space="preserve"> według dotychczasowych przepisów </w:t>
      </w:r>
      <w:r w:rsidRPr="00E806DD">
        <w:rPr>
          <w:rFonts w:ascii="Noto Serif" w:eastAsia="Times New Roman" w:hAnsi="Noto Serif" w:cs="Noto Serif"/>
          <w:b/>
          <w:bCs/>
          <w:i/>
          <w:iCs/>
          <w:color w:val="333333"/>
          <w:sz w:val="20"/>
          <w:szCs w:val="20"/>
          <w:lang w:eastAsia="pl-PL"/>
        </w:rPr>
        <w:t>w Komisji Odwoławczej przekazuje się do Naczelnego Sądu Administracyjnego</w:t>
      </w:r>
      <w:r w:rsidRPr="00E806DD">
        <w:rPr>
          <w:rFonts w:ascii="Noto Serif" w:eastAsia="Times New Roman" w:hAnsi="Noto Serif" w:cs="Noto Serif"/>
          <w:i/>
          <w:iCs/>
          <w:color w:val="333333"/>
          <w:sz w:val="24"/>
          <w:szCs w:val="24"/>
          <w:lang w:eastAsia="pl-PL"/>
        </w:rPr>
        <w:t>.</w:t>
      </w:r>
      <w:r w:rsidRPr="00E806DD">
        <w:rPr>
          <w:sz w:val="24"/>
          <w:szCs w:val="24"/>
        </w:rPr>
        <w:t>”</w:t>
      </w:r>
    </w:p>
    <w:p w14:paraId="33DEB819" w14:textId="77777777" w:rsidR="00903633" w:rsidRPr="004035E4" w:rsidRDefault="00903633" w:rsidP="00384ACE">
      <w:pPr>
        <w:pStyle w:val="Akapitzlist"/>
        <w:numPr>
          <w:ilvl w:val="0"/>
          <w:numId w:val="79"/>
        </w:numPr>
        <w:ind w:left="851" w:hanging="567"/>
        <w:jc w:val="both"/>
        <w:rPr>
          <w:rFonts w:eastAsia="Times New Roman"/>
          <w:bCs/>
          <w:color w:val="FF0000"/>
          <w:sz w:val="24"/>
          <w:szCs w:val="24"/>
        </w:rPr>
      </w:pPr>
      <w:r w:rsidRPr="004035E4">
        <w:rPr>
          <w:bCs/>
          <w:sz w:val="24"/>
          <w:szCs w:val="24"/>
        </w:rPr>
        <w:t xml:space="preserve">Tak więc sprawa przekazana </w:t>
      </w:r>
      <w:r w:rsidRPr="004035E4">
        <w:rPr>
          <w:b/>
          <w:sz w:val="24"/>
          <w:szCs w:val="24"/>
        </w:rPr>
        <w:t>została</w:t>
      </w:r>
      <w:r w:rsidRPr="004035E4">
        <w:rPr>
          <w:bCs/>
          <w:sz w:val="24"/>
          <w:szCs w:val="24"/>
        </w:rPr>
        <w:t xml:space="preserve"> do rozpoznania przez </w:t>
      </w:r>
      <w:r w:rsidRPr="004035E4">
        <w:rPr>
          <w:b/>
          <w:bCs/>
          <w:sz w:val="24"/>
          <w:szCs w:val="24"/>
        </w:rPr>
        <w:t>Naczelny Sąd Administracyjny</w:t>
      </w:r>
      <w:r w:rsidRPr="004035E4">
        <w:rPr>
          <w:sz w:val="24"/>
          <w:szCs w:val="24"/>
        </w:rPr>
        <w:t xml:space="preserve"> i nadan</w:t>
      </w:r>
      <w:r>
        <w:rPr>
          <w:sz w:val="24"/>
          <w:szCs w:val="24"/>
        </w:rPr>
        <w:t>o</w:t>
      </w:r>
      <w:r w:rsidRPr="004035E4">
        <w:rPr>
          <w:sz w:val="24"/>
          <w:szCs w:val="24"/>
        </w:rPr>
        <w:t xml:space="preserve"> jej sygnatur</w:t>
      </w:r>
      <w:r>
        <w:rPr>
          <w:sz w:val="24"/>
          <w:szCs w:val="24"/>
        </w:rPr>
        <w:t>ę</w:t>
      </w:r>
      <w:r w:rsidRPr="004035E4">
        <w:rPr>
          <w:sz w:val="24"/>
          <w:szCs w:val="24"/>
        </w:rPr>
        <w:t xml:space="preserve"> akt </w:t>
      </w:r>
      <w:r w:rsidRPr="004035E4">
        <w:rPr>
          <w:b/>
          <w:sz w:val="24"/>
          <w:szCs w:val="24"/>
        </w:rPr>
        <w:t>RP II SA 1016/02</w:t>
      </w:r>
      <w:r w:rsidRPr="004035E4">
        <w:rPr>
          <w:bCs/>
          <w:sz w:val="24"/>
          <w:szCs w:val="24"/>
        </w:rPr>
        <w:t xml:space="preserve">. W dniu </w:t>
      </w:r>
      <w:r w:rsidRPr="004035E4">
        <w:rPr>
          <w:b/>
          <w:sz w:val="24"/>
          <w:szCs w:val="24"/>
        </w:rPr>
        <w:t>18.06.2002</w:t>
      </w:r>
      <w:r w:rsidRPr="004035E4">
        <w:rPr>
          <w:bCs/>
          <w:sz w:val="24"/>
          <w:szCs w:val="24"/>
        </w:rPr>
        <w:t xml:space="preserve"> r. NSA zawiesił postępowanie. W czasie tym obowiązywała ustawa z dnia 11 maja 1995 r. </w:t>
      </w:r>
      <w:r w:rsidRPr="00E806DD">
        <w:rPr>
          <w:b/>
          <w:sz w:val="24"/>
          <w:szCs w:val="24"/>
        </w:rPr>
        <w:t>o Naczelnym Sądzie Administra</w:t>
      </w:r>
      <w:r w:rsidRPr="003B3342">
        <w:rPr>
          <w:b/>
          <w:sz w:val="24"/>
          <w:szCs w:val="24"/>
        </w:rPr>
        <w:t>cyjnym</w:t>
      </w:r>
      <w:r w:rsidRPr="003B3342">
        <w:rPr>
          <w:bCs/>
          <w:sz w:val="24"/>
          <w:szCs w:val="24"/>
        </w:rPr>
        <w:t xml:space="preserve"> (Dz.U. Nr 74, poz. 368 z późn. zm.), która </w:t>
      </w:r>
      <w:r w:rsidRPr="003B3342">
        <w:rPr>
          <w:rFonts w:eastAsia="Times New Roman"/>
          <w:bCs/>
          <w:sz w:val="24"/>
          <w:szCs w:val="24"/>
        </w:rPr>
        <w:t xml:space="preserve">przewidywała jednoinstancyjność, lecz która utraciła moc obowiązującą na mocy </w:t>
      </w:r>
      <w:r w:rsidRPr="003B3342">
        <w:rPr>
          <w:rFonts w:eastAsia="Times New Roman"/>
          <w:b/>
          <w:sz w:val="24"/>
          <w:szCs w:val="24"/>
        </w:rPr>
        <w:t>art. 3</w:t>
      </w:r>
      <w:r w:rsidRPr="003B3342">
        <w:rPr>
          <w:rFonts w:eastAsia="Times New Roman"/>
          <w:bCs/>
          <w:sz w:val="24"/>
          <w:szCs w:val="24"/>
        </w:rPr>
        <w:t xml:space="preserve"> ustawy </w:t>
      </w:r>
      <w:r w:rsidRPr="003B3342">
        <w:rPr>
          <w:rFonts w:ascii="Noto Serif" w:hAnsi="Noto Serif" w:cs="Noto Serif"/>
          <w:shd w:val="clear" w:color="auto" w:fill="FFFFFF"/>
        </w:rPr>
        <w:t>z dnia 30 sierpnia 2002</w:t>
      </w:r>
      <w:r w:rsidRPr="003B3342">
        <w:rPr>
          <w:rFonts w:ascii="Noto Serif" w:hAnsi="Noto Serif" w:cs="Noto Serif"/>
          <w:color w:val="333333"/>
          <w:shd w:val="clear" w:color="auto" w:fill="FFFFFF"/>
        </w:rPr>
        <w:t xml:space="preserve"> r. </w:t>
      </w:r>
      <w:r w:rsidRPr="003B3342">
        <w:rPr>
          <w:rFonts w:eastAsia="Times New Roman"/>
          <w:b/>
          <w:sz w:val="24"/>
          <w:szCs w:val="24"/>
        </w:rPr>
        <w:t>przepisy wprowadzające ustawę - Prawo o ustroju sądów</w:t>
      </w:r>
      <w:r w:rsidRPr="004035E4">
        <w:rPr>
          <w:rFonts w:eastAsia="Times New Roman"/>
          <w:bCs/>
          <w:sz w:val="24"/>
          <w:szCs w:val="24"/>
        </w:rPr>
        <w:t xml:space="preserve"> </w:t>
      </w:r>
      <w:r w:rsidRPr="003B3342">
        <w:rPr>
          <w:rFonts w:eastAsia="Times New Roman"/>
          <w:b/>
          <w:sz w:val="24"/>
          <w:szCs w:val="24"/>
        </w:rPr>
        <w:t>administracyjnych</w:t>
      </w:r>
      <w:r w:rsidRPr="004035E4">
        <w:rPr>
          <w:rFonts w:eastAsia="Times New Roman"/>
          <w:bCs/>
          <w:sz w:val="24"/>
          <w:szCs w:val="24"/>
        </w:rPr>
        <w:t xml:space="preserve"> i </w:t>
      </w:r>
      <w:r w:rsidRPr="003B3342">
        <w:rPr>
          <w:rFonts w:eastAsia="Times New Roman"/>
          <w:b/>
          <w:sz w:val="24"/>
          <w:szCs w:val="24"/>
        </w:rPr>
        <w:t>ustawę - Prawo o postępowaniu przed sądami administracyjnymi</w:t>
      </w:r>
      <w:r w:rsidRPr="004035E4">
        <w:rPr>
          <w:rFonts w:ascii="Noto Serif" w:hAnsi="Noto Serif" w:cs="Noto Serif"/>
          <w:color w:val="333333"/>
          <w:sz w:val="24"/>
          <w:szCs w:val="24"/>
          <w:shd w:val="clear" w:color="auto" w:fill="FFFFFF"/>
        </w:rPr>
        <w:t> </w:t>
      </w:r>
      <w:r w:rsidRPr="004035E4">
        <w:rPr>
          <w:rFonts w:eastAsia="Times New Roman"/>
          <w:bCs/>
          <w:sz w:val="24"/>
          <w:szCs w:val="24"/>
        </w:rPr>
        <w:t xml:space="preserve">(Dz. U. 2002 r. Nr 153 poz. 1271): </w:t>
      </w:r>
      <w:r w:rsidRPr="004035E4">
        <w:rPr>
          <w:rFonts w:ascii="Noto Serif" w:hAnsi="Noto Serif" w:cs="Noto Serif"/>
          <w:color w:val="333333"/>
          <w:sz w:val="20"/>
          <w:szCs w:val="20"/>
          <w:shd w:val="clear" w:color="auto" w:fill="FFFFFF"/>
        </w:rPr>
        <w:t>„</w:t>
      </w:r>
      <w:r w:rsidRPr="004035E4">
        <w:rPr>
          <w:rStyle w:val="articletitle"/>
          <w:rFonts w:ascii="Noto Serif" w:hAnsi="Noto Serif" w:cs="Noto Serif"/>
          <w:b/>
          <w:bCs/>
          <w:i/>
          <w:iCs/>
          <w:color w:val="333333"/>
          <w:sz w:val="20"/>
          <w:szCs w:val="20"/>
          <w:shd w:val="clear" w:color="auto" w:fill="FFFFFF"/>
        </w:rPr>
        <w:t xml:space="preserve">Art. 3 </w:t>
      </w:r>
      <w:r w:rsidRPr="004035E4">
        <w:rPr>
          <w:rFonts w:ascii="Noto Serif" w:hAnsi="Noto Serif" w:cs="Noto Serif"/>
          <w:b/>
          <w:bCs/>
          <w:i/>
          <w:iCs/>
          <w:color w:val="333333"/>
          <w:sz w:val="20"/>
          <w:szCs w:val="20"/>
          <w:shd w:val="clear" w:color="auto" w:fill="FFFFFF"/>
        </w:rPr>
        <w:t>Traci moc</w:t>
      </w:r>
      <w:r w:rsidRPr="004035E4">
        <w:rPr>
          <w:rFonts w:ascii="Noto Serif" w:hAnsi="Noto Serif" w:cs="Noto Serif"/>
          <w:i/>
          <w:iCs/>
          <w:color w:val="333333"/>
          <w:sz w:val="20"/>
          <w:szCs w:val="20"/>
          <w:shd w:val="clear" w:color="auto" w:fill="FFFFFF"/>
        </w:rPr>
        <w:t xml:space="preserve"> </w:t>
      </w:r>
      <w:r w:rsidRPr="004035E4">
        <w:rPr>
          <w:rFonts w:ascii="Noto Serif" w:hAnsi="Noto Serif" w:cs="Noto Serif"/>
          <w:b/>
          <w:bCs/>
          <w:i/>
          <w:iCs/>
          <w:color w:val="333333"/>
          <w:sz w:val="20"/>
          <w:szCs w:val="20"/>
          <w:shd w:val="clear" w:color="auto" w:fill="FFFFFF"/>
        </w:rPr>
        <w:t>ustawa</w:t>
      </w:r>
      <w:r w:rsidRPr="004035E4">
        <w:rPr>
          <w:rFonts w:ascii="Noto Serif" w:hAnsi="Noto Serif" w:cs="Noto Serif"/>
          <w:i/>
          <w:iCs/>
          <w:color w:val="333333"/>
          <w:sz w:val="20"/>
          <w:szCs w:val="20"/>
          <w:shd w:val="clear" w:color="auto" w:fill="FFFFFF"/>
        </w:rPr>
        <w:t xml:space="preserve"> z dnia 11 maja 1995 r. </w:t>
      </w:r>
      <w:r w:rsidRPr="004035E4">
        <w:rPr>
          <w:rFonts w:ascii="Noto Serif" w:hAnsi="Noto Serif" w:cs="Noto Serif"/>
          <w:b/>
          <w:bCs/>
          <w:i/>
          <w:iCs/>
          <w:color w:val="333333"/>
          <w:sz w:val="20"/>
          <w:szCs w:val="20"/>
          <w:shd w:val="clear" w:color="auto" w:fill="FFFFFF"/>
        </w:rPr>
        <w:t>o Naczelnym Sądzie Administracyjnym</w:t>
      </w:r>
      <w:r w:rsidRPr="004035E4">
        <w:rPr>
          <w:rFonts w:ascii="Noto Serif" w:hAnsi="Noto Serif" w:cs="Noto Serif"/>
          <w:i/>
          <w:iCs/>
          <w:color w:val="333333"/>
          <w:sz w:val="20"/>
          <w:szCs w:val="20"/>
          <w:shd w:val="clear" w:color="auto" w:fill="FFFFFF"/>
        </w:rPr>
        <w:t xml:space="preserve"> (Dz.U. Nr 74, poz. 368 </w:t>
      </w:r>
      <w:r w:rsidRPr="004035E4">
        <w:rPr>
          <w:rFonts w:ascii="Noto Serif" w:hAnsi="Noto Serif" w:cs="Noto Serif"/>
          <w:i/>
          <w:iCs/>
          <w:color w:val="333333"/>
          <w:sz w:val="24"/>
          <w:szCs w:val="24"/>
          <w:shd w:val="clear" w:color="auto" w:fill="FFFFFF"/>
        </w:rPr>
        <w:t>…)”</w:t>
      </w:r>
      <w:r w:rsidRPr="004035E4">
        <w:rPr>
          <w:rFonts w:ascii="Noto Serif" w:hAnsi="Noto Serif" w:cs="Noto Serif"/>
          <w:color w:val="333333"/>
          <w:sz w:val="24"/>
          <w:szCs w:val="24"/>
          <w:shd w:val="clear" w:color="auto" w:fill="FFFFFF"/>
        </w:rPr>
        <w:t> -</w:t>
      </w:r>
      <w:r w:rsidRPr="004035E4">
        <w:rPr>
          <w:rFonts w:eastAsia="Times New Roman"/>
          <w:bCs/>
          <w:sz w:val="24"/>
          <w:szCs w:val="24"/>
        </w:rPr>
        <w:t xml:space="preserve"> nowe </w:t>
      </w:r>
      <w:r>
        <w:rPr>
          <w:rFonts w:eastAsia="Times New Roman"/>
          <w:bCs/>
          <w:sz w:val="24"/>
          <w:szCs w:val="24"/>
        </w:rPr>
        <w:t xml:space="preserve">przepisy </w:t>
      </w:r>
      <w:r w:rsidRPr="004035E4">
        <w:rPr>
          <w:rFonts w:eastAsia="Times New Roman"/>
          <w:bCs/>
          <w:sz w:val="24"/>
          <w:szCs w:val="24"/>
        </w:rPr>
        <w:t xml:space="preserve">weszły w życie 1 stycznia 2004 r. </w:t>
      </w:r>
    </w:p>
    <w:p w14:paraId="02495A26"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sz w:val="24"/>
          <w:szCs w:val="24"/>
        </w:rPr>
        <w:t xml:space="preserve">Zgodnie z </w:t>
      </w:r>
      <w:r w:rsidRPr="004035E4">
        <w:rPr>
          <w:b/>
          <w:bCs/>
          <w:sz w:val="24"/>
          <w:szCs w:val="24"/>
        </w:rPr>
        <w:t>nową regulacją</w:t>
      </w:r>
      <w:r w:rsidRPr="004035E4">
        <w:rPr>
          <w:sz w:val="24"/>
          <w:szCs w:val="24"/>
        </w:rPr>
        <w:t xml:space="preserve"> prawną (wprowadzającą </w:t>
      </w:r>
      <w:r w:rsidRPr="004035E4">
        <w:rPr>
          <w:b/>
          <w:bCs/>
          <w:sz w:val="24"/>
          <w:szCs w:val="24"/>
        </w:rPr>
        <w:t>dwuinstancyjność</w:t>
      </w:r>
      <w:r w:rsidRPr="004035E4">
        <w:rPr>
          <w:sz w:val="24"/>
          <w:szCs w:val="24"/>
        </w:rPr>
        <w:t xml:space="preserve"> postępowania sądowoadministracyjnego) </w:t>
      </w:r>
      <w:r w:rsidRPr="004035E4">
        <w:rPr>
          <w:b/>
          <w:bCs/>
          <w:sz w:val="24"/>
          <w:szCs w:val="24"/>
        </w:rPr>
        <w:t>sprawa</w:t>
      </w:r>
      <w:r w:rsidRPr="004035E4">
        <w:rPr>
          <w:sz w:val="24"/>
          <w:szCs w:val="24"/>
        </w:rPr>
        <w:t xml:space="preserve"> została przekazana do Wojewódzkiego Sądu Administracyjnego</w:t>
      </w:r>
      <w:r>
        <w:rPr>
          <w:sz w:val="24"/>
          <w:szCs w:val="24"/>
        </w:rPr>
        <w:t>,</w:t>
      </w:r>
      <w:r w:rsidRPr="004035E4">
        <w:rPr>
          <w:rFonts w:eastAsia="Times New Roman"/>
          <w:sz w:val="24"/>
          <w:szCs w:val="24"/>
        </w:rPr>
        <w:t xml:space="preserve"> </w:t>
      </w:r>
      <w:r w:rsidRPr="004035E4">
        <w:rPr>
          <w:sz w:val="24"/>
          <w:szCs w:val="24"/>
        </w:rPr>
        <w:t>gdzie została jej nadana sygnatura akt VI SA/</w:t>
      </w:r>
      <w:proofErr w:type="spellStart"/>
      <w:r w:rsidRPr="004035E4">
        <w:rPr>
          <w:sz w:val="24"/>
          <w:szCs w:val="24"/>
        </w:rPr>
        <w:t>Wa</w:t>
      </w:r>
      <w:proofErr w:type="spellEnd"/>
      <w:r w:rsidRPr="004035E4">
        <w:rPr>
          <w:sz w:val="24"/>
          <w:szCs w:val="24"/>
        </w:rPr>
        <w:t xml:space="preserve"> 1152/05.</w:t>
      </w:r>
    </w:p>
    <w:p w14:paraId="531406B8" w14:textId="77777777" w:rsidR="00903633" w:rsidRPr="003B3342"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 xml:space="preserve">W dniu </w:t>
      </w:r>
      <w:r w:rsidRPr="004035E4">
        <w:rPr>
          <w:rFonts w:eastAsia="Times New Roman"/>
          <w:b/>
          <w:bCs/>
          <w:sz w:val="24"/>
          <w:szCs w:val="24"/>
        </w:rPr>
        <w:t>24.03.2006</w:t>
      </w:r>
      <w:r w:rsidRPr="003B3342">
        <w:rPr>
          <w:rFonts w:eastAsia="Times New Roman"/>
          <w:sz w:val="24"/>
          <w:szCs w:val="24"/>
        </w:rPr>
        <w:t xml:space="preserve"> r. (sygn. akt </w:t>
      </w:r>
      <w:r w:rsidRPr="003B3342">
        <w:rPr>
          <w:rFonts w:eastAsia="Times New Roman"/>
          <w:b/>
          <w:bCs/>
          <w:sz w:val="24"/>
          <w:szCs w:val="24"/>
        </w:rPr>
        <w:t>VI SA/</w:t>
      </w:r>
      <w:proofErr w:type="spellStart"/>
      <w:r w:rsidRPr="003B3342">
        <w:rPr>
          <w:rFonts w:eastAsia="Times New Roman"/>
          <w:b/>
          <w:bCs/>
          <w:sz w:val="24"/>
          <w:szCs w:val="24"/>
        </w:rPr>
        <w:t>Wa</w:t>
      </w:r>
      <w:proofErr w:type="spellEnd"/>
      <w:r w:rsidRPr="003B3342">
        <w:rPr>
          <w:rFonts w:eastAsia="Times New Roman"/>
          <w:b/>
          <w:bCs/>
          <w:sz w:val="24"/>
          <w:szCs w:val="24"/>
        </w:rPr>
        <w:t xml:space="preserve"> 1152/05</w:t>
      </w:r>
      <w:r w:rsidRPr="003B3342">
        <w:rPr>
          <w:rFonts w:eastAsia="Times New Roman"/>
          <w:sz w:val="24"/>
          <w:szCs w:val="24"/>
        </w:rPr>
        <w:t xml:space="preserve">) </w:t>
      </w:r>
      <w:r w:rsidRPr="003B3342">
        <w:rPr>
          <w:b/>
          <w:bCs/>
          <w:sz w:val="24"/>
          <w:szCs w:val="24"/>
        </w:rPr>
        <w:t>Wojewódzki Sąd Administracyjny</w:t>
      </w:r>
      <w:r w:rsidRPr="003B3342">
        <w:rPr>
          <w:rFonts w:eastAsia="Times New Roman"/>
          <w:sz w:val="24"/>
          <w:szCs w:val="24"/>
        </w:rPr>
        <w:t xml:space="preserve"> uchy</w:t>
      </w:r>
      <w:r>
        <w:rPr>
          <w:rFonts w:eastAsia="Times New Roman"/>
          <w:sz w:val="24"/>
          <w:szCs w:val="24"/>
        </w:rPr>
        <w:t>lił</w:t>
      </w:r>
      <w:r w:rsidRPr="003B3342">
        <w:rPr>
          <w:rFonts w:eastAsia="Times New Roman"/>
          <w:sz w:val="24"/>
          <w:szCs w:val="24"/>
        </w:rPr>
        <w:t xml:space="preserve"> zaskarżoną przez PODRAVKĘ decyzję UP RP i stwierdził, że uchylona decyzja UP RP nie podlega wykonaniu.</w:t>
      </w:r>
    </w:p>
    <w:p w14:paraId="4252B369"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 xml:space="preserve">W dniu </w:t>
      </w:r>
      <w:r w:rsidRPr="004035E4">
        <w:rPr>
          <w:rFonts w:eastAsia="Times New Roman"/>
          <w:b/>
          <w:bCs/>
          <w:sz w:val="24"/>
          <w:szCs w:val="24"/>
        </w:rPr>
        <w:t>28.02.2007 r.</w:t>
      </w:r>
      <w:r w:rsidRPr="004035E4">
        <w:rPr>
          <w:rFonts w:eastAsia="Times New Roman"/>
          <w:sz w:val="24"/>
          <w:szCs w:val="24"/>
        </w:rPr>
        <w:t xml:space="preserve">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II GSK 243/06</w:t>
      </w:r>
      <w:r w:rsidRPr="004035E4">
        <w:rPr>
          <w:rFonts w:eastAsia="Times New Roman"/>
          <w:sz w:val="24"/>
          <w:szCs w:val="24"/>
        </w:rPr>
        <w:t xml:space="preserve">) </w:t>
      </w:r>
      <w:r w:rsidRPr="004035E4">
        <w:rPr>
          <w:b/>
          <w:bCs/>
          <w:sz w:val="24"/>
          <w:szCs w:val="24"/>
        </w:rPr>
        <w:t>Naczelny Sąd Administracyjny</w:t>
      </w:r>
      <w:r w:rsidRPr="004035E4">
        <w:rPr>
          <w:rFonts w:eastAsia="Times New Roman"/>
          <w:sz w:val="24"/>
          <w:szCs w:val="24"/>
        </w:rPr>
        <w:t xml:space="preserve"> oddalił w części, w części uwzględnił skargi kasacyjne zarówno </w:t>
      </w:r>
      <w:r w:rsidRPr="004035E4">
        <w:rPr>
          <w:rFonts w:eastAsia="Times New Roman"/>
          <w:sz w:val="24"/>
          <w:szCs w:val="24"/>
          <w:u w:val="single"/>
        </w:rPr>
        <w:t>PODRAVKI</w:t>
      </w:r>
      <w:r>
        <w:rPr>
          <w:rFonts w:eastAsia="Times New Roman"/>
          <w:sz w:val="24"/>
          <w:szCs w:val="24"/>
          <w:u w:val="single"/>
        </w:rPr>
        <w:t xml:space="preserve">, jak i </w:t>
      </w:r>
      <w:r>
        <w:rPr>
          <w:rFonts w:eastAsia="Times New Roman"/>
          <w:sz w:val="24"/>
          <w:szCs w:val="24"/>
        </w:rPr>
        <w:t>uprawnionego</w:t>
      </w:r>
      <w:r w:rsidRPr="004035E4">
        <w:rPr>
          <w:rFonts w:eastAsia="Times New Roman"/>
          <w:sz w:val="24"/>
          <w:szCs w:val="24"/>
        </w:rPr>
        <w:t>.</w:t>
      </w:r>
    </w:p>
    <w:p w14:paraId="79B9A991"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10.06.2009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Sp. 238/07</w:t>
      </w:r>
      <w:r w:rsidRPr="004035E4">
        <w:rPr>
          <w:rFonts w:eastAsia="Times New Roman"/>
          <w:sz w:val="24"/>
          <w:szCs w:val="24"/>
        </w:rPr>
        <w:t>) UP RP unieważni</w:t>
      </w:r>
      <w:r>
        <w:rPr>
          <w:rFonts w:eastAsia="Times New Roman"/>
          <w:sz w:val="24"/>
          <w:szCs w:val="24"/>
        </w:rPr>
        <w:t>ł</w:t>
      </w:r>
      <w:r w:rsidRPr="004035E4">
        <w:rPr>
          <w:rFonts w:eastAsia="Times New Roman"/>
          <w:sz w:val="24"/>
          <w:szCs w:val="24"/>
        </w:rPr>
        <w:t xml:space="preserve"> prawo ochronne na znak towarowy KUCHAREK.</w:t>
      </w:r>
    </w:p>
    <w:p w14:paraId="62AB2B7D"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07.11.2011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VI SA/</w:t>
      </w:r>
      <w:proofErr w:type="spellStart"/>
      <w:r w:rsidRPr="004035E4">
        <w:rPr>
          <w:rFonts w:eastAsia="Times New Roman"/>
          <w:b/>
          <w:bCs/>
          <w:sz w:val="24"/>
          <w:szCs w:val="24"/>
        </w:rPr>
        <w:t>Wa</w:t>
      </w:r>
      <w:proofErr w:type="spellEnd"/>
      <w:r w:rsidRPr="004035E4">
        <w:rPr>
          <w:rFonts w:eastAsia="Times New Roman"/>
          <w:b/>
          <w:bCs/>
          <w:sz w:val="24"/>
          <w:szCs w:val="24"/>
        </w:rPr>
        <w:t xml:space="preserve"> 1295/11</w:t>
      </w:r>
      <w:r w:rsidRPr="004035E4">
        <w:rPr>
          <w:rFonts w:eastAsia="Times New Roman"/>
          <w:sz w:val="24"/>
          <w:szCs w:val="24"/>
        </w:rPr>
        <w:t xml:space="preserve">) </w:t>
      </w:r>
      <w:r w:rsidRPr="004035E4">
        <w:rPr>
          <w:b/>
          <w:bCs/>
          <w:sz w:val="24"/>
          <w:szCs w:val="24"/>
        </w:rPr>
        <w:t>Wojewódzki Sąd Administracyjny</w:t>
      </w:r>
      <w:r w:rsidRPr="004035E4">
        <w:rPr>
          <w:rFonts w:eastAsia="Times New Roman"/>
          <w:sz w:val="24"/>
          <w:szCs w:val="24"/>
        </w:rPr>
        <w:t xml:space="preserve"> oddalił skargę PRYMAT.</w:t>
      </w:r>
    </w:p>
    <w:p w14:paraId="5BB05883"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 xml:space="preserve">W dniu 26.11.2013 r. (Sygn. akt </w:t>
      </w:r>
      <w:r w:rsidRPr="004035E4">
        <w:rPr>
          <w:rFonts w:eastAsia="Times New Roman"/>
          <w:b/>
          <w:bCs/>
          <w:sz w:val="24"/>
          <w:szCs w:val="24"/>
        </w:rPr>
        <w:t>II GSK 631/12</w:t>
      </w:r>
      <w:r w:rsidRPr="004035E4">
        <w:rPr>
          <w:rFonts w:eastAsia="Times New Roman"/>
          <w:sz w:val="24"/>
          <w:szCs w:val="24"/>
        </w:rPr>
        <w:t xml:space="preserve">) </w:t>
      </w:r>
      <w:r w:rsidRPr="004035E4">
        <w:rPr>
          <w:b/>
          <w:bCs/>
          <w:sz w:val="24"/>
          <w:szCs w:val="24"/>
        </w:rPr>
        <w:t>Naczelny Sąd Administracyjny</w:t>
      </w:r>
      <w:r w:rsidRPr="004035E4">
        <w:rPr>
          <w:sz w:val="24"/>
          <w:szCs w:val="24"/>
        </w:rPr>
        <w:t xml:space="preserve"> </w:t>
      </w:r>
      <w:r w:rsidRPr="004035E4">
        <w:rPr>
          <w:rFonts w:eastAsia="Times New Roman"/>
          <w:sz w:val="24"/>
          <w:szCs w:val="24"/>
        </w:rPr>
        <w:t>uchyl</w:t>
      </w:r>
      <w:r>
        <w:rPr>
          <w:rFonts w:eastAsia="Times New Roman"/>
          <w:sz w:val="24"/>
          <w:szCs w:val="24"/>
        </w:rPr>
        <w:t>ił</w:t>
      </w:r>
      <w:r w:rsidRPr="004035E4">
        <w:rPr>
          <w:rFonts w:eastAsia="Times New Roman"/>
          <w:sz w:val="24"/>
          <w:szCs w:val="24"/>
        </w:rPr>
        <w:t xml:space="preserve"> zaskarżony przez PRYMAT wyrok </w:t>
      </w:r>
      <w:r w:rsidRPr="004035E4">
        <w:rPr>
          <w:b/>
          <w:bCs/>
          <w:sz w:val="24"/>
          <w:szCs w:val="24"/>
        </w:rPr>
        <w:t>Wojewódzkiego Sądu Administracyjnego</w:t>
      </w:r>
      <w:r w:rsidRPr="004035E4">
        <w:rPr>
          <w:rFonts w:eastAsia="Times New Roman"/>
          <w:sz w:val="24"/>
          <w:szCs w:val="24"/>
        </w:rPr>
        <w:t xml:space="preserve"> i </w:t>
      </w:r>
      <w:r w:rsidRPr="004035E4">
        <w:rPr>
          <w:rFonts w:eastAsia="Times New Roman"/>
          <w:sz w:val="24"/>
          <w:szCs w:val="24"/>
        </w:rPr>
        <w:lastRenderedPageBreak/>
        <w:t>przekaz</w:t>
      </w:r>
      <w:r>
        <w:rPr>
          <w:rFonts w:eastAsia="Times New Roman"/>
          <w:sz w:val="24"/>
          <w:szCs w:val="24"/>
        </w:rPr>
        <w:t>ał</w:t>
      </w:r>
      <w:r w:rsidRPr="004035E4">
        <w:rPr>
          <w:rFonts w:eastAsia="Times New Roman"/>
          <w:sz w:val="24"/>
          <w:szCs w:val="24"/>
        </w:rPr>
        <w:t xml:space="preserve"> sprawę do ponownego rozpoznania przez </w:t>
      </w:r>
      <w:r w:rsidRPr="004035E4">
        <w:rPr>
          <w:b/>
          <w:bCs/>
          <w:sz w:val="24"/>
          <w:szCs w:val="24"/>
        </w:rPr>
        <w:t>Wojewódzki Sąd Administracyjny</w:t>
      </w:r>
      <w:r w:rsidRPr="004035E4">
        <w:rPr>
          <w:rFonts w:eastAsia="Times New Roman"/>
          <w:sz w:val="24"/>
          <w:szCs w:val="24"/>
        </w:rPr>
        <w:t>.</w:t>
      </w:r>
    </w:p>
    <w:p w14:paraId="17408E55"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08.01.2014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VI SA/</w:t>
      </w:r>
      <w:proofErr w:type="spellStart"/>
      <w:r w:rsidRPr="004035E4">
        <w:rPr>
          <w:rFonts w:eastAsia="Times New Roman"/>
          <w:b/>
          <w:bCs/>
          <w:sz w:val="24"/>
          <w:szCs w:val="24"/>
        </w:rPr>
        <w:t>Wa</w:t>
      </w:r>
      <w:proofErr w:type="spellEnd"/>
      <w:r w:rsidRPr="004035E4">
        <w:rPr>
          <w:rFonts w:eastAsia="Times New Roman"/>
          <w:b/>
          <w:bCs/>
          <w:sz w:val="24"/>
          <w:szCs w:val="24"/>
        </w:rPr>
        <w:t xml:space="preserve"> 2691/13</w:t>
      </w:r>
      <w:r w:rsidRPr="004035E4">
        <w:rPr>
          <w:rFonts w:eastAsia="Times New Roman"/>
          <w:sz w:val="24"/>
          <w:szCs w:val="24"/>
        </w:rPr>
        <w:t xml:space="preserve">): </w:t>
      </w:r>
      <w:r w:rsidRPr="004035E4">
        <w:rPr>
          <w:b/>
          <w:bCs/>
          <w:sz w:val="24"/>
          <w:szCs w:val="24"/>
        </w:rPr>
        <w:t>Wojewódzki Sąd Administracyjny</w:t>
      </w:r>
      <w:r w:rsidRPr="004035E4">
        <w:rPr>
          <w:rFonts w:eastAsia="Times New Roman"/>
          <w:sz w:val="24"/>
          <w:szCs w:val="24"/>
        </w:rPr>
        <w:t xml:space="preserve"> uchyl</w:t>
      </w:r>
      <w:r>
        <w:rPr>
          <w:rFonts w:eastAsia="Times New Roman"/>
          <w:sz w:val="24"/>
          <w:szCs w:val="24"/>
        </w:rPr>
        <w:t>ił</w:t>
      </w:r>
      <w:r w:rsidRPr="004035E4">
        <w:rPr>
          <w:rFonts w:eastAsia="Times New Roman"/>
          <w:sz w:val="24"/>
          <w:szCs w:val="24"/>
        </w:rPr>
        <w:t xml:space="preserve"> decyzję o unieważnieniu prawa ochronnego na znak towarowy KUCHAREK.</w:t>
      </w:r>
    </w:p>
    <w:p w14:paraId="22A10635"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10.03.2016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Sp. 207.2014</w:t>
      </w:r>
      <w:r w:rsidRPr="004035E4">
        <w:rPr>
          <w:rFonts w:eastAsia="Times New Roman"/>
          <w:sz w:val="24"/>
          <w:szCs w:val="24"/>
        </w:rPr>
        <w:t>) UP RP oddal</w:t>
      </w:r>
      <w:r>
        <w:rPr>
          <w:rFonts w:eastAsia="Times New Roman"/>
          <w:sz w:val="24"/>
          <w:szCs w:val="24"/>
        </w:rPr>
        <w:t>ił</w:t>
      </w:r>
      <w:r w:rsidRPr="004035E4">
        <w:rPr>
          <w:rFonts w:eastAsia="Times New Roman"/>
          <w:sz w:val="24"/>
          <w:szCs w:val="24"/>
        </w:rPr>
        <w:t xml:space="preserve"> wniosek o unieważnienie prawa ochronnego na znak towarowy KUCHAREK.</w:t>
      </w:r>
    </w:p>
    <w:p w14:paraId="1677E2FE"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28.06.2017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VI SA/</w:t>
      </w:r>
      <w:proofErr w:type="spellStart"/>
      <w:r w:rsidRPr="004035E4">
        <w:rPr>
          <w:rFonts w:eastAsia="Times New Roman"/>
          <w:b/>
          <w:bCs/>
          <w:sz w:val="24"/>
          <w:szCs w:val="24"/>
        </w:rPr>
        <w:t>Wa</w:t>
      </w:r>
      <w:proofErr w:type="spellEnd"/>
      <w:r w:rsidRPr="004035E4">
        <w:rPr>
          <w:rFonts w:eastAsia="Times New Roman"/>
          <w:b/>
          <w:bCs/>
          <w:sz w:val="24"/>
          <w:szCs w:val="24"/>
        </w:rPr>
        <w:t xml:space="preserve"> 2162/16</w:t>
      </w:r>
      <w:r w:rsidRPr="004035E4">
        <w:rPr>
          <w:rFonts w:eastAsia="Times New Roman"/>
          <w:sz w:val="24"/>
          <w:szCs w:val="24"/>
        </w:rPr>
        <w:t xml:space="preserve">) </w:t>
      </w:r>
      <w:r w:rsidRPr="004035E4">
        <w:rPr>
          <w:b/>
          <w:bCs/>
          <w:sz w:val="24"/>
          <w:szCs w:val="24"/>
        </w:rPr>
        <w:t>Wojewódzki Sąd Administracyjny</w:t>
      </w:r>
      <w:r w:rsidRPr="004035E4">
        <w:rPr>
          <w:rFonts w:eastAsia="Times New Roman"/>
          <w:sz w:val="24"/>
          <w:szCs w:val="24"/>
        </w:rPr>
        <w:t xml:space="preserve"> oddal</w:t>
      </w:r>
      <w:r>
        <w:rPr>
          <w:rFonts w:eastAsia="Times New Roman"/>
          <w:sz w:val="24"/>
          <w:szCs w:val="24"/>
        </w:rPr>
        <w:t>ił</w:t>
      </w:r>
      <w:r w:rsidRPr="004035E4">
        <w:rPr>
          <w:rFonts w:eastAsia="Times New Roman"/>
          <w:sz w:val="24"/>
          <w:szCs w:val="24"/>
        </w:rPr>
        <w:t xml:space="preserve"> skargę PODRAVKI.</w:t>
      </w:r>
    </w:p>
    <w:p w14:paraId="104BE58C"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08.10.2020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II GSK 3499/17</w:t>
      </w:r>
      <w:r w:rsidRPr="004035E4">
        <w:rPr>
          <w:rFonts w:eastAsia="Times New Roman"/>
          <w:sz w:val="24"/>
          <w:szCs w:val="24"/>
        </w:rPr>
        <w:t xml:space="preserve">) </w:t>
      </w:r>
      <w:r w:rsidRPr="004035E4">
        <w:rPr>
          <w:b/>
          <w:bCs/>
          <w:sz w:val="24"/>
          <w:szCs w:val="24"/>
        </w:rPr>
        <w:t>Naczelny Sąd Administracyjny</w:t>
      </w:r>
      <w:r w:rsidRPr="004035E4">
        <w:rPr>
          <w:sz w:val="24"/>
          <w:szCs w:val="24"/>
        </w:rPr>
        <w:t xml:space="preserve"> </w:t>
      </w:r>
      <w:r w:rsidRPr="004035E4">
        <w:rPr>
          <w:rFonts w:eastAsia="Times New Roman"/>
          <w:sz w:val="24"/>
          <w:szCs w:val="24"/>
        </w:rPr>
        <w:t xml:space="preserve">uchylił zaskarżony przez PODRAVKĘ wyrok </w:t>
      </w:r>
      <w:r w:rsidRPr="004035E4">
        <w:rPr>
          <w:b/>
          <w:bCs/>
          <w:sz w:val="24"/>
          <w:szCs w:val="24"/>
        </w:rPr>
        <w:t>Wojewódzkiego Sądu Administracyjnego</w:t>
      </w:r>
      <w:r w:rsidRPr="004035E4">
        <w:rPr>
          <w:sz w:val="24"/>
          <w:szCs w:val="24"/>
        </w:rPr>
        <w:t>.</w:t>
      </w:r>
    </w:p>
    <w:p w14:paraId="4AB1D2F9"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04.03.2021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VI SA/</w:t>
      </w:r>
      <w:proofErr w:type="spellStart"/>
      <w:r w:rsidRPr="004035E4">
        <w:rPr>
          <w:rFonts w:eastAsia="Times New Roman"/>
          <w:b/>
          <w:bCs/>
          <w:sz w:val="24"/>
          <w:szCs w:val="24"/>
        </w:rPr>
        <w:t>Wa</w:t>
      </w:r>
      <w:proofErr w:type="spellEnd"/>
      <w:r w:rsidRPr="004035E4">
        <w:rPr>
          <w:rFonts w:eastAsia="Times New Roman"/>
          <w:b/>
          <w:bCs/>
          <w:sz w:val="24"/>
          <w:szCs w:val="24"/>
        </w:rPr>
        <w:t xml:space="preserve"> 134/21</w:t>
      </w:r>
      <w:r w:rsidRPr="004035E4">
        <w:rPr>
          <w:rFonts w:eastAsia="Times New Roman"/>
          <w:sz w:val="24"/>
          <w:szCs w:val="24"/>
        </w:rPr>
        <w:t xml:space="preserve">) </w:t>
      </w:r>
      <w:r w:rsidRPr="004035E4">
        <w:rPr>
          <w:b/>
          <w:bCs/>
          <w:sz w:val="24"/>
          <w:szCs w:val="24"/>
        </w:rPr>
        <w:t>Wojewódzki Sąd Administracyjny</w:t>
      </w:r>
      <w:r w:rsidRPr="004035E4">
        <w:rPr>
          <w:rFonts w:eastAsia="Times New Roman"/>
          <w:sz w:val="24"/>
          <w:szCs w:val="24"/>
        </w:rPr>
        <w:t xml:space="preserve"> uchyl</w:t>
      </w:r>
      <w:r>
        <w:rPr>
          <w:rFonts w:eastAsia="Times New Roman"/>
          <w:sz w:val="24"/>
          <w:szCs w:val="24"/>
        </w:rPr>
        <w:t>ił</w:t>
      </w:r>
      <w:r w:rsidRPr="004035E4">
        <w:rPr>
          <w:rFonts w:eastAsia="Times New Roman"/>
          <w:sz w:val="24"/>
          <w:szCs w:val="24"/>
        </w:rPr>
        <w:t xml:space="preserve"> zaskarżoną przez PODRAVKĘ decyzję UP RP. </w:t>
      </w:r>
    </w:p>
    <w:p w14:paraId="22F76D41"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W dniu 09.03.2022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II GSK 2607/21</w:t>
      </w:r>
      <w:r w:rsidRPr="004035E4">
        <w:rPr>
          <w:rFonts w:eastAsia="Times New Roman"/>
          <w:sz w:val="24"/>
          <w:szCs w:val="24"/>
        </w:rPr>
        <w:t xml:space="preserve">) </w:t>
      </w:r>
      <w:r w:rsidRPr="004035E4">
        <w:rPr>
          <w:b/>
          <w:bCs/>
          <w:sz w:val="24"/>
          <w:szCs w:val="24"/>
        </w:rPr>
        <w:t>Naczelny Sąd Administracyjny</w:t>
      </w:r>
      <w:r w:rsidRPr="004035E4">
        <w:rPr>
          <w:sz w:val="24"/>
          <w:szCs w:val="24"/>
        </w:rPr>
        <w:t xml:space="preserve"> </w:t>
      </w:r>
      <w:r w:rsidRPr="004035E4">
        <w:rPr>
          <w:rFonts w:eastAsia="Times New Roman"/>
          <w:sz w:val="24"/>
          <w:szCs w:val="24"/>
        </w:rPr>
        <w:t>oddal</w:t>
      </w:r>
      <w:r>
        <w:rPr>
          <w:rFonts w:eastAsia="Times New Roman"/>
          <w:sz w:val="24"/>
          <w:szCs w:val="24"/>
        </w:rPr>
        <w:t>ił</w:t>
      </w:r>
      <w:r w:rsidRPr="004035E4">
        <w:rPr>
          <w:rFonts w:eastAsia="Times New Roman"/>
          <w:sz w:val="24"/>
          <w:szCs w:val="24"/>
        </w:rPr>
        <w:t xml:space="preserve"> skargę kasacyjną PRYMAT.</w:t>
      </w:r>
    </w:p>
    <w:p w14:paraId="09272571"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Od 2022 r. (</w:t>
      </w:r>
      <w:r>
        <w:rPr>
          <w:rFonts w:eastAsia="Times New Roman"/>
          <w:sz w:val="24"/>
          <w:szCs w:val="24"/>
        </w:rPr>
        <w:t>s</w:t>
      </w:r>
      <w:r w:rsidRPr="004035E4">
        <w:rPr>
          <w:rFonts w:eastAsia="Times New Roman"/>
          <w:sz w:val="24"/>
          <w:szCs w:val="24"/>
        </w:rPr>
        <w:t xml:space="preserve">ygn. akt </w:t>
      </w:r>
      <w:r w:rsidRPr="004035E4">
        <w:rPr>
          <w:rFonts w:eastAsia="Times New Roman"/>
          <w:b/>
          <w:bCs/>
          <w:sz w:val="24"/>
          <w:szCs w:val="24"/>
        </w:rPr>
        <w:t>Sp. 162.2022</w:t>
      </w:r>
      <w:r w:rsidRPr="004035E4">
        <w:rPr>
          <w:rFonts w:eastAsia="Times New Roman"/>
          <w:sz w:val="24"/>
          <w:szCs w:val="24"/>
        </w:rPr>
        <w:t>) UP RP rozpoznaje sprawę ponownie.</w:t>
      </w:r>
    </w:p>
    <w:p w14:paraId="3DD416D3" w14:textId="77777777" w:rsidR="00903633" w:rsidRPr="004035E4" w:rsidRDefault="00903633" w:rsidP="00384ACE">
      <w:pPr>
        <w:pStyle w:val="Akapitzlist"/>
        <w:numPr>
          <w:ilvl w:val="0"/>
          <w:numId w:val="79"/>
        </w:numPr>
        <w:ind w:left="851" w:hanging="567"/>
        <w:jc w:val="both"/>
        <w:rPr>
          <w:rFonts w:eastAsia="Times New Roman"/>
          <w:sz w:val="24"/>
          <w:szCs w:val="24"/>
        </w:rPr>
      </w:pPr>
      <w:r w:rsidRPr="004035E4">
        <w:rPr>
          <w:rFonts w:eastAsia="Times New Roman"/>
          <w:sz w:val="24"/>
          <w:szCs w:val="24"/>
        </w:rPr>
        <w:t xml:space="preserve">Z pewnością: ciąg dalszy nastąpi. Wszystko wskazuje na to, że jakąkolwiek decyzję wyda w tej sprawie Urząd Patentowy RP - </w:t>
      </w:r>
      <w:r w:rsidRPr="004035E4">
        <w:rPr>
          <w:rFonts w:eastAsia="Times New Roman"/>
          <w:b/>
          <w:bCs/>
          <w:sz w:val="24"/>
          <w:szCs w:val="24"/>
        </w:rPr>
        <w:t>zostanie</w:t>
      </w:r>
      <w:r w:rsidRPr="004035E4">
        <w:rPr>
          <w:rFonts w:eastAsia="Times New Roman"/>
          <w:sz w:val="24"/>
          <w:szCs w:val="24"/>
        </w:rPr>
        <w:t xml:space="preserve"> ona </w:t>
      </w:r>
      <w:r w:rsidRPr="004035E4">
        <w:rPr>
          <w:rFonts w:eastAsia="Times New Roman"/>
          <w:b/>
          <w:bCs/>
          <w:sz w:val="24"/>
          <w:szCs w:val="24"/>
        </w:rPr>
        <w:t>zakwestionowana</w:t>
      </w:r>
      <w:r w:rsidRPr="004035E4">
        <w:rPr>
          <w:rFonts w:eastAsia="Times New Roman"/>
          <w:sz w:val="24"/>
          <w:szCs w:val="24"/>
        </w:rPr>
        <w:t xml:space="preserve"> przez jedną ze stron i w rezultacie </w:t>
      </w:r>
      <w:r w:rsidRPr="004035E4">
        <w:rPr>
          <w:rFonts w:eastAsia="Times New Roman"/>
          <w:b/>
          <w:bCs/>
          <w:sz w:val="24"/>
          <w:szCs w:val="24"/>
        </w:rPr>
        <w:t>będzie</w:t>
      </w:r>
      <w:r w:rsidRPr="004035E4">
        <w:rPr>
          <w:rFonts w:eastAsia="Times New Roman"/>
          <w:sz w:val="24"/>
          <w:szCs w:val="24"/>
        </w:rPr>
        <w:t xml:space="preserve"> ona </w:t>
      </w:r>
      <w:r w:rsidRPr="004035E4">
        <w:rPr>
          <w:rFonts w:eastAsia="Times New Roman"/>
          <w:b/>
          <w:bCs/>
          <w:sz w:val="24"/>
          <w:szCs w:val="24"/>
        </w:rPr>
        <w:t>badana</w:t>
      </w:r>
      <w:r w:rsidRPr="004035E4">
        <w:rPr>
          <w:rFonts w:eastAsia="Times New Roman"/>
          <w:sz w:val="24"/>
          <w:szCs w:val="24"/>
        </w:rPr>
        <w:t xml:space="preserve"> najpierw przez </w:t>
      </w:r>
      <w:r w:rsidRPr="004035E4">
        <w:rPr>
          <w:b/>
          <w:bCs/>
          <w:sz w:val="24"/>
          <w:szCs w:val="24"/>
        </w:rPr>
        <w:t>Wojewódzki Sąd Administracyjny</w:t>
      </w:r>
      <w:r w:rsidRPr="004035E4">
        <w:rPr>
          <w:sz w:val="24"/>
          <w:szCs w:val="24"/>
        </w:rPr>
        <w:t>, a następnie</w:t>
      </w:r>
      <w:r w:rsidRPr="004035E4">
        <w:rPr>
          <w:b/>
          <w:bCs/>
          <w:sz w:val="24"/>
          <w:szCs w:val="24"/>
        </w:rPr>
        <w:t xml:space="preserve"> </w:t>
      </w:r>
      <w:r w:rsidRPr="004035E4">
        <w:rPr>
          <w:sz w:val="24"/>
          <w:szCs w:val="24"/>
        </w:rPr>
        <w:t>przez</w:t>
      </w:r>
      <w:r w:rsidRPr="004035E4">
        <w:rPr>
          <w:b/>
          <w:bCs/>
          <w:sz w:val="24"/>
          <w:szCs w:val="24"/>
        </w:rPr>
        <w:t xml:space="preserve"> Naczelny Sąd Administracyjny</w:t>
      </w:r>
      <w:r w:rsidRPr="004035E4">
        <w:rPr>
          <w:sz w:val="24"/>
          <w:szCs w:val="24"/>
        </w:rPr>
        <w:t>.</w:t>
      </w:r>
    </w:p>
    <w:p w14:paraId="6F30DF25" w14:textId="77777777" w:rsidR="00E935F8" w:rsidRDefault="00E935F8" w:rsidP="00903633">
      <w:pPr>
        <w:spacing w:after="0" w:line="240" w:lineRule="auto"/>
        <w:jc w:val="center"/>
        <w:rPr>
          <w:rFonts w:eastAsia="Times New Roman"/>
          <w:sz w:val="24"/>
          <w:szCs w:val="24"/>
        </w:rPr>
      </w:pPr>
    </w:p>
    <w:p w14:paraId="0C7C6E07" w14:textId="4EE62BF3" w:rsidR="00903633" w:rsidRDefault="00903633" w:rsidP="00903633">
      <w:pPr>
        <w:spacing w:after="0" w:line="240" w:lineRule="auto"/>
        <w:jc w:val="center"/>
        <w:rPr>
          <w:rFonts w:eastAsia="Times New Roman"/>
          <w:sz w:val="24"/>
          <w:szCs w:val="24"/>
        </w:rPr>
      </w:pPr>
      <w:r w:rsidRPr="004035E4">
        <w:rPr>
          <w:rFonts w:eastAsia="Times New Roman"/>
          <w:sz w:val="24"/>
          <w:szCs w:val="24"/>
        </w:rPr>
        <w:t>+ + +</w:t>
      </w:r>
    </w:p>
    <w:p w14:paraId="6FB2194C" w14:textId="77777777" w:rsidR="00E935F8" w:rsidRPr="004035E4" w:rsidRDefault="00E935F8" w:rsidP="00903633">
      <w:pPr>
        <w:spacing w:after="0" w:line="240" w:lineRule="auto"/>
        <w:jc w:val="center"/>
        <w:rPr>
          <w:rFonts w:eastAsia="Times New Roman"/>
          <w:sz w:val="24"/>
          <w:szCs w:val="24"/>
        </w:rPr>
      </w:pPr>
    </w:p>
    <w:p w14:paraId="1C95C010" w14:textId="77777777" w:rsidR="00903633" w:rsidRPr="004035E4" w:rsidRDefault="00903633" w:rsidP="00384ACE">
      <w:pPr>
        <w:pStyle w:val="nrbrzegowy2"/>
        <w:ind w:left="0" w:hanging="851"/>
      </w:pPr>
      <w:r w:rsidRPr="004035E4">
        <w:t>We wszystkich wyrokach wydawan</w:t>
      </w:r>
      <w:r>
        <w:t>ych</w:t>
      </w:r>
      <w:r w:rsidRPr="004035E4">
        <w:t xml:space="preserve"> przez polskie sądy administracyjne podkreśla się, że </w:t>
      </w:r>
      <w:r w:rsidRPr="004035E4">
        <w:rPr>
          <w:b/>
        </w:rPr>
        <w:t>orzeczeni</w:t>
      </w:r>
      <w:r>
        <w:rPr>
          <w:b/>
        </w:rPr>
        <w:t>a</w:t>
      </w:r>
      <w:r w:rsidRPr="004035E4">
        <w:rPr>
          <w:b/>
        </w:rPr>
        <w:t xml:space="preserve"> organu</w:t>
      </w:r>
      <w:r w:rsidRPr="004035E4">
        <w:t xml:space="preserve"> administracji państwowej (tu: </w:t>
      </w:r>
      <w:r w:rsidRPr="004035E4">
        <w:rPr>
          <w:b/>
        </w:rPr>
        <w:t>Urzędu Patentowego</w:t>
      </w:r>
      <w:r w:rsidRPr="004035E4">
        <w:t xml:space="preserve"> RP) </w:t>
      </w:r>
      <w:r>
        <w:rPr>
          <w:b/>
        </w:rPr>
        <w:t>są</w:t>
      </w:r>
      <w:r w:rsidRPr="004035E4">
        <w:rPr>
          <w:b/>
        </w:rPr>
        <w:t xml:space="preserve"> badane</w:t>
      </w:r>
      <w:r w:rsidRPr="004035E4">
        <w:t xml:space="preserve"> </w:t>
      </w:r>
      <w:r w:rsidRPr="004035E4">
        <w:rPr>
          <w:b/>
        </w:rPr>
        <w:t>wyłącznie pod kątem uchybień przepisom postępowania administracyjnego</w:t>
      </w:r>
      <w:r w:rsidRPr="004035E4">
        <w:t xml:space="preserve">, zatem w żadnym przypadku sprawa nie jest </w:t>
      </w:r>
      <w:r w:rsidRPr="004035E4">
        <w:rPr>
          <w:b/>
        </w:rPr>
        <w:t>badan</w:t>
      </w:r>
      <w:r>
        <w:rPr>
          <w:b/>
        </w:rPr>
        <w:t>a</w:t>
      </w:r>
      <w:r w:rsidRPr="004035E4">
        <w:rPr>
          <w:b/>
        </w:rPr>
        <w:t xml:space="preserve"> merytorycznie. </w:t>
      </w:r>
      <w:r w:rsidRPr="004035E4">
        <w:t xml:space="preserve">Powstaje wobec tego </w:t>
      </w:r>
      <w:r w:rsidRPr="004035E4">
        <w:rPr>
          <w:b/>
        </w:rPr>
        <w:t>pytanie</w:t>
      </w:r>
      <w:r w:rsidRPr="003E444F">
        <w:t>,</w:t>
      </w:r>
      <w:r w:rsidRPr="004035E4">
        <w:t xml:space="preserve"> czy ten trwający od ćwierćwiecza proces - i </w:t>
      </w:r>
      <w:r w:rsidRPr="004035E4">
        <w:rPr>
          <w:b/>
        </w:rPr>
        <w:t>inne toczące się podobnie niespiesznie przed sądami administracyjnymi</w:t>
      </w:r>
      <w:r w:rsidRPr="004035E4">
        <w:t xml:space="preserve">, w toku których badane są decyzje i postanowienia wydane przez Urząd Patentowy RP - i </w:t>
      </w:r>
      <w:r w:rsidRPr="004035E4">
        <w:rPr>
          <w:b/>
        </w:rPr>
        <w:t>czy przyjęty</w:t>
      </w:r>
      <w:r w:rsidRPr="004035E4">
        <w:t xml:space="preserve"> obecnie </w:t>
      </w:r>
      <w:r w:rsidRPr="004035E4">
        <w:rPr>
          <w:b/>
        </w:rPr>
        <w:t>sposób kontrolowania orzeczeń</w:t>
      </w:r>
      <w:r w:rsidRPr="004035E4">
        <w:t xml:space="preserve"> wydanych przez Urząd Patentowy RP </w:t>
      </w:r>
      <w:r w:rsidRPr="004035E4">
        <w:rPr>
          <w:b/>
        </w:rPr>
        <w:t>realizuje racjonalny obowiązek</w:t>
      </w:r>
      <w:r w:rsidRPr="004035E4">
        <w:t xml:space="preserve"> wynikają</w:t>
      </w:r>
      <w:r>
        <w:t>cy</w:t>
      </w:r>
      <w:r w:rsidRPr="004035E4">
        <w:t xml:space="preserve"> z treści </w:t>
      </w:r>
      <w:r w:rsidRPr="004035E4">
        <w:rPr>
          <w:b/>
        </w:rPr>
        <w:t>art. 176 ust. 1 Konstytucji</w:t>
      </w:r>
      <w:r>
        <w:t>:</w:t>
      </w:r>
      <w:r w:rsidRPr="004035E4">
        <w:t xml:space="preserve"> </w:t>
      </w:r>
    </w:p>
    <w:p w14:paraId="5AB4A0B6" w14:textId="77777777" w:rsidR="00E935F8" w:rsidRPr="00E935F8" w:rsidRDefault="00E935F8" w:rsidP="00E935F8">
      <w:pPr>
        <w:shd w:val="clear" w:color="auto" w:fill="FFFFFF"/>
        <w:spacing w:after="0" w:line="240" w:lineRule="auto"/>
        <w:ind w:left="851"/>
        <w:rPr>
          <w:rFonts w:ascii="Noto Serif" w:eastAsia="Times New Roman" w:hAnsi="Noto Serif" w:cs="Noto Serif"/>
          <w:b/>
          <w:bCs/>
          <w:color w:val="333333"/>
          <w:kern w:val="0"/>
          <w:sz w:val="10"/>
          <w:szCs w:val="10"/>
          <w:lang w:eastAsia="pl-PL"/>
          <w14:ligatures w14:val="none"/>
        </w:rPr>
      </w:pPr>
    </w:p>
    <w:p w14:paraId="37F5DE29" w14:textId="7EF01077" w:rsidR="00903633" w:rsidRPr="004206C9" w:rsidRDefault="00903633" w:rsidP="00E935F8">
      <w:pPr>
        <w:shd w:val="clear" w:color="auto" w:fill="FFFFFF"/>
        <w:spacing w:after="0" w:line="240" w:lineRule="auto"/>
        <w:ind w:left="851"/>
        <w:rPr>
          <w:rFonts w:ascii="Noto Serif" w:eastAsia="Times New Roman" w:hAnsi="Noto Serif" w:cs="Noto Serif"/>
          <w:color w:val="333333"/>
          <w:kern w:val="0"/>
          <w:sz w:val="20"/>
          <w:szCs w:val="20"/>
          <w:lang w:eastAsia="pl-PL"/>
          <w14:ligatures w14:val="none"/>
        </w:rPr>
      </w:pPr>
      <w:r w:rsidRPr="004206C9">
        <w:rPr>
          <w:rFonts w:ascii="Noto Serif" w:eastAsia="Times New Roman" w:hAnsi="Noto Serif" w:cs="Noto Serif"/>
          <w:b/>
          <w:bCs/>
          <w:color w:val="333333"/>
          <w:kern w:val="0"/>
          <w:sz w:val="20"/>
          <w:szCs w:val="20"/>
          <w:lang w:eastAsia="pl-PL"/>
          <w14:ligatures w14:val="none"/>
        </w:rPr>
        <w:t xml:space="preserve">Art. 176 </w:t>
      </w:r>
    </w:p>
    <w:p w14:paraId="6E589525" w14:textId="77777777" w:rsidR="00903633" w:rsidRPr="004206C9" w:rsidRDefault="00903633" w:rsidP="00E935F8">
      <w:pPr>
        <w:shd w:val="clear" w:color="auto" w:fill="FFFFFF"/>
        <w:spacing w:after="0" w:line="240" w:lineRule="auto"/>
        <w:ind w:left="851"/>
        <w:rPr>
          <w:rFonts w:ascii="Noto Serif" w:eastAsia="Times New Roman" w:hAnsi="Noto Serif" w:cs="Noto Serif"/>
          <w:color w:val="333333"/>
          <w:kern w:val="0"/>
          <w:sz w:val="20"/>
          <w:szCs w:val="20"/>
          <w:lang w:eastAsia="pl-PL"/>
          <w14:ligatures w14:val="none"/>
        </w:rPr>
      </w:pPr>
      <w:bookmarkStart w:id="101" w:name="mip82437"/>
      <w:bookmarkEnd w:id="101"/>
      <w:r w:rsidRPr="004206C9">
        <w:rPr>
          <w:rFonts w:ascii="Noto Serif" w:eastAsia="Times New Roman" w:hAnsi="Noto Serif" w:cs="Noto Serif"/>
          <w:color w:val="333333"/>
          <w:kern w:val="0"/>
          <w:sz w:val="20"/>
          <w:szCs w:val="20"/>
          <w:lang w:eastAsia="pl-PL"/>
          <w14:ligatures w14:val="none"/>
        </w:rPr>
        <w:t>1. Postępowanie sądowe jest co najmniej dwuinstancyjne.</w:t>
      </w:r>
    </w:p>
    <w:p w14:paraId="575EACDE" w14:textId="77777777" w:rsidR="00903633" w:rsidRDefault="00903633" w:rsidP="00E935F8">
      <w:pPr>
        <w:shd w:val="clear" w:color="auto" w:fill="FFFFFF"/>
        <w:spacing w:after="0" w:line="240" w:lineRule="auto"/>
        <w:ind w:left="851"/>
        <w:rPr>
          <w:rFonts w:ascii="Noto Serif" w:eastAsia="Times New Roman" w:hAnsi="Noto Serif" w:cs="Noto Serif"/>
          <w:color w:val="333333"/>
          <w:kern w:val="0"/>
          <w:sz w:val="20"/>
          <w:szCs w:val="20"/>
          <w:lang w:eastAsia="pl-PL"/>
          <w14:ligatures w14:val="none"/>
        </w:rPr>
      </w:pPr>
      <w:bookmarkStart w:id="102" w:name="mip82438"/>
      <w:bookmarkEnd w:id="102"/>
      <w:r w:rsidRPr="004206C9">
        <w:rPr>
          <w:rFonts w:ascii="Noto Serif" w:eastAsia="Times New Roman" w:hAnsi="Noto Serif" w:cs="Noto Serif"/>
          <w:color w:val="333333"/>
          <w:kern w:val="0"/>
          <w:sz w:val="20"/>
          <w:szCs w:val="20"/>
          <w:lang w:eastAsia="pl-PL"/>
          <w14:ligatures w14:val="none"/>
        </w:rPr>
        <w:t>2. Ustrój i właściwość sądów oraz postępowanie przed sądami określają ustawy.</w:t>
      </w:r>
    </w:p>
    <w:p w14:paraId="661AA760" w14:textId="77777777" w:rsidR="00903633" w:rsidRPr="00E935F8" w:rsidRDefault="00903633" w:rsidP="00903633">
      <w:pPr>
        <w:shd w:val="clear" w:color="auto" w:fill="FFFFFF"/>
        <w:spacing w:after="0" w:line="240" w:lineRule="auto"/>
        <w:rPr>
          <w:rFonts w:ascii="Noto Serif" w:eastAsia="Times New Roman" w:hAnsi="Noto Serif" w:cs="Noto Serif"/>
          <w:color w:val="333333"/>
          <w:kern w:val="0"/>
          <w:sz w:val="10"/>
          <w:szCs w:val="10"/>
          <w:lang w:eastAsia="pl-PL"/>
          <w14:ligatures w14:val="none"/>
        </w:rPr>
      </w:pPr>
    </w:p>
    <w:p w14:paraId="2793E8D7" w14:textId="77777777" w:rsidR="00903633" w:rsidRDefault="00903633" w:rsidP="00384ACE">
      <w:pPr>
        <w:pStyle w:val="nrbrzegowy2"/>
        <w:ind w:left="0" w:hanging="851"/>
      </w:pPr>
      <w:r>
        <w:t xml:space="preserve">Wskazany przypadek nie jest wcale odosobniony. </w:t>
      </w:r>
    </w:p>
    <w:p w14:paraId="70584736" w14:textId="77777777" w:rsidR="00903633" w:rsidRDefault="00903633" w:rsidP="00384ACE">
      <w:pPr>
        <w:pStyle w:val="nrbrzegowy2"/>
        <w:ind w:left="0" w:hanging="851"/>
      </w:pPr>
      <w:r w:rsidRPr="003B1926">
        <w:t>Trudno oprzeć się wrażeniu</w:t>
      </w:r>
      <w:r>
        <w:t xml:space="preserve">, </w:t>
      </w:r>
      <w:r w:rsidRPr="003B1926">
        <w:t xml:space="preserve">że system prawny </w:t>
      </w:r>
      <w:r>
        <w:t xml:space="preserve">jest </w:t>
      </w:r>
      <w:r w:rsidRPr="003B1926">
        <w:t>niewydoln</w:t>
      </w:r>
      <w:r>
        <w:t>y</w:t>
      </w:r>
      <w:r w:rsidRPr="003B1926">
        <w:t xml:space="preserve"> i że </w:t>
      </w:r>
      <w:r>
        <w:t>juryspruden</w:t>
      </w:r>
      <w:r w:rsidRPr="003B1926">
        <w:t>cja funkcjonuje sam</w:t>
      </w:r>
      <w:r>
        <w:t>a</w:t>
      </w:r>
      <w:r w:rsidRPr="003B1926">
        <w:t xml:space="preserve"> </w:t>
      </w:r>
      <w:r>
        <w:t xml:space="preserve">dla </w:t>
      </w:r>
      <w:r w:rsidRPr="003B1926">
        <w:t>siebie</w:t>
      </w:r>
      <w:r>
        <w:t xml:space="preserve">, </w:t>
      </w:r>
      <w:r w:rsidRPr="003B1926">
        <w:t xml:space="preserve">nie </w:t>
      </w:r>
      <w:proofErr w:type="gramStart"/>
      <w:r w:rsidRPr="003B1926">
        <w:t>bacząc</w:t>
      </w:r>
      <w:proofErr w:type="gramEnd"/>
      <w:r w:rsidRPr="003B1926">
        <w:t xml:space="preserve"> na żywotne interesy przedsiębiorców</w:t>
      </w:r>
      <w:r>
        <w:t>.</w:t>
      </w:r>
    </w:p>
    <w:p w14:paraId="05B0CAEC" w14:textId="77777777" w:rsidR="00903633" w:rsidRDefault="00903633" w:rsidP="00384ACE">
      <w:pPr>
        <w:pStyle w:val="nrbrzegowy2"/>
        <w:ind w:left="0" w:hanging="851"/>
      </w:pPr>
      <w:r w:rsidRPr="00BA46A5">
        <w:t>Można zadać sobie pytanie</w:t>
      </w:r>
      <w:r>
        <w:t>,</w:t>
      </w:r>
      <w:r w:rsidRPr="00BA46A5">
        <w:t xml:space="preserve"> jaką realną korzyść osiąga przedsiębiorca </w:t>
      </w:r>
      <w:r>
        <w:t xml:space="preserve">- </w:t>
      </w:r>
      <w:r w:rsidRPr="00BA46A5">
        <w:t xml:space="preserve">po kilkunastu latach od wydania </w:t>
      </w:r>
      <w:r>
        <w:t xml:space="preserve">nawet doskonałego </w:t>
      </w:r>
      <w:r w:rsidRPr="00BA46A5">
        <w:t xml:space="preserve">orzeczenia </w:t>
      </w:r>
      <w:r>
        <w:t xml:space="preserve">- </w:t>
      </w:r>
      <w:r w:rsidRPr="00BA46A5">
        <w:t xml:space="preserve">gdy jego </w:t>
      </w:r>
      <w:r w:rsidRPr="00BA46A5">
        <w:rPr>
          <w:b/>
        </w:rPr>
        <w:t>problemy powinny roz</w:t>
      </w:r>
      <w:r>
        <w:rPr>
          <w:b/>
        </w:rPr>
        <w:t>strzygnięte tu</w:t>
      </w:r>
      <w:r w:rsidRPr="00BA46A5">
        <w:rPr>
          <w:b/>
        </w:rPr>
        <w:t xml:space="preserve"> i teraz</w:t>
      </w:r>
      <w:r>
        <w:t>.</w:t>
      </w:r>
    </w:p>
    <w:p w14:paraId="6A656D37" w14:textId="77777777" w:rsidR="00903633" w:rsidRDefault="00903633" w:rsidP="00384ACE">
      <w:pPr>
        <w:pStyle w:val="nrbrzegowy2"/>
        <w:ind w:left="0" w:hanging="851"/>
      </w:pPr>
      <w:r>
        <w:t>Nie interesuje nas przecież tak zwana „</w:t>
      </w:r>
      <w:r w:rsidRPr="00DD6BA8">
        <w:rPr>
          <w:b/>
          <w:i/>
          <w:iCs/>
        </w:rPr>
        <w:t>sprawiedliwość formalna</w:t>
      </w:r>
      <w:r>
        <w:t>”, lecz realna, szybka i efektywna reakcja wymiaru sprawiedliwości na przejawy patologii życia gospodarczego. Takich efektów nie gwarantuje nam obecnie obowiązujący system proceduralny.</w:t>
      </w:r>
    </w:p>
    <w:p w14:paraId="501BBAA2" w14:textId="77777777" w:rsidR="00903633" w:rsidRDefault="00903633" w:rsidP="00384ACE">
      <w:pPr>
        <w:pStyle w:val="nrbrzegowy2"/>
        <w:ind w:left="0" w:hanging="851"/>
      </w:pPr>
      <w:r>
        <w:t xml:space="preserve">Nie należą do rzadkości sytuacje, w których przedsiębiorca uzyskuje korzystne dla siebie rozstrzygnięcie, ale w dacie wydania orzeczenia dawno już został wyeliminowany z obrotu gospodarczego. Należy więc postawić </w:t>
      </w:r>
      <w:r w:rsidRPr="00DD6BA8">
        <w:rPr>
          <w:b/>
        </w:rPr>
        <w:t>elementarne pytanie</w:t>
      </w:r>
      <w:r>
        <w:t xml:space="preserve"> o to, w jakim zakresie wymiar sprawiedliwości w obecnym kształcie - realizuje swoje funkcje ochronne. </w:t>
      </w:r>
    </w:p>
    <w:p w14:paraId="52D3C905" w14:textId="77777777" w:rsidR="00903633" w:rsidRPr="004035E4" w:rsidRDefault="00903633" w:rsidP="00903633">
      <w:pPr>
        <w:shd w:val="clear" w:color="auto" w:fill="FFFFFF"/>
        <w:spacing w:after="0" w:line="240" w:lineRule="auto"/>
        <w:rPr>
          <w:rFonts w:ascii="Noto Serif" w:eastAsia="Times New Roman" w:hAnsi="Noto Serif" w:cs="Noto Serif"/>
          <w:color w:val="333333"/>
          <w:kern w:val="0"/>
          <w:sz w:val="20"/>
          <w:szCs w:val="20"/>
          <w:lang w:eastAsia="pl-PL"/>
          <w14:ligatures w14:val="none"/>
        </w:rPr>
      </w:pPr>
    </w:p>
    <w:p w14:paraId="15CADC6D" w14:textId="3CB78A23" w:rsidR="005D5C3D" w:rsidRPr="00903633" w:rsidRDefault="00903633" w:rsidP="00903633">
      <w:pPr>
        <w:jc w:val="center"/>
      </w:pPr>
      <w:r w:rsidRPr="00B7601C">
        <w:t>* * *</w:t>
      </w:r>
    </w:p>
    <w:p w14:paraId="09389AC7" w14:textId="77777777" w:rsidR="00CA440A" w:rsidRPr="00972F3D" w:rsidRDefault="00CA440A" w:rsidP="00CA440A">
      <w:pPr>
        <w:spacing w:after="0"/>
        <w:rPr>
          <w:sz w:val="24"/>
          <w:szCs w:val="24"/>
        </w:rPr>
      </w:pPr>
      <w:r w:rsidRPr="00972F3D">
        <w:rPr>
          <w:b/>
          <w:bCs/>
          <w:kern w:val="0"/>
          <w:sz w:val="24"/>
          <w:szCs w:val="24"/>
        </w:rPr>
        <w:t>Pojęcia kluczowe</w:t>
      </w:r>
      <w:r w:rsidRPr="00972F3D">
        <w:rPr>
          <w:kern w:val="0"/>
          <w:sz w:val="24"/>
          <w:szCs w:val="24"/>
        </w:rPr>
        <w:t>:</w:t>
      </w:r>
      <w:r w:rsidRPr="00972F3D">
        <w:rPr>
          <w:b/>
          <w:bCs/>
          <w:sz w:val="24"/>
          <w:szCs w:val="24"/>
        </w:rPr>
        <w:t xml:space="preserve"> </w:t>
      </w:r>
      <w:r w:rsidRPr="00972F3D">
        <w:rPr>
          <w:sz w:val="24"/>
          <w:szCs w:val="24"/>
        </w:rPr>
        <w:t>USTAWA O ZWALCZANIU NIEUCZCIWEJ KONKURENCJI ART. 3, 5 I 10</w:t>
      </w:r>
    </w:p>
    <w:p w14:paraId="5B968C5F" w14:textId="77777777" w:rsidR="00CA440A" w:rsidRPr="00263A24" w:rsidRDefault="00CA440A" w:rsidP="00CA440A">
      <w:pPr>
        <w:spacing w:after="0"/>
        <w:rPr>
          <w:color w:val="2E74B5" w:themeColor="accent5" w:themeShade="BF"/>
        </w:rPr>
      </w:pPr>
      <w:r w:rsidRPr="00D15CE8">
        <w:rPr>
          <w:b/>
          <w:bCs/>
          <w:sz w:val="24"/>
          <w:szCs w:val="24"/>
        </w:rPr>
        <w:t>Miejsce publikacji</w:t>
      </w:r>
      <w:r w:rsidRPr="00B903F0">
        <w:rPr>
          <w:sz w:val="24"/>
          <w:szCs w:val="24"/>
        </w:rPr>
        <w:t xml:space="preserve">: </w:t>
      </w:r>
      <w:hyperlink r:id="rId130" w:history="1">
        <w:r w:rsidRPr="00384ACE">
          <w:rPr>
            <w:rStyle w:val="Hipercze"/>
            <w:color w:val="2E74B5" w:themeColor="accent5" w:themeShade="BF"/>
            <w:sz w:val="24"/>
            <w:szCs w:val="24"/>
          </w:rPr>
          <w:t>https://www.sn.pl/sites/orzecznictwo/Orzeczenia2/V%20CSK%20503-07-1.pdf</w:t>
        </w:r>
      </w:hyperlink>
      <w:r w:rsidRPr="00384ACE">
        <w:rPr>
          <w:color w:val="2E74B5" w:themeColor="accent5" w:themeShade="BF"/>
          <w:sz w:val="24"/>
          <w:szCs w:val="24"/>
        </w:rPr>
        <w:t xml:space="preserve"> ; </w:t>
      </w:r>
      <w:hyperlink r:id="rId131" w:history="1">
        <w:r w:rsidRPr="00384ACE">
          <w:rPr>
            <w:rStyle w:val="Hipercze"/>
            <w:color w:val="2E74B5" w:themeColor="accent5" w:themeShade="BF"/>
            <w:sz w:val="24"/>
            <w:szCs w:val="24"/>
          </w:rPr>
          <w:t>https://stowi.pl/wyrok-z-dnia-09-04-2008-r-wydany-w-sprawie-sygn-akt-v-csk-503-07-w-ktorym-sad-najwyzszy-przypomnial-o/</w:t>
        </w:r>
      </w:hyperlink>
      <w:r w:rsidRPr="00384ACE">
        <w:rPr>
          <w:color w:val="2E74B5" w:themeColor="accent5" w:themeShade="BF"/>
          <w:sz w:val="24"/>
          <w:szCs w:val="24"/>
        </w:rPr>
        <w:t xml:space="preserve"> </w:t>
      </w:r>
    </w:p>
    <w:p w14:paraId="49EC5CD5" w14:textId="77777777" w:rsidR="005D5C3D" w:rsidRDefault="005D5C3D" w:rsidP="008E4727"/>
    <w:p w14:paraId="4C9B9416" w14:textId="77777777" w:rsidR="005D5C3D" w:rsidRDefault="005D5C3D" w:rsidP="008E4727"/>
    <w:p w14:paraId="44EA96EE" w14:textId="77777777" w:rsidR="005D5C3D" w:rsidRDefault="005D5C3D" w:rsidP="008E4727"/>
    <w:p w14:paraId="64CE2632" w14:textId="77777777" w:rsidR="005D5C3D" w:rsidRDefault="005D5C3D" w:rsidP="008E4727"/>
    <w:p w14:paraId="2CAF14E5" w14:textId="77777777" w:rsidR="005D5C3D" w:rsidRDefault="005D5C3D" w:rsidP="008E4727"/>
    <w:p w14:paraId="3A04CEAC" w14:textId="77777777" w:rsidR="005D5C3D" w:rsidRDefault="005D5C3D" w:rsidP="008E4727"/>
    <w:p w14:paraId="7E4D3060" w14:textId="77777777" w:rsidR="005D5C3D" w:rsidRDefault="005D5C3D" w:rsidP="008E4727"/>
    <w:p w14:paraId="7A3E4957" w14:textId="77777777" w:rsidR="005D5C3D" w:rsidRDefault="005D5C3D" w:rsidP="008E4727"/>
    <w:p w14:paraId="12DD3DA0" w14:textId="77777777" w:rsidR="00F561D7" w:rsidRDefault="00F561D7" w:rsidP="008E4727"/>
    <w:p w14:paraId="111C4C8B" w14:textId="77777777" w:rsidR="00F561D7" w:rsidRDefault="00F561D7" w:rsidP="008E4727"/>
    <w:p w14:paraId="7A0B1E9D" w14:textId="77777777" w:rsidR="00F561D7" w:rsidRDefault="00F561D7" w:rsidP="008E4727"/>
    <w:p w14:paraId="4D14B12E" w14:textId="77777777" w:rsidR="00F561D7" w:rsidRDefault="00F561D7" w:rsidP="008E4727"/>
    <w:p w14:paraId="3B738620" w14:textId="77777777" w:rsidR="00F561D7" w:rsidRDefault="00F561D7" w:rsidP="008E4727"/>
    <w:p w14:paraId="01E11FCF" w14:textId="77777777" w:rsidR="00F561D7" w:rsidRDefault="00F561D7" w:rsidP="008E4727"/>
    <w:p w14:paraId="4797FB07" w14:textId="77777777" w:rsidR="00F561D7" w:rsidRDefault="00F561D7" w:rsidP="008E4727"/>
    <w:p w14:paraId="303C9346" w14:textId="77777777" w:rsidR="00F561D7" w:rsidRDefault="00F561D7" w:rsidP="008E4727"/>
    <w:p w14:paraId="5BA1C7BE" w14:textId="77777777" w:rsidR="00F561D7" w:rsidRDefault="00F561D7" w:rsidP="008E4727"/>
    <w:p w14:paraId="79B6D1A4" w14:textId="77777777" w:rsidR="00F561D7" w:rsidRDefault="00F561D7" w:rsidP="008E4727"/>
    <w:p w14:paraId="7FA336A1" w14:textId="77777777" w:rsidR="00F561D7" w:rsidRDefault="00F561D7" w:rsidP="008E4727"/>
    <w:p w14:paraId="79E323FE" w14:textId="5D6CDC15" w:rsidR="00715C79" w:rsidRDefault="00715C79">
      <w:r>
        <w:br w:type="page"/>
      </w:r>
    </w:p>
    <w:p w14:paraId="3C4549A8" w14:textId="77777777" w:rsidR="005D5C3D" w:rsidRDefault="005D5C3D" w:rsidP="008E4727"/>
    <w:p w14:paraId="1F4BE70C" w14:textId="4267166E" w:rsidR="00A66599" w:rsidRPr="00FA6806" w:rsidRDefault="00E76D44" w:rsidP="00A66599">
      <w:pPr>
        <w:spacing w:after="0"/>
        <w:rPr>
          <w:rFonts w:cstheme="minorHAnsi"/>
          <w:b/>
          <w:bCs/>
          <w:noProof/>
          <w:sz w:val="24"/>
          <w:szCs w:val="24"/>
          <w:lang w:eastAsia="pl-PL"/>
        </w:rPr>
      </w:pPr>
      <w:r w:rsidRPr="00FA6806">
        <w:rPr>
          <w:rStyle w:val="Nagwek2Znak"/>
          <w:sz w:val="28"/>
          <w:szCs w:val="28"/>
        </w:rPr>
        <w:br/>
      </w:r>
      <w:r w:rsidR="00A66599" w:rsidRPr="00FA6806">
        <w:rPr>
          <w:rStyle w:val="Nagwek2Znak"/>
          <w:b w:val="0"/>
          <w:bCs w:val="0"/>
          <w:noProof/>
          <w:lang w:eastAsia="pl-PL"/>
        </w:rPr>
        <w:drawing>
          <wp:anchor distT="0" distB="0" distL="114300" distR="114300" simplePos="0" relativeHeight="251875328" behindDoc="0" locked="0" layoutInCell="1" allowOverlap="1" wp14:anchorId="7546AC68" wp14:editId="27F5A638">
            <wp:simplePos x="0" y="0"/>
            <wp:positionH relativeFrom="column">
              <wp:posOffset>33655</wp:posOffset>
            </wp:positionH>
            <wp:positionV relativeFrom="paragraph">
              <wp:posOffset>3810</wp:posOffset>
            </wp:positionV>
            <wp:extent cx="1980000" cy="1080000"/>
            <wp:effectExtent l="0" t="0" r="1270" b="6350"/>
            <wp:wrapThrough wrapText="bothSides">
              <wp:wrapPolygon edited="0">
                <wp:start x="0" y="0"/>
                <wp:lineTo x="0" y="21346"/>
                <wp:lineTo x="21406" y="21346"/>
                <wp:lineTo x="21406" y="0"/>
                <wp:lineTo x="0" y="0"/>
              </wp:wrapPolygon>
            </wp:wrapThrough>
            <wp:docPr id="1974170939" name="Obraz 7" descr="Obraz zawierający skala, w pomieszczeniu&#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4170939" name="Obraz 7" descr="Obraz zawierający skala, w pomieszczeniu&#10;&#10;Opis wygenerowany automatyczni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6599" w:rsidRPr="00FA6806">
        <w:rPr>
          <w:rStyle w:val="Nagwek2Znak"/>
          <w:b w:val="0"/>
          <w:bCs w:val="0"/>
          <w:noProof/>
          <w:lang w:eastAsia="pl-PL"/>
        </w:rPr>
        <mc:AlternateContent>
          <mc:Choice Requires="wps">
            <w:drawing>
              <wp:anchor distT="0" distB="0" distL="114300" distR="114300" simplePos="0" relativeHeight="251874304" behindDoc="0" locked="0" layoutInCell="1" allowOverlap="1" wp14:anchorId="0B067ACA" wp14:editId="237023A5">
                <wp:simplePos x="0" y="0"/>
                <wp:positionH relativeFrom="margin">
                  <wp:posOffset>-98755</wp:posOffset>
                </wp:positionH>
                <wp:positionV relativeFrom="paragraph">
                  <wp:posOffset>-383540</wp:posOffset>
                </wp:positionV>
                <wp:extent cx="527050" cy="372745"/>
                <wp:effectExtent l="0" t="0" r="6350" b="8255"/>
                <wp:wrapNone/>
                <wp:docPr id="1776595786"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7E7116BD" w14:textId="60C7CBFA" w:rsidR="00541DD6" w:rsidRPr="00142068" w:rsidRDefault="008E4727" w:rsidP="0021150F">
                            <w:pPr>
                              <w:pStyle w:val="NumeracjaRozdzial"/>
                            </w:pPr>
                            <w:r>
                              <w:t>3</w:t>
                            </w:r>
                            <w:r w:rsidR="00541DD6" w:rsidRPr="00142068">
                              <w:t>.</w:t>
                            </w:r>
                          </w:p>
                          <w:p w14:paraId="53825103" w14:textId="77777777" w:rsidR="00541DD6" w:rsidRDefault="00541DD6" w:rsidP="00A66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067ACA" id="_x0000_s1040" type="#_x0000_t202" style="position:absolute;margin-left:-7.8pt;margin-top:-30.2pt;width:41.5pt;height:29.35pt;z-index:251874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7J1Ky8CAABbBAAADgAAAAAAAAAAAAAAAAAu&#10;AgAAZHJzL2Uyb0RvYy54bWxQSwECLQAUAAYACAAAACEAokroqeEAAAAJAQAADwAAAAAAAAAAAAAA&#10;AACJBAAAZHJzL2Rvd25yZXYueG1sUEsFBgAAAAAEAAQA8wAAAJcFAAAAAA==&#10;" fillcolor="white [3201]" stroked="f" strokeweight=".5pt">
                <v:textbox>
                  <w:txbxContent>
                    <w:p w14:paraId="7E7116BD" w14:textId="60C7CBFA" w:rsidR="00541DD6" w:rsidRPr="00142068" w:rsidRDefault="008E4727" w:rsidP="0021150F">
                      <w:pPr>
                        <w:pStyle w:val="NumeracjaRozdzial"/>
                      </w:pPr>
                      <w:r>
                        <w:t>3</w:t>
                      </w:r>
                      <w:r w:rsidR="00541DD6" w:rsidRPr="00142068">
                        <w:t>.</w:t>
                      </w:r>
                    </w:p>
                    <w:p w14:paraId="53825103" w14:textId="77777777" w:rsidR="00541DD6" w:rsidRDefault="00541DD6" w:rsidP="00A66599"/>
                  </w:txbxContent>
                </v:textbox>
                <w10:wrap anchorx="margin"/>
              </v:shape>
            </w:pict>
          </mc:Fallback>
        </mc:AlternateContent>
      </w:r>
      <w:bookmarkStart w:id="103" w:name="_Toc170117982"/>
      <w:r w:rsidR="00A66599" w:rsidRPr="00FA6806">
        <w:rPr>
          <w:rStyle w:val="Nagwek2Znak"/>
        </w:rPr>
        <w:t>Pwp art. 120 oznaczenie w postaci pojedynczej litery - art. 4 rozporządzenia nr 40’94 + art. 4 2017’1001 TSUE C-265’09</w:t>
      </w:r>
      <w:bookmarkEnd w:id="103"/>
    </w:p>
    <w:p w14:paraId="1D8C4B5B" w14:textId="77777777" w:rsidR="00A66599" w:rsidRPr="00EC4F25" w:rsidRDefault="00A66599" w:rsidP="002B528D">
      <w:pPr>
        <w:spacing w:after="0"/>
        <w:jc w:val="center"/>
        <w:rPr>
          <w:sz w:val="20"/>
          <w:szCs w:val="20"/>
        </w:rPr>
      </w:pPr>
    </w:p>
    <w:p w14:paraId="7CCB3D34" w14:textId="1BA72139" w:rsidR="00A66599" w:rsidRDefault="00A66599" w:rsidP="00D5165F">
      <w:pPr>
        <w:spacing w:after="0"/>
        <w:rPr>
          <w:sz w:val="20"/>
          <w:szCs w:val="20"/>
        </w:rPr>
      </w:pPr>
    </w:p>
    <w:p w14:paraId="75B24599" w14:textId="77777777" w:rsidR="00D5165F" w:rsidRDefault="00D5165F" w:rsidP="00D5165F">
      <w:pPr>
        <w:spacing w:after="0"/>
        <w:rPr>
          <w:b/>
          <w:bCs/>
          <w:sz w:val="26"/>
          <w:szCs w:val="26"/>
        </w:rPr>
      </w:pPr>
    </w:p>
    <w:p w14:paraId="5F15A334" w14:textId="77777777" w:rsidR="00F561D7" w:rsidRPr="00EC4F25" w:rsidRDefault="00F561D7" w:rsidP="00D5165F">
      <w:pPr>
        <w:spacing w:after="0"/>
        <w:rPr>
          <w:b/>
          <w:bCs/>
          <w:sz w:val="26"/>
          <w:szCs w:val="26"/>
        </w:rPr>
      </w:pPr>
    </w:p>
    <w:p w14:paraId="4987D623" w14:textId="77777777" w:rsidR="002B528D" w:rsidRPr="00D15CE8" w:rsidRDefault="002B528D" w:rsidP="002B528D">
      <w:pPr>
        <w:spacing w:after="0"/>
        <w:jc w:val="center"/>
        <w:rPr>
          <w:sz w:val="24"/>
          <w:szCs w:val="24"/>
        </w:rPr>
      </w:pPr>
      <w:r w:rsidRPr="00D15CE8">
        <w:rPr>
          <w:sz w:val="24"/>
          <w:szCs w:val="24"/>
        </w:rPr>
        <w:t xml:space="preserve">Wyrok </w:t>
      </w:r>
    </w:p>
    <w:p w14:paraId="7B2ECD1C" w14:textId="77777777" w:rsidR="002B528D" w:rsidRPr="00D15CE8" w:rsidRDefault="002B528D" w:rsidP="002B528D">
      <w:pPr>
        <w:spacing w:after="0"/>
        <w:jc w:val="center"/>
        <w:rPr>
          <w:sz w:val="24"/>
          <w:szCs w:val="24"/>
        </w:rPr>
      </w:pPr>
      <w:r w:rsidRPr="00D15CE8">
        <w:rPr>
          <w:sz w:val="24"/>
          <w:szCs w:val="24"/>
        </w:rPr>
        <w:t xml:space="preserve">Trybunału Sprawiedliwości </w:t>
      </w:r>
    </w:p>
    <w:p w14:paraId="4D7FA78D" w14:textId="77777777" w:rsidR="002B528D" w:rsidRPr="00D15CE8" w:rsidRDefault="002B528D" w:rsidP="002B528D">
      <w:pPr>
        <w:spacing w:after="0"/>
        <w:jc w:val="center"/>
        <w:rPr>
          <w:sz w:val="24"/>
          <w:szCs w:val="24"/>
        </w:rPr>
      </w:pPr>
      <w:r w:rsidRPr="00D15CE8">
        <w:rPr>
          <w:sz w:val="24"/>
          <w:szCs w:val="24"/>
        </w:rPr>
        <w:t>z dnia 9 września 2010 r.</w:t>
      </w:r>
    </w:p>
    <w:p w14:paraId="354BBA25" w14:textId="77777777" w:rsidR="002B528D" w:rsidRPr="00D15CE8" w:rsidRDefault="002B528D" w:rsidP="002B528D">
      <w:pPr>
        <w:spacing w:after="0"/>
        <w:jc w:val="center"/>
        <w:rPr>
          <w:sz w:val="24"/>
          <w:szCs w:val="24"/>
        </w:rPr>
      </w:pPr>
      <w:r w:rsidRPr="00D15CE8">
        <w:rPr>
          <w:sz w:val="24"/>
          <w:szCs w:val="24"/>
        </w:rPr>
        <w:t>C-265/09 P</w:t>
      </w:r>
    </w:p>
    <w:p w14:paraId="3530E2D3" w14:textId="77777777" w:rsidR="002B528D" w:rsidRPr="00EC4F25" w:rsidRDefault="002B528D" w:rsidP="002B528D">
      <w:pPr>
        <w:spacing w:after="0"/>
        <w:jc w:val="center"/>
      </w:pPr>
    </w:p>
    <w:p w14:paraId="2F7A9A23" w14:textId="5A314EE1" w:rsidR="002B528D" w:rsidRPr="00D15CE8" w:rsidRDefault="003460B7" w:rsidP="002B528D">
      <w:pPr>
        <w:spacing w:after="0"/>
        <w:jc w:val="both"/>
        <w:rPr>
          <w:b/>
          <w:bCs/>
          <w:sz w:val="24"/>
          <w:szCs w:val="24"/>
        </w:rPr>
      </w:pPr>
      <w:r w:rsidRPr="00D15CE8">
        <w:rPr>
          <w:b/>
          <w:bCs/>
          <w:sz w:val="24"/>
          <w:szCs w:val="24"/>
        </w:rPr>
        <w:t>TEZA</w:t>
      </w:r>
      <w:r>
        <w:rPr>
          <w:b/>
          <w:bCs/>
          <w:sz w:val="24"/>
          <w:szCs w:val="24"/>
        </w:rPr>
        <w:t xml:space="preserve">: </w:t>
      </w:r>
    </w:p>
    <w:p w14:paraId="0D77F042" w14:textId="77777777" w:rsidR="002B528D" w:rsidRPr="003460B7" w:rsidRDefault="002B528D" w:rsidP="002B528D">
      <w:pPr>
        <w:spacing w:after="0"/>
        <w:jc w:val="both"/>
        <w:rPr>
          <w:sz w:val="8"/>
          <w:szCs w:val="8"/>
        </w:rPr>
      </w:pPr>
    </w:p>
    <w:p w14:paraId="4D48C8A7" w14:textId="77777777" w:rsidR="002B528D" w:rsidRPr="00D15CE8" w:rsidRDefault="002B528D" w:rsidP="002B528D">
      <w:pPr>
        <w:spacing w:after="0"/>
        <w:jc w:val="both"/>
        <w:rPr>
          <w:sz w:val="24"/>
          <w:szCs w:val="24"/>
        </w:rPr>
      </w:pPr>
      <w:r w:rsidRPr="00D15CE8">
        <w:rPr>
          <w:sz w:val="24"/>
          <w:szCs w:val="24"/>
        </w:rPr>
        <w:t xml:space="preserve">1. </w:t>
      </w:r>
      <w:r w:rsidRPr="00D15CE8">
        <w:rPr>
          <w:b/>
          <w:bCs/>
          <w:sz w:val="24"/>
          <w:szCs w:val="24"/>
        </w:rPr>
        <w:t>Charakter odróżniający znaku towarowego</w:t>
      </w:r>
      <w:r w:rsidRPr="00D15CE8">
        <w:rPr>
          <w:sz w:val="24"/>
          <w:szCs w:val="24"/>
        </w:rPr>
        <w:t xml:space="preserve"> w rozumieniu wspomnianego przepisu oznacza, że </w:t>
      </w:r>
      <w:r w:rsidRPr="00D15CE8">
        <w:rPr>
          <w:b/>
          <w:bCs/>
          <w:sz w:val="24"/>
          <w:szCs w:val="24"/>
        </w:rPr>
        <w:t>znak ten pozwala ustalić, iż towar</w:t>
      </w:r>
      <w:r w:rsidRPr="00D15CE8">
        <w:rPr>
          <w:sz w:val="24"/>
          <w:szCs w:val="24"/>
        </w:rPr>
        <w:t xml:space="preserve">, dla którego dokonano zgłoszenia, </w:t>
      </w:r>
      <w:r w:rsidRPr="00D15CE8">
        <w:rPr>
          <w:b/>
          <w:bCs/>
          <w:sz w:val="24"/>
          <w:szCs w:val="24"/>
        </w:rPr>
        <w:t>pochodzi z określonego przedsiębiorstwa</w:t>
      </w:r>
      <w:r w:rsidRPr="00D15CE8">
        <w:rPr>
          <w:sz w:val="24"/>
          <w:szCs w:val="24"/>
        </w:rPr>
        <w:t xml:space="preserve">, i tym samym odróżnić go od towarów pochodzących z innych przedsiębiorstw. </w:t>
      </w:r>
    </w:p>
    <w:p w14:paraId="7C467CBD" w14:textId="77777777" w:rsidR="002B528D" w:rsidRPr="00D15CE8" w:rsidRDefault="002B528D" w:rsidP="002B528D">
      <w:pPr>
        <w:spacing w:after="0"/>
        <w:jc w:val="both"/>
        <w:rPr>
          <w:sz w:val="24"/>
          <w:szCs w:val="24"/>
        </w:rPr>
      </w:pPr>
      <w:r w:rsidRPr="00D15CE8">
        <w:rPr>
          <w:sz w:val="24"/>
          <w:szCs w:val="24"/>
        </w:rPr>
        <w:t xml:space="preserve">2. </w:t>
      </w:r>
      <w:r w:rsidRPr="00D15CE8">
        <w:rPr>
          <w:b/>
          <w:bCs/>
          <w:sz w:val="24"/>
          <w:szCs w:val="24"/>
        </w:rPr>
        <w:t xml:space="preserve">W przypadku znaku towarowego tworzonego przez </w:t>
      </w:r>
      <w:r w:rsidRPr="00D15CE8">
        <w:rPr>
          <w:b/>
          <w:bCs/>
          <w:sz w:val="24"/>
          <w:szCs w:val="24"/>
          <w:u w:val="single"/>
        </w:rPr>
        <w:t>pojedynczą literę</w:t>
      </w:r>
      <w:r w:rsidRPr="00D15CE8">
        <w:rPr>
          <w:sz w:val="24"/>
          <w:szCs w:val="24"/>
          <w:u w:val="single"/>
        </w:rPr>
        <w:t xml:space="preserve"> ustalenie charakteru odróżniającego</w:t>
      </w:r>
      <w:r w:rsidRPr="00D15CE8">
        <w:rPr>
          <w:sz w:val="24"/>
          <w:szCs w:val="24"/>
        </w:rPr>
        <w:t xml:space="preserve"> </w:t>
      </w:r>
      <w:r w:rsidRPr="00D15CE8">
        <w:rPr>
          <w:b/>
          <w:bCs/>
          <w:sz w:val="24"/>
          <w:szCs w:val="24"/>
        </w:rPr>
        <w:t>może okazać się trudniejsze</w:t>
      </w:r>
      <w:r w:rsidRPr="00D15CE8">
        <w:rPr>
          <w:sz w:val="24"/>
          <w:szCs w:val="24"/>
        </w:rPr>
        <w:t xml:space="preserve"> niż w przypadku innych </w:t>
      </w:r>
      <w:r w:rsidRPr="00D15CE8">
        <w:rPr>
          <w:b/>
          <w:bCs/>
          <w:sz w:val="24"/>
          <w:szCs w:val="24"/>
        </w:rPr>
        <w:t>słownych znaków towarowych</w:t>
      </w:r>
      <w:r w:rsidRPr="00D15CE8">
        <w:rPr>
          <w:sz w:val="24"/>
          <w:szCs w:val="24"/>
        </w:rPr>
        <w:t xml:space="preserve">, </w:t>
      </w:r>
      <w:r w:rsidRPr="00D15CE8">
        <w:rPr>
          <w:sz w:val="24"/>
          <w:szCs w:val="24"/>
          <w:u w:val="single"/>
        </w:rPr>
        <w:t>OHIM jest zobowiązany</w:t>
      </w:r>
      <w:r w:rsidRPr="00D15CE8">
        <w:rPr>
          <w:sz w:val="24"/>
          <w:szCs w:val="24"/>
        </w:rPr>
        <w:t xml:space="preserve"> </w:t>
      </w:r>
      <w:r w:rsidRPr="00D15CE8">
        <w:rPr>
          <w:b/>
          <w:bCs/>
          <w:sz w:val="24"/>
          <w:szCs w:val="24"/>
        </w:rPr>
        <w:t>dokonać oceny zdolności danego oznaczenia do odróżniania poszczególnych towarów lub usług</w:t>
      </w:r>
      <w:r w:rsidRPr="00D15CE8">
        <w:rPr>
          <w:sz w:val="24"/>
          <w:szCs w:val="24"/>
        </w:rPr>
        <w:t xml:space="preserve"> </w:t>
      </w:r>
      <w:r w:rsidRPr="00D15CE8">
        <w:rPr>
          <w:sz w:val="24"/>
          <w:szCs w:val="24"/>
          <w:u w:val="single"/>
        </w:rPr>
        <w:t>w ramach konkretnej analizy</w:t>
      </w:r>
      <w:r w:rsidRPr="00D15CE8">
        <w:rPr>
          <w:sz w:val="24"/>
          <w:szCs w:val="24"/>
        </w:rPr>
        <w:t xml:space="preserve"> odnoszącej się do tych towarów lub usług.</w:t>
      </w:r>
    </w:p>
    <w:p w14:paraId="372C6934" w14:textId="1535FCD3" w:rsidR="002B528D" w:rsidRPr="00D15CE8" w:rsidRDefault="002B528D" w:rsidP="002B528D">
      <w:pPr>
        <w:spacing w:after="0"/>
        <w:jc w:val="both"/>
        <w:rPr>
          <w:sz w:val="24"/>
          <w:szCs w:val="24"/>
        </w:rPr>
      </w:pPr>
    </w:p>
    <w:p w14:paraId="5486B3ED" w14:textId="04BD61EB" w:rsidR="0033040A" w:rsidRPr="00D15CE8" w:rsidRDefault="007D3065" w:rsidP="005A2B42">
      <w:pPr>
        <w:spacing w:after="0"/>
        <w:jc w:val="center"/>
        <w:rPr>
          <w:b/>
          <w:bCs/>
          <w:sz w:val="24"/>
          <w:szCs w:val="24"/>
        </w:rPr>
      </w:pPr>
      <w:r w:rsidRPr="00D15CE8">
        <w:rPr>
          <w:b/>
          <w:bCs/>
          <w:sz w:val="24"/>
          <w:szCs w:val="24"/>
        </w:rPr>
        <w:t>Uzasadnienie</w:t>
      </w:r>
    </w:p>
    <w:p w14:paraId="170B0F8A" w14:textId="77777777" w:rsidR="00F561D7" w:rsidRDefault="00F561D7" w:rsidP="002B528D">
      <w:pPr>
        <w:spacing w:after="0"/>
        <w:jc w:val="both"/>
        <w:rPr>
          <w:sz w:val="24"/>
          <w:szCs w:val="24"/>
        </w:rPr>
      </w:pPr>
    </w:p>
    <w:p w14:paraId="55B863CA" w14:textId="5330ED43" w:rsidR="002B528D" w:rsidRPr="00D15CE8" w:rsidRDefault="002B528D" w:rsidP="002B528D">
      <w:pPr>
        <w:spacing w:after="0"/>
        <w:jc w:val="both"/>
        <w:rPr>
          <w:sz w:val="24"/>
          <w:szCs w:val="24"/>
        </w:rPr>
      </w:pPr>
      <w:r w:rsidRPr="00D15CE8">
        <w:rPr>
          <w:sz w:val="24"/>
          <w:szCs w:val="24"/>
        </w:rPr>
        <w:t xml:space="preserve">W sprawie C-265/09_P </w:t>
      </w:r>
    </w:p>
    <w:p w14:paraId="1DD91553" w14:textId="77777777" w:rsidR="002B528D" w:rsidRPr="00D15CE8" w:rsidRDefault="002B528D" w:rsidP="002B528D">
      <w:pPr>
        <w:spacing w:after="0"/>
        <w:jc w:val="both"/>
        <w:rPr>
          <w:sz w:val="24"/>
          <w:szCs w:val="24"/>
        </w:rPr>
      </w:pPr>
      <w:r w:rsidRPr="00D15CE8">
        <w:rPr>
          <w:sz w:val="24"/>
          <w:szCs w:val="24"/>
        </w:rPr>
        <w:t xml:space="preserve">mającej za przedmiot odwołanie w trybie art. 56 statutu Trybunału Sprawiedliwości, </w:t>
      </w:r>
    </w:p>
    <w:p w14:paraId="2C13DBEF" w14:textId="77777777" w:rsidR="002B528D" w:rsidRPr="00D15CE8" w:rsidRDefault="002B528D" w:rsidP="002B528D">
      <w:pPr>
        <w:spacing w:after="0"/>
        <w:jc w:val="both"/>
        <w:rPr>
          <w:sz w:val="24"/>
          <w:szCs w:val="24"/>
        </w:rPr>
      </w:pPr>
      <w:r w:rsidRPr="00D15CE8">
        <w:rPr>
          <w:sz w:val="24"/>
          <w:szCs w:val="24"/>
        </w:rPr>
        <w:t xml:space="preserve">wniesione w dniu 10 lipca 2009 r., </w:t>
      </w:r>
    </w:p>
    <w:p w14:paraId="10E91DF1" w14:textId="77777777" w:rsidR="002B528D" w:rsidRPr="00D15CE8" w:rsidRDefault="002B528D" w:rsidP="002B528D">
      <w:pPr>
        <w:spacing w:after="0"/>
        <w:jc w:val="both"/>
        <w:rPr>
          <w:sz w:val="24"/>
          <w:szCs w:val="24"/>
        </w:rPr>
      </w:pPr>
      <w:r w:rsidRPr="00D15CE8">
        <w:rPr>
          <w:sz w:val="24"/>
          <w:szCs w:val="24"/>
        </w:rPr>
        <w:t xml:space="preserve">Urząd Harmonizacji w ramach Rynku Wewnętrznego (znaki towarowe i wzory) (OHIM), </w:t>
      </w:r>
    </w:p>
    <w:p w14:paraId="5A2E7047" w14:textId="77777777" w:rsidR="002B528D" w:rsidRPr="00D15CE8" w:rsidRDefault="002B528D" w:rsidP="002B528D">
      <w:pPr>
        <w:spacing w:after="0"/>
        <w:jc w:val="both"/>
        <w:rPr>
          <w:sz w:val="24"/>
          <w:szCs w:val="24"/>
        </w:rPr>
      </w:pPr>
      <w:r w:rsidRPr="00D15CE8">
        <w:rPr>
          <w:sz w:val="24"/>
          <w:szCs w:val="24"/>
        </w:rPr>
        <w:t xml:space="preserve">reprezentowany przez G. Schneidera, działającego w charakterze pełnomocnika, </w:t>
      </w:r>
    </w:p>
    <w:p w14:paraId="429649CE" w14:textId="77777777" w:rsidR="002B528D" w:rsidRPr="00D15CE8" w:rsidRDefault="002B528D" w:rsidP="002B528D">
      <w:pPr>
        <w:spacing w:after="0"/>
        <w:jc w:val="both"/>
        <w:rPr>
          <w:sz w:val="24"/>
          <w:szCs w:val="24"/>
        </w:rPr>
      </w:pPr>
      <w:r w:rsidRPr="00D15CE8">
        <w:rPr>
          <w:sz w:val="24"/>
          <w:szCs w:val="24"/>
        </w:rPr>
        <w:t xml:space="preserve">wnoszący odwołanie, </w:t>
      </w:r>
    </w:p>
    <w:p w14:paraId="1A9A40E6" w14:textId="77777777" w:rsidR="002B528D" w:rsidRPr="00D15CE8" w:rsidRDefault="002B528D" w:rsidP="002B528D">
      <w:pPr>
        <w:spacing w:after="0"/>
        <w:jc w:val="both"/>
        <w:rPr>
          <w:sz w:val="24"/>
          <w:szCs w:val="24"/>
        </w:rPr>
      </w:pPr>
      <w:r w:rsidRPr="00D15CE8">
        <w:rPr>
          <w:sz w:val="24"/>
          <w:szCs w:val="24"/>
        </w:rPr>
        <w:t xml:space="preserve">w której drugą stroną postępowania jest: </w:t>
      </w:r>
    </w:p>
    <w:p w14:paraId="2AB881F6" w14:textId="77777777" w:rsidR="002B528D" w:rsidRPr="00D15CE8" w:rsidRDefault="002B528D" w:rsidP="002B528D">
      <w:pPr>
        <w:spacing w:after="0"/>
        <w:jc w:val="both"/>
        <w:rPr>
          <w:sz w:val="24"/>
          <w:szCs w:val="24"/>
        </w:rPr>
      </w:pPr>
      <w:r w:rsidRPr="00D15CE8">
        <w:rPr>
          <w:sz w:val="24"/>
          <w:szCs w:val="24"/>
          <w:lang w:val="en-GB"/>
        </w:rPr>
        <w:t xml:space="preserve">BORCO-Marken-Import Matthiesen GmbH and Co. </w:t>
      </w:r>
      <w:proofErr w:type="gramStart"/>
      <w:r w:rsidRPr="00D15CE8">
        <w:rPr>
          <w:sz w:val="24"/>
          <w:szCs w:val="24"/>
        </w:rPr>
        <w:t>KG ,</w:t>
      </w:r>
      <w:proofErr w:type="gramEnd"/>
      <w:r w:rsidRPr="00D15CE8">
        <w:rPr>
          <w:sz w:val="24"/>
          <w:szCs w:val="24"/>
        </w:rPr>
        <w:t xml:space="preserve"> z siedzibą w Hamburgu (Niemcy), </w:t>
      </w:r>
    </w:p>
    <w:p w14:paraId="035E7C02" w14:textId="77777777" w:rsidR="002B528D" w:rsidRPr="00D15CE8" w:rsidRDefault="002B528D" w:rsidP="002B528D">
      <w:pPr>
        <w:spacing w:after="0"/>
        <w:jc w:val="both"/>
        <w:rPr>
          <w:sz w:val="24"/>
          <w:szCs w:val="24"/>
        </w:rPr>
      </w:pPr>
      <w:r w:rsidRPr="00D15CE8">
        <w:rPr>
          <w:sz w:val="24"/>
          <w:szCs w:val="24"/>
        </w:rPr>
        <w:t xml:space="preserve">reprezentowana przez M. Woltera, </w:t>
      </w:r>
      <w:proofErr w:type="spellStart"/>
      <w:r w:rsidRPr="00D15CE8">
        <w:rPr>
          <w:sz w:val="24"/>
          <w:szCs w:val="24"/>
        </w:rPr>
        <w:t>Rechtsanwalt</w:t>
      </w:r>
      <w:proofErr w:type="spellEnd"/>
      <w:r w:rsidRPr="00D15CE8">
        <w:rPr>
          <w:sz w:val="24"/>
          <w:szCs w:val="24"/>
        </w:rPr>
        <w:t xml:space="preserve">, </w:t>
      </w:r>
    </w:p>
    <w:p w14:paraId="5AC810B2" w14:textId="77777777" w:rsidR="002B528D" w:rsidRPr="00D15CE8" w:rsidRDefault="002B528D" w:rsidP="002B528D">
      <w:pPr>
        <w:spacing w:after="0"/>
        <w:jc w:val="both"/>
        <w:rPr>
          <w:sz w:val="24"/>
          <w:szCs w:val="24"/>
        </w:rPr>
      </w:pPr>
      <w:r w:rsidRPr="00D15CE8">
        <w:rPr>
          <w:sz w:val="24"/>
          <w:szCs w:val="24"/>
        </w:rPr>
        <w:t xml:space="preserve">strona skarżąca w pierwszej instancji, </w:t>
      </w:r>
    </w:p>
    <w:p w14:paraId="483570CE" w14:textId="77777777" w:rsidR="002B528D" w:rsidRPr="00D15CE8" w:rsidRDefault="002B528D" w:rsidP="002B528D">
      <w:pPr>
        <w:spacing w:after="0"/>
        <w:jc w:val="both"/>
        <w:rPr>
          <w:sz w:val="24"/>
          <w:szCs w:val="24"/>
        </w:rPr>
      </w:pPr>
      <w:r w:rsidRPr="00D15CE8">
        <w:rPr>
          <w:sz w:val="24"/>
          <w:szCs w:val="24"/>
        </w:rPr>
        <w:t xml:space="preserve">TRYBUNAŁ (pierwsza izba), </w:t>
      </w:r>
    </w:p>
    <w:p w14:paraId="45355724" w14:textId="77777777" w:rsidR="002B528D" w:rsidRPr="00D15CE8" w:rsidRDefault="002B528D" w:rsidP="002B528D">
      <w:pPr>
        <w:spacing w:after="0"/>
        <w:jc w:val="both"/>
        <w:rPr>
          <w:sz w:val="24"/>
          <w:szCs w:val="24"/>
        </w:rPr>
      </w:pPr>
      <w:r w:rsidRPr="00D15CE8">
        <w:rPr>
          <w:sz w:val="24"/>
          <w:szCs w:val="24"/>
        </w:rPr>
        <w:t xml:space="preserve">w składzie: A. </w:t>
      </w:r>
      <w:proofErr w:type="spellStart"/>
      <w:r w:rsidRPr="00D15CE8">
        <w:rPr>
          <w:sz w:val="24"/>
          <w:szCs w:val="24"/>
        </w:rPr>
        <w:t>Tizzano</w:t>
      </w:r>
      <w:proofErr w:type="spellEnd"/>
      <w:r w:rsidRPr="00D15CE8">
        <w:rPr>
          <w:sz w:val="24"/>
          <w:szCs w:val="24"/>
        </w:rPr>
        <w:t xml:space="preserve">, prezes izby, E. </w:t>
      </w:r>
      <w:proofErr w:type="spellStart"/>
      <w:r w:rsidRPr="00D15CE8">
        <w:rPr>
          <w:sz w:val="24"/>
          <w:szCs w:val="24"/>
        </w:rPr>
        <w:t>Levits</w:t>
      </w:r>
      <w:proofErr w:type="spellEnd"/>
      <w:r w:rsidRPr="00D15CE8">
        <w:rPr>
          <w:sz w:val="24"/>
          <w:szCs w:val="24"/>
        </w:rPr>
        <w:t xml:space="preserve">, A. Borg </w:t>
      </w:r>
      <w:proofErr w:type="spellStart"/>
      <w:r w:rsidRPr="00D15CE8">
        <w:rPr>
          <w:sz w:val="24"/>
          <w:szCs w:val="24"/>
        </w:rPr>
        <w:t>Barthet</w:t>
      </w:r>
      <w:proofErr w:type="spellEnd"/>
      <w:r w:rsidRPr="00D15CE8">
        <w:rPr>
          <w:sz w:val="24"/>
          <w:szCs w:val="24"/>
        </w:rPr>
        <w:t xml:space="preserve">, J.J. </w:t>
      </w:r>
      <w:proofErr w:type="spellStart"/>
      <w:r w:rsidRPr="00D15CE8">
        <w:rPr>
          <w:sz w:val="24"/>
          <w:szCs w:val="24"/>
        </w:rPr>
        <w:t>Kasel</w:t>
      </w:r>
      <w:proofErr w:type="spellEnd"/>
      <w:r w:rsidRPr="00D15CE8">
        <w:rPr>
          <w:sz w:val="24"/>
          <w:szCs w:val="24"/>
        </w:rPr>
        <w:t xml:space="preserve"> i M. Safjan (sprawozdawca), sędziowie, </w:t>
      </w:r>
    </w:p>
    <w:p w14:paraId="2A5CE4C9" w14:textId="77777777" w:rsidR="002B528D" w:rsidRPr="00D15CE8" w:rsidRDefault="002B528D" w:rsidP="002B528D">
      <w:pPr>
        <w:spacing w:after="0"/>
        <w:jc w:val="both"/>
        <w:rPr>
          <w:sz w:val="24"/>
          <w:szCs w:val="24"/>
        </w:rPr>
      </w:pPr>
      <w:r w:rsidRPr="00D15CE8">
        <w:rPr>
          <w:sz w:val="24"/>
          <w:szCs w:val="24"/>
        </w:rPr>
        <w:t xml:space="preserve">rzecznik generalny: Y. Bot, sekretarz: R. Grass, </w:t>
      </w:r>
    </w:p>
    <w:p w14:paraId="48C1AB4A" w14:textId="77777777" w:rsidR="002B528D" w:rsidRPr="00D15CE8" w:rsidRDefault="002B528D" w:rsidP="002B528D">
      <w:pPr>
        <w:spacing w:after="0"/>
        <w:jc w:val="both"/>
        <w:rPr>
          <w:sz w:val="24"/>
          <w:szCs w:val="24"/>
        </w:rPr>
      </w:pPr>
      <w:r w:rsidRPr="00D15CE8">
        <w:rPr>
          <w:sz w:val="24"/>
          <w:szCs w:val="24"/>
        </w:rPr>
        <w:t xml:space="preserve">uwzględniając procedurę pisemną, </w:t>
      </w:r>
    </w:p>
    <w:p w14:paraId="48D51F88" w14:textId="77777777" w:rsidR="002B528D" w:rsidRPr="00D15CE8" w:rsidRDefault="002B528D" w:rsidP="002B528D">
      <w:pPr>
        <w:spacing w:after="0"/>
        <w:jc w:val="both"/>
        <w:rPr>
          <w:sz w:val="24"/>
          <w:szCs w:val="24"/>
        </w:rPr>
      </w:pPr>
      <w:r w:rsidRPr="00D15CE8">
        <w:rPr>
          <w:sz w:val="24"/>
          <w:szCs w:val="24"/>
        </w:rPr>
        <w:t xml:space="preserve">po zapoznaniu się z opinią rzecznika generalnego na posiedzeniu w dniu 6 maja 2010 r., </w:t>
      </w:r>
    </w:p>
    <w:p w14:paraId="28D544CD" w14:textId="768273BB" w:rsidR="00376859" w:rsidRPr="00D15CE8" w:rsidRDefault="00376859" w:rsidP="002B528D">
      <w:pPr>
        <w:spacing w:after="0"/>
        <w:jc w:val="both"/>
        <w:rPr>
          <w:sz w:val="24"/>
          <w:szCs w:val="24"/>
        </w:rPr>
      </w:pPr>
      <w:r w:rsidRPr="00D15CE8">
        <w:rPr>
          <w:sz w:val="24"/>
          <w:szCs w:val="24"/>
        </w:rPr>
        <w:lastRenderedPageBreak/>
        <w:t>wydaje następujący</w:t>
      </w:r>
    </w:p>
    <w:p w14:paraId="0527486B" w14:textId="77777777" w:rsidR="00376859" w:rsidRPr="00EC4F25" w:rsidRDefault="00376859" w:rsidP="002B528D">
      <w:pPr>
        <w:spacing w:after="0"/>
        <w:jc w:val="both"/>
      </w:pPr>
    </w:p>
    <w:p w14:paraId="15898467" w14:textId="58A59025" w:rsidR="0033040A" w:rsidRPr="00D15CE8" w:rsidRDefault="007D3065" w:rsidP="002B528D">
      <w:pPr>
        <w:spacing w:after="0"/>
        <w:jc w:val="both"/>
        <w:rPr>
          <w:b/>
          <w:bCs/>
          <w:sz w:val="24"/>
          <w:szCs w:val="24"/>
        </w:rPr>
      </w:pPr>
      <w:r w:rsidRPr="00D15CE8">
        <w:rPr>
          <w:b/>
          <w:bCs/>
          <w:sz w:val="24"/>
          <w:szCs w:val="24"/>
        </w:rPr>
        <w:t>Wyrok</w:t>
      </w:r>
    </w:p>
    <w:p w14:paraId="172E8489" w14:textId="497DC203" w:rsidR="002B528D" w:rsidRPr="00D15CE8" w:rsidRDefault="002B528D" w:rsidP="002B528D">
      <w:pPr>
        <w:spacing w:after="0"/>
        <w:jc w:val="both"/>
        <w:rPr>
          <w:sz w:val="24"/>
          <w:szCs w:val="24"/>
        </w:rPr>
      </w:pPr>
      <w:r w:rsidRPr="00D15CE8">
        <w:rPr>
          <w:b/>
          <w:bCs/>
          <w:sz w:val="24"/>
          <w:szCs w:val="24"/>
        </w:rPr>
        <w:t>1.</w:t>
      </w:r>
      <w:r w:rsidRPr="00D15CE8">
        <w:rPr>
          <w:sz w:val="24"/>
          <w:szCs w:val="24"/>
        </w:rPr>
        <w:t xml:space="preserve"> W swoim odwołaniu Urząd Harmonizacji w ramach Rynku Wewnętrznego (znaki towarowe i wzory) (OHIM) domaga się uchylenia wyroku Sądu Pierwszej Instancji Wspólnot Europejskich z dnia 29 kwietnia 2009 r. w sprawie T-23/07 BORCO-</w:t>
      </w:r>
      <w:proofErr w:type="spellStart"/>
      <w:r w:rsidRPr="00D15CE8">
        <w:rPr>
          <w:sz w:val="24"/>
          <w:szCs w:val="24"/>
        </w:rPr>
        <w:t>MarkenImport</w:t>
      </w:r>
      <w:proofErr w:type="spellEnd"/>
      <w:r w:rsidRPr="00D15CE8">
        <w:rPr>
          <w:sz w:val="24"/>
          <w:szCs w:val="24"/>
        </w:rPr>
        <w:t xml:space="preserve"> </w:t>
      </w:r>
      <w:proofErr w:type="spellStart"/>
      <w:r w:rsidRPr="00D15CE8">
        <w:rPr>
          <w:sz w:val="24"/>
          <w:szCs w:val="24"/>
        </w:rPr>
        <w:t>Matthiesen</w:t>
      </w:r>
      <w:proofErr w:type="spellEnd"/>
      <w:r w:rsidRPr="00D15CE8">
        <w:rPr>
          <w:sz w:val="24"/>
          <w:szCs w:val="24"/>
        </w:rPr>
        <w:t xml:space="preserve"> przeciwko OHIM (?), Zb.</w:t>
      </w:r>
      <w:r w:rsidR="002428B7">
        <w:rPr>
          <w:sz w:val="24"/>
          <w:szCs w:val="24"/>
        </w:rPr>
        <w:t xml:space="preserve"> o</w:t>
      </w:r>
      <w:r w:rsidRPr="00D15CE8">
        <w:rPr>
          <w:sz w:val="24"/>
          <w:szCs w:val="24"/>
        </w:rPr>
        <w:t>rz. s. II-861 (zwanego dalej „</w:t>
      </w:r>
      <w:r w:rsidRPr="00D15CE8">
        <w:rPr>
          <w:i/>
          <w:sz w:val="24"/>
          <w:szCs w:val="24"/>
        </w:rPr>
        <w:t>zaskarżonym wyrokiem</w:t>
      </w:r>
      <w:r w:rsidRPr="00D15CE8">
        <w:rPr>
          <w:sz w:val="24"/>
          <w:szCs w:val="24"/>
        </w:rPr>
        <w:t xml:space="preserve">”), na mocy którego Sąd stwierdził nieważność decyzji Czwartej Izby Odwoławczej OHIM z dnia 30 listopada 2006 r. (sprawa R 808/2006- 4) oddalającej odwołanie od decyzji eksperta, którą </w:t>
      </w:r>
      <w:r w:rsidRPr="00D15CE8">
        <w:rPr>
          <w:b/>
          <w:bCs/>
          <w:sz w:val="24"/>
          <w:szCs w:val="24"/>
        </w:rPr>
        <w:t>odmówiono rejestracji oznaczenia</w:t>
      </w:r>
      <w:r w:rsidRPr="00D15CE8">
        <w:rPr>
          <w:sz w:val="24"/>
          <w:szCs w:val="24"/>
        </w:rPr>
        <w:t xml:space="preserve"> </w:t>
      </w:r>
      <w:r w:rsidRPr="00D15CE8">
        <w:rPr>
          <w:b/>
          <w:bCs/>
          <w:sz w:val="24"/>
          <w:szCs w:val="24"/>
        </w:rPr>
        <w:t>graficznego „?” jako wspólnotowego znaku towarowego</w:t>
      </w:r>
      <w:r w:rsidRPr="00D15CE8">
        <w:rPr>
          <w:sz w:val="24"/>
          <w:szCs w:val="24"/>
        </w:rPr>
        <w:t xml:space="preserve"> (zwanej dalej „</w:t>
      </w:r>
      <w:r w:rsidRPr="00D15CE8">
        <w:rPr>
          <w:i/>
          <w:sz w:val="24"/>
          <w:szCs w:val="24"/>
        </w:rPr>
        <w:t>sporną decyzją</w:t>
      </w:r>
      <w:r w:rsidRPr="00D15CE8">
        <w:rPr>
          <w:sz w:val="24"/>
          <w:szCs w:val="24"/>
        </w:rPr>
        <w:t>”).</w:t>
      </w:r>
    </w:p>
    <w:p w14:paraId="6E9F41FA" w14:textId="77777777" w:rsidR="002B528D" w:rsidRPr="00D15CE8" w:rsidRDefault="002B528D" w:rsidP="002B528D">
      <w:pPr>
        <w:spacing w:after="0"/>
        <w:jc w:val="both"/>
        <w:rPr>
          <w:b/>
          <w:bCs/>
          <w:sz w:val="24"/>
          <w:szCs w:val="24"/>
        </w:rPr>
      </w:pPr>
    </w:p>
    <w:p w14:paraId="62769101" w14:textId="3E7D2410" w:rsidR="002B528D" w:rsidRPr="00D15CE8" w:rsidRDefault="007D3065" w:rsidP="002B528D">
      <w:pPr>
        <w:spacing w:after="0"/>
        <w:jc w:val="both"/>
        <w:rPr>
          <w:b/>
          <w:bCs/>
          <w:sz w:val="24"/>
          <w:szCs w:val="24"/>
        </w:rPr>
      </w:pPr>
      <w:r w:rsidRPr="00D15CE8">
        <w:rPr>
          <w:b/>
          <w:bCs/>
          <w:sz w:val="24"/>
          <w:szCs w:val="24"/>
        </w:rPr>
        <w:t>Ramy prawne</w:t>
      </w:r>
    </w:p>
    <w:p w14:paraId="79A5B298" w14:textId="77777777" w:rsidR="002B528D" w:rsidRPr="00D15CE8" w:rsidRDefault="002B528D" w:rsidP="002B528D">
      <w:pPr>
        <w:spacing w:after="0"/>
        <w:jc w:val="both"/>
        <w:rPr>
          <w:sz w:val="24"/>
          <w:szCs w:val="24"/>
        </w:rPr>
      </w:pPr>
      <w:r w:rsidRPr="00D15CE8">
        <w:rPr>
          <w:b/>
          <w:bCs/>
          <w:sz w:val="24"/>
          <w:szCs w:val="24"/>
        </w:rPr>
        <w:t>2.</w:t>
      </w:r>
      <w:r w:rsidRPr="00D15CE8">
        <w:rPr>
          <w:sz w:val="24"/>
          <w:szCs w:val="24"/>
        </w:rPr>
        <w:t xml:space="preserve"> Rozporządzenie Rady (WE) nr 40/94 z dnia 20 grudnia 1993 r. w sprawie wspólnotowego znaku towarowego (Dz.U. 1994, L 11, s. 1) zostało uchylone rozporządzeniem Rady (WE) nr 207/2009 z dnia 26 lutego 2009 r. w sprawie wspólnotowego znaku towarowego (wersja ujednolicona) (Dz.U. L 78, s. 1), które weszło w życie w dniu 13 kwietnia 2009 r. Niemniej jednak z uwagi na datę zajścia okoliczności faktycznych spór podlega przepisom rozporządzenia nr 40/94. </w:t>
      </w:r>
    </w:p>
    <w:p w14:paraId="64C16C40" w14:textId="77777777" w:rsidR="002B528D" w:rsidRPr="00D15CE8" w:rsidRDefault="002B528D" w:rsidP="002B528D">
      <w:pPr>
        <w:spacing w:after="0"/>
        <w:jc w:val="both"/>
        <w:rPr>
          <w:sz w:val="24"/>
          <w:szCs w:val="24"/>
        </w:rPr>
      </w:pPr>
      <w:r w:rsidRPr="00D15CE8">
        <w:rPr>
          <w:b/>
          <w:bCs/>
          <w:sz w:val="24"/>
          <w:szCs w:val="24"/>
        </w:rPr>
        <w:t>3.</w:t>
      </w:r>
      <w:r w:rsidRPr="00D15CE8">
        <w:rPr>
          <w:sz w:val="24"/>
          <w:szCs w:val="24"/>
        </w:rPr>
        <w:t xml:space="preserve"> Zgodnie z </w:t>
      </w:r>
      <w:r w:rsidRPr="00D15CE8">
        <w:rPr>
          <w:b/>
          <w:bCs/>
          <w:sz w:val="24"/>
          <w:szCs w:val="24"/>
        </w:rPr>
        <w:t>art. 4 rozporządzenia nr 40/94</w:t>
      </w:r>
      <w:r w:rsidRPr="00D15CE8">
        <w:rPr>
          <w:sz w:val="24"/>
          <w:szCs w:val="24"/>
        </w:rPr>
        <w:t xml:space="preserve">: </w:t>
      </w:r>
    </w:p>
    <w:p w14:paraId="6B62B6FA" w14:textId="77777777" w:rsidR="002B528D" w:rsidRPr="00D15CE8" w:rsidRDefault="002B528D" w:rsidP="002B528D">
      <w:pPr>
        <w:spacing w:after="0"/>
        <w:jc w:val="both"/>
        <w:rPr>
          <w:sz w:val="24"/>
          <w:szCs w:val="24"/>
        </w:rPr>
      </w:pPr>
      <w:r w:rsidRPr="00D15CE8">
        <w:rPr>
          <w:sz w:val="24"/>
          <w:szCs w:val="24"/>
        </w:rPr>
        <w:t>„</w:t>
      </w:r>
      <w:r w:rsidRPr="00D15CE8">
        <w:rPr>
          <w:b/>
          <w:bCs/>
          <w:i/>
          <w:sz w:val="24"/>
          <w:szCs w:val="24"/>
        </w:rPr>
        <w:t>Wspólnotowy znak towarowy może składać się z jakiegokolwiek oznaczenia, które można przedstawić w formie graficznej, w szczególności z wyrazów, łącznie z nazwiskami, rysunków, liter, cyfr, kształtu towarów lub ich opakowań, pod warunkiem, że oznaczenia takie umożliwiają odróżnianie towarów lub usług jednego przedsiębiorstwa od towarów lub usług innych przedsiębiorstw</w:t>
      </w:r>
      <w:r w:rsidRPr="00D15CE8">
        <w:rPr>
          <w:b/>
          <w:bCs/>
          <w:sz w:val="24"/>
          <w:szCs w:val="24"/>
        </w:rPr>
        <w:t>”.</w:t>
      </w:r>
      <w:r w:rsidRPr="00D15CE8">
        <w:rPr>
          <w:sz w:val="24"/>
          <w:szCs w:val="24"/>
        </w:rPr>
        <w:t xml:space="preserve"> </w:t>
      </w:r>
    </w:p>
    <w:p w14:paraId="45128BF5" w14:textId="77777777" w:rsidR="002B528D" w:rsidRPr="00D15CE8" w:rsidRDefault="002B528D" w:rsidP="002B528D">
      <w:pPr>
        <w:spacing w:after="0"/>
        <w:jc w:val="both"/>
        <w:rPr>
          <w:sz w:val="24"/>
          <w:szCs w:val="24"/>
        </w:rPr>
      </w:pPr>
      <w:r w:rsidRPr="00D15CE8">
        <w:rPr>
          <w:b/>
          <w:bCs/>
          <w:sz w:val="24"/>
          <w:szCs w:val="24"/>
        </w:rPr>
        <w:t>4.</w:t>
      </w:r>
      <w:r w:rsidRPr="00D15CE8">
        <w:rPr>
          <w:sz w:val="24"/>
          <w:szCs w:val="24"/>
        </w:rPr>
        <w:t xml:space="preserve"> Na mocy art. 7 ust. 1 tego rozporządzenia nie są rejestrowane: </w:t>
      </w:r>
    </w:p>
    <w:p w14:paraId="739008A6" w14:textId="77777777" w:rsidR="002B528D" w:rsidRPr="00D15CE8" w:rsidRDefault="002B528D" w:rsidP="002B528D">
      <w:pPr>
        <w:spacing w:after="0"/>
        <w:jc w:val="both"/>
        <w:rPr>
          <w:i/>
          <w:sz w:val="24"/>
          <w:szCs w:val="24"/>
        </w:rPr>
      </w:pPr>
      <w:r w:rsidRPr="00D15CE8">
        <w:rPr>
          <w:i/>
          <w:sz w:val="24"/>
          <w:szCs w:val="24"/>
        </w:rPr>
        <w:t xml:space="preserve">„[…] </w:t>
      </w:r>
    </w:p>
    <w:p w14:paraId="77A8AF8E" w14:textId="77777777" w:rsidR="002B528D" w:rsidRPr="00D15CE8" w:rsidRDefault="002B528D" w:rsidP="002B528D">
      <w:pPr>
        <w:spacing w:after="0"/>
        <w:jc w:val="both"/>
        <w:rPr>
          <w:i/>
          <w:sz w:val="24"/>
          <w:szCs w:val="24"/>
        </w:rPr>
      </w:pPr>
      <w:r w:rsidRPr="00D15CE8">
        <w:rPr>
          <w:i/>
          <w:sz w:val="24"/>
          <w:szCs w:val="24"/>
        </w:rPr>
        <w:t xml:space="preserve">b) znaki towarowe, które pozbawione są jakiegokolwiek odróżniającego charakteru; c) znaki towarowe, które składają się wyłącznie z oznaczeń lub wskazówek, mogących służyć w obrocie do oznaczania rodzaju, jakości, ilości, przeznaczenia, wartości, pochodzenia geograficznego lub czasu produkcji towaru lub świadczenia usługi, lub innych właściwości towarów lub usług; </w:t>
      </w:r>
    </w:p>
    <w:p w14:paraId="1D63C01E" w14:textId="77777777" w:rsidR="002B528D" w:rsidRPr="00D15CE8" w:rsidRDefault="002B528D" w:rsidP="002B528D">
      <w:pPr>
        <w:spacing w:after="0"/>
        <w:jc w:val="both"/>
        <w:rPr>
          <w:sz w:val="24"/>
          <w:szCs w:val="24"/>
        </w:rPr>
      </w:pPr>
      <w:r w:rsidRPr="00D15CE8">
        <w:rPr>
          <w:i/>
          <w:sz w:val="24"/>
          <w:szCs w:val="24"/>
        </w:rPr>
        <w:t>[…]”.</w:t>
      </w:r>
      <w:r w:rsidRPr="00D15CE8">
        <w:rPr>
          <w:sz w:val="24"/>
          <w:szCs w:val="24"/>
        </w:rPr>
        <w:t xml:space="preserve"> </w:t>
      </w:r>
    </w:p>
    <w:p w14:paraId="16CDF72C" w14:textId="77777777" w:rsidR="002B528D" w:rsidRPr="00D15CE8" w:rsidRDefault="002B528D" w:rsidP="002B528D">
      <w:pPr>
        <w:spacing w:after="0"/>
        <w:jc w:val="both"/>
        <w:rPr>
          <w:i/>
          <w:sz w:val="24"/>
          <w:szCs w:val="24"/>
        </w:rPr>
      </w:pPr>
      <w:r w:rsidRPr="00D15CE8">
        <w:rPr>
          <w:b/>
          <w:bCs/>
          <w:sz w:val="24"/>
          <w:szCs w:val="24"/>
        </w:rPr>
        <w:t>5.</w:t>
      </w:r>
      <w:r w:rsidRPr="00D15CE8">
        <w:rPr>
          <w:sz w:val="24"/>
          <w:szCs w:val="24"/>
        </w:rPr>
        <w:t xml:space="preserve"> Zgodnie z art. 74 ust. 1 wspomnianego rozporządzenia </w:t>
      </w:r>
      <w:r w:rsidRPr="00D15CE8">
        <w:rPr>
          <w:i/>
          <w:sz w:val="24"/>
          <w:szCs w:val="24"/>
        </w:rPr>
        <w:t xml:space="preserve">„[w] trakcie postępowania [OHIM] bada stan faktyczny z urzędu”. </w:t>
      </w:r>
    </w:p>
    <w:p w14:paraId="76901644" w14:textId="77777777" w:rsidR="002B528D" w:rsidRPr="00D15CE8" w:rsidRDefault="002B528D" w:rsidP="002B528D">
      <w:pPr>
        <w:spacing w:after="0"/>
        <w:jc w:val="both"/>
        <w:rPr>
          <w:sz w:val="24"/>
          <w:szCs w:val="24"/>
        </w:rPr>
      </w:pPr>
      <w:r w:rsidRPr="00D15CE8">
        <w:rPr>
          <w:sz w:val="24"/>
          <w:szCs w:val="24"/>
        </w:rPr>
        <w:t xml:space="preserve">Okoliczności powstania sporu </w:t>
      </w:r>
    </w:p>
    <w:p w14:paraId="10B33341" w14:textId="77777777" w:rsidR="002B528D" w:rsidRPr="00D15CE8" w:rsidRDefault="002B528D" w:rsidP="002B528D">
      <w:pPr>
        <w:spacing w:after="0"/>
        <w:jc w:val="both"/>
        <w:rPr>
          <w:sz w:val="24"/>
          <w:szCs w:val="24"/>
        </w:rPr>
      </w:pPr>
      <w:r w:rsidRPr="00D15CE8">
        <w:rPr>
          <w:b/>
          <w:bCs/>
          <w:sz w:val="24"/>
          <w:szCs w:val="24"/>
        </w:rPr>
        <w:t>6.</w:t>
      </w:r>
      <w:r w:rsidRPr="00D15CE8">
        <w:rPr>
          <w:sz w:val="24"/>
          <w:szCs w:val="24"/>
        </w:rPr>
        <w:t xml:space="preserve"> W dniu 14 września 2005 r. BORCO-</w:t>
      </w:r>
      <w:proofErr w:type="spellStart"/>
      <w:r w:rsidRPr="00D15CE8">
        <w:rPr>
          <w:sz w:val="24"/>
          <w:szCs w:val="24"/>
        </w:rPr>
        <w:t>Marken</w:t>
      </w:r>
      <w:proofErr w:type="spellEnd"/>
      <w:r w:rsidRPr="00D15CE8">
        <w:rPr>
          <w:sz w:val="24"/>
          <w:szCs w:val="24"/>
        </w:rPr>
        <w:t xml:space="preserve">-Import </w:t>
      </w:r>
      <w:proofErr w:type="spellStart"/>
      <w:r w:rsidRPr="00D15CE8">
        <w:rPr>
          <w:sz w:val="24"/>
          <w:szCs w:val="24"/>
        </w:rPr>
        <w:t>Matthiesen</w:t>
      </w:r>
      <w:proofErr w:type="spellEnd"/>
      <w:r w:rsidRPr="00D15CE8">
        <w:rPr>
          <w:sz w:val="24"/>
          <w:szCs w:val="24"/>
        </w:rPr>
        <w:t xml:space="preserve"> GmbH and Co. KG (zwana dalej „BORCO”) zgłosiła w OHIM przedstawione poniżej oznaczenie do rejestracji w charakterze wspólnotowego znaku towarowego: </w:t>
      </w:r>
    </w:p>
    <w:p w14:paraId="45C20487" w14:textId="77777777" w:rsidR="002B528D" w:rsidRPr="00D15CE8" w:rsidRDefault="002B528D" w:rsidP="002B528D">
      <w:pPr>
        <w:spacing w:after="0"/>
        <w:jc w:val="both"/>
        <w:rPr>
          <w:sz w:val="24"/>
          <w:szCs w:val="24"/>
        </w:rPr>
      </w:pPr>
      <w:r w:rsidRPr="00D15CE8">
        <w:rPr>
          <w:sz w:val="24"/>
          <w:szCs w:val="24"/>
        </w:rPr>
        <w:t xml:space="preserve">&gt;image&gt;14 </w:t>
      </w:r>
    </w:p>
    <w:p w14:paraId="3F34868F" w14:textId="77777777" w:rsidR="002B528D" w:rsidRPr="00D15CE8" w:rsidRDefault="002B528D" w:rsidP="002B528D">
      <w:pPr>
        <w:spacing w:after="0"/>
        <w:jc w:val="both"/>
        <w:rPr>
          <w:i/>
          <w:sz w:val="24"/>
          <w:szCs w:val="24"/>
        </w:rPr>
      </w:pPr>
      <w:r w:rsidRPr="00D15CE8">
        <w:rPr>
          <w:b/>
          <w:bCs/>
          <w:sz w:val="24"/>
          <w:szCs w:val="24"/>
        </w:rPr>
        <w:t>7.</w:t>
      </w:r>
      <w:r w:rsidRPr="00D15CE8">
        <w:rPr>
          <w:sz w:val="24"/>
          <w:szCs w:val="24"/>
        </w:rPr>
        <w:t xml:space="preserve"> Towary, dla których dokonano zgłoszenia, należą do klasy 33 w rozumieniu Porozumienia nicejskiego dotyczącego międzynarodowej klasyfikacji towarów i usług dla celów rejestracji znaków z dnia 15 czerwca 1957 r., ze zmianami, i odpowiadają następującemu opisowi: </w:t>
      </w:r>
      <w:r w:rsidRPr="00D15CE8">
        <w:rPr>
          <w:i/>
          <w:sz w:val="24"/>
          <w:szCs w:val="24"/>
        </w:rPr>
        <w:t xml:space="preserve">„napoje alkoholowe (z wyjątkiem piwa), wina, wina musujące i napoje na bazie wina”. </w:t>
      </w:r>
    </w:p>
    <w:p w14:paraId="5D1AFBC8" w14:textId="77777777" w:rsidR="002B528D" w:rsidRPr="00D15CE8" w:rsidRDefault="002B528D" w:rsidP="002B528D">
      <w:pPr>
        <w:spacing w:after="0"/>
        <w:jc w:val="both"/>
        <w:rPr>
          <w:sz w:val="24"/>
          <w:szCs w:val="24"/>
        </w:rPr>
      </w:pPr>
      <w:r w:rsidRPr="00D15CE8">
        <w:rPr>
          <w:b/>
          <w:bCs/>
          <w:sz w:val="24"/>
          <w:szCs w:val="24"/>
        </w:rPr>
        <w:lastRenderedPageBreak/>
        <w:t>8.</w:t>
      </w:r>
      <w:r w:rsidRPr="00D15CE8">
        <w:rPr>
          <w:sz w:val="24"/>
          <w:szCs w:val="24"/>
        </w:rPr>
        <w:t xml:space="preserve"> Decyzją z dnia 31 maja 2006 r. </w:t>
      </w:r>
      <w:r w:rsidRPr="00D15CE8">
        <w:rPr>
          <w:b/>
          <w:bCs/>
          <w:sz w:val="24"/>
          <w:szCs w:val="24"/>
        </w:rPr>
        <w:t>ekspert</w:t>
      </w:r>
      <w:r w:rsidRPr="00D15CE8">
        <w:rPr>
          <w:sz w:val="24"/>
          <w:szCs w:val="24"/>
        </w:rPr>
        <w:t xml:space="preserve">, działając na podstawie </w:t>
      </w:r>
      <w:r w:rsidRPr="00D15CE8">
        <w:rPr>
          <w:b/>
          <w:bCs/>
          <w:sz w:val="24"/>
          <w:szCs w:val="24"/>
        </w:rPr>
        <w:t>art. 7 ust. 1 lit. b)</w:t>
      </w:r>
      <w:r w:rsidRPr="00D15CE8">
        <w:rPr>
          <w:sz w:val="24"/>
          <w:szCs w:val="24"/>
        </w:rPr>
        <w:t xml:space="preserve"> rozporządzenia </w:t>
      </w:r>
      <w:r w:rsidRPr="00D15CE8">
        <w:rPr>
          <w:b/>
          <w:bCs/>
          <w:sz w:val="24"/>
          <w:szCs w:val="24"/>
        </w:rPr>
        <w:t>nr 40/94, odmówił rejestracji</w:t>
      </w:r>
      <w:r w:rsidRPr="00D15CE8">
        <w:rPr>
          <w:sz w:val="24"/>
          <w:szCs w:val="24"/>
        </w:rPr>
        <w:t xml:space="preserve"> zgłoszonego oznaczenia z uwagi na brak charakteru odróżniającego. </w:t>
      </w:r>
      <w:r w:rsidRPr="00D15CE8">
        <w:rPr>
          <w:b/>
          <w:bCs/>
          <w:sz w:val="24"/>
          <w:szCs w:val="24"/>
        </w:rPr>
        <w:t>Ekspert uznał, że zgłoszony znak towarowy stanowi wierne odtworzenie minuskuły greckiej litery „?”,</w:t>
      </w:r>
      <w:r w:rsidRPr="00D15CE8">
        <w:rPr>
          <w:sz w:val="24"/>
          <w:szCs w:val="24"/>
        </w:rPr>
        <w:t xml:space="preserve"> w żaden sposób nie różniąc się od niej pod względem graficznym, oraz że nabywcy posługujący się językiem greckim nie dostrzegą w tym oznaczeniu wskazania pochodzenia handlowego towarów objętych zgłoszeniem. </w:t>
      </w:r>
    </w:p>
    <w:p w14:paraId="6F3A0DB5" w14:textId="77777777" w:rsidR="002B528D" w:rsidRPr="00D15CE8" w:rsidRDefault="002B528D" w:rsidP="002B528D">
      <w:pPr>
        <w:spacing w:after="0"/>
        <w:jc w:val="both"/>
        <w:rPr>
          <w:sz w:val="24"/>
          <w:szCs w:val="24"/>
        </w:rPr>
      </w:pPr>
      <w:r w:rsidRPr="00D15CE8">
        <w:rPr>
          <w:b/>
          <w:bCs/>
          <w:sz w:val="24"/>
          <w:szCs w:val="24"/>
        </w:rPr>
        <w:t>9.</w:t>
      </w:r>
      <w:r w:rsidRPr="00D15CE8">
        <w:rPr>
          <w:sz w:val="24"/>
          <w:szCs w:val="24"/>
        </w:rPr>
        <w:t xml:space="preserve"> W dniu 15 czerwca 2006 r. BORCO wniosła do OHIM odwołanie od tej decyzji.</w:t>
      </w:r>
    </w:p>
    <w:p w14:paraId="212CC1BB" w14:textId="77777777" w:rsidR="002B528D" w:rsidRPr="00D15CE8" w:rsidRDefault="002B528D" w:rsidP="002B528D">
      <w:pPr>
        <w:spacing w:after="0"/>
        <w:jc w:val="both"/>
        <w:rPr>
          <w:sz w:val="24"/>
          <w:szCs w:val="24"/>
        </w:rPr>
      </w:pPr>
      <w:r w:rsidRPr="00D15CE8">
        <w:rPr>
          <w:b/>
          <w:bCs/>
          <w:sz w:val="24"/>
          <w:szCs w:val="24"/>
        </w:rPr>
        <w:t>10.</w:t>
      </w:r>
      <w:r w:rsidRPr="00D15CE8">
        <w:rPr>
          <w:sz w:val="24"/>
          <w:szCs w:val="24"/>
        </w:rPr>
        <w:t xml:space="preserve"> </w:t>
      </w:r>
      <w:r w:rsidRPr="00D15CE8">
        <w:rPr>
          <w:b/>
          <w:bCs/>
          <w:sz w:val="24"/>
          <w:szCs w:val="24"/>
        </w:rPr>
        <w:t>Odwołanie to zostało oddalone</w:t>
      </w:r>
      <w:r w:rsidRPr="00D15CE8">
        <w:rPr>
          <w:sz w:val="24"/>
          <w:szCs w:val="24"/>
        </w:rPr>
        <w:t xml:space="preserve"> sporną decyzją z uzasadnieniem, że zgłoszone oznaczenie pozbawione jest charakteru odróżniającego stosownie do </w:t>
      </w:r>
      <w:r w:rsidRPr="00D15CE8">
        <w:rPr>
          <w:b/>
          <w:bCs/>
          <w:sz w:val="24"/>
          <w:szCs w:val="24"/>
        </w:rPr>
        <w:t>art. 7 ust. 1 lit. b)</w:t>
      </w:r>
      <w:r w:rsidRPr="00D15CE8">
        <w:rPr>
          <w:sz w:val="24"/>
          <w:szCs w:val="24"/>
        </w:rPr>
        <w:t xml:space="preserve"> rozporządzenia nr 40/94. </w:t>
      </w:r>
    </w:p>
    <w:p w14:paraId="4D10E8D7" w14:textId="77777777" w:rsidR="002B528D" w:rsidRPr="00D15CE8" w:rsidRDefault="002B528D" w:rsidP="002B528D">
      <w:pPr>
        <w:spacing w:after="0"/>
        <w:jc w:val="both"/>
        <w:rPr>
          <w:sz w:val="24"/>
          <w:szCs w:val="24"/>
        </w:rPr>
      </w:pPr>
      <w:r w:rsidRPr="00D15CE8">
        <w:rPr>
          <w:sz w:val="24"/>
          <w:szCs w:val="24"/>
        </w:rPr>
        <w:t>Skarga do Sądu i zaskarżony wyrok.</w:t>
      </w:r>
    </w:p>
    <w:p w14:paraId="1CC16C01" w14:textId="7BB0AEF8" w:rsidR="002B528D" w:rsidRPr="00D15CE8" w:rsidRDefault="002B528D" w:rsidP="002B528D">
      <w:pPr>
        <w:spacing w:after="0"/>
        <w:jc w:val="both"/>
        <w:rPr>
          <w:sz w:val="24"/>
          <w:szCs w:val="24"/>
        </w:rPr>
      </w:pPr>
      <w:r w:rsidRPr="00D15CE8">
        <w:rPr>
          <w:b/>
          <w:bCs/>
          <w:sz w:val="24"/>
          <w:szCs w:val="24"/>
        </w:rPr>
        <w:t>11.</w:t>
      </w:r>
      <w:r w:rsidRPr="00D15CE8">
        <w:rPr>
          <w:sz w:val="24"/>
          <w:szCs w:val="24"/>
        </w:rPr>
        <w:t xml:space="preserve"> W dniu 5 lutego 2007 r. BORCO </w:t>
      </w:r>
      <w:r w:rsidRPr="00D15CE8">
        <w:rPr>
          <w:b/>
          <w:bCs/>
          <w:sz w:val="24"/>
          <w:szCs w:val="24"/>
        </w:rPr>
        <w:t>wniosła do Sądu skargę o stwierdzenie nieważności spornej decyzji</w:t>
      </w:r>
      <w:r w:rsidRPr="00D15CE8">
        <w:rPr>
          <w:sz w:val="24"/>
          <w:szCs w:val="24"/>
        </w:rPr>
        <w:t xml:space="preserve">, w której podniosła </w:t>
      </w:r>
      <w:r w:rsidRPr="00D15CE8">
        <w:rPr>
          <w:sz w:val="24"/>
          <w:szCs w:val="24"/>
          <w:u w:val="single"/>
        </w:rPr>
        <w:t>trzy zarzuty</w:t>
      </w:r>
      <w:r w:rsidRPr="00D15CE8">
        <w:rPr>
          <w:sz w:val="24"/>
          <w:szCs w:val="24"/>
        </w:rPr>
        <w:t xml:space="preserve"> dotyczące </w:t>
      </w:r>
      <w:r w:rsidRPr="00D15CE8">
        <w:rPr>
          <w:b/>
          <w:bCs/>
          <w:sz w:val="24"/>
          <w:szCs w:val="24"/>
        </w:rPr>
        <w:t>naruszenia art. 7 ust. 1 lit. b)</w:t>
      </w:r>
      <w:r w:rsidRPr="00D15CE8">
        <w:rPr>
          <w:sz w:val="24"/>
          <w:szCs w:val="24"/>
        </w:rPr>
        <w:t xml:space="preserve"> rozporządzenia nr 40/94, </w:t>
      </w:r>
      <w:r w:rsidRPr="00D15CE8">
        <w:rPr>
          <w:b/>
          <w:bCs/>
          <w:sz w:val="24"/>
          <w:szCs w:val="24"/>
        </w:rPr>
        <w:t>art. 7 ust. 1 lit. c</w:t>
      </w:r>
      <w:r w:rsidRPr="00D15CE8">
        <w:rPr>
          <w:sz w:val="24"/>
          <w:szCs w:val="24"/>
        </w:rPr>
        <w:t xml:space="preserve">) tego rozporządzenia oraz </w:t>
      </w:r>
      <w:r w:rsidRPr="00D15CE8">
        <w:rPr>
          <w:b/>
          <w:bCs/>
          <w:sz w:val="24"/>
          <w:szCs w:val="24"/>
        </w:rPr>
        <w:t>art. 12</w:t>
      </w:r>
      <w:r w:rsidRPr="00D15CE8">
        <w:rPr>
          <w:sz w:val="24"/>
          <w:szCs w:val="24"/>
        </w:rPr>
        <w:t xml:space="preserve"> wspomnianego rozporządzenia. W ramach pierwszego zarzutu BORCO twierdziła w szczególności, że zgłoszone oznaczenie ma charakter odróżniający wymagany przez art. 7 ust. 1 lit. b) rozporządzenia nr 40/94, ponieważ </w:t>
      </w:r>
      <w:r w:rsidRPr="00D15CE8">
        <w:rPr>
          <w:b/>
          <w:bCs/>
          <w:sz w:val="24"/>
          <w:szCs w:val="24"/>
        </w:rPr>
        <w:t>umożliwia zidentyfikowanie</w:t>
      </w:r>
      <w:r w:rsidRPr="00D15CE8">
        <w:rPr>
          <w:sz w:val="24"/>
          <w:szCs w:val="24"/>
        </w:rPr>
        <w:t xml:space="preserve"> wskazanych towarów z klasy 33 w rozumieniu wspomnianego porozumienia nicejskiego jako pochodzących z jej przedsiębiorstwa i w konsekwencji odróżnienie tych towarów od towarów innych przedsiębiorstw. Ze względu na to, że </w:t>
      </w:r>
      <w:r w:rsidRPr="00D15CE8">
        <w:rPr>
          <w:b/>
          <w:bCs/>
          <w:sz w:val="24"/>
          <w:szCs w:val="24"/>
        </w:rPr>
        <w:t>na podstawie art. 4 rozporządzenia nr 40/94 litery mogą stanowić znak towarowy</w:t>
      </w:r>
      <w:r w:rsidRPr="00D15CE8">
        <w:rPr>
          <w:sz w:val="24"/>
          <w:szCs w:val="24"/>
        </w:rPr>
        <w:t>, co do zasady nie można z góry odmawiać im charakteru odróżniającego w rozumieniu art. 7 ust. 1 lit. b) tego rozporządzenia, gdyż pro</w:t>
      </w:r>
      <w:r w:rsidR="00376859" w:rsidRPr="00D15CE8">
        <w:rPr>
          <w:sz w:val="24"/>
          <w:szCs w:val="24"/>
        </w:rPr>
        <w:t>wadziłoby to do pozbawienia sen</w:t>
      </w:r>
      <w:r w:rsidR="00D15CE8" w:rsidRPr="00D15CE8">
        <w:rPr>
          <w:sz w:val="24"/>
          <w:szCs w:val="24"/>
        </w:rPr>
        <w:t>s</w:t>
      </w:r>
      <w:r w:rsidRPr="00D15CE8">
        <w:rPr>
          <w:sz w:val="24"/>
          <w:szCs w:val="24"/>
        </w:rPr>
        <w:t>u art. 4 wspomnianego rozporządzenia.</w:t>
      </w:r>
    </w:p>
    <w:p w14:paraId="43592B6B" w14:textId="77777777" w:rsidR="002B528D" w:rsidRPr="00D15CE8" w:rsidRDefault="002B528D" w:rsidP="002B528D">
      <w:pPr>
        <w:spacing w:after="0"/>
        <w:jc w:val="both"/>
        <w:rPr>
          <w:b/>
          <w:bCs/>
          <w:sz w:val="24"/>
          <w:szCs w:val="24"/>
        </w:rPr>
      </w:pPr>
      <w:r w:rsidRPr="00D15CE8">
        <w:rPr>
          <w:b/>
          <w:bCs/>
          <w:sz w:val="24"/>
          <w:szCs w:val="24"/>
        </w:rPr>
        <w:t>12.</w:t>
      </w:r>
      <w:r w:rsidRPr="00D15CE8">
        <w:rPr>
          <w:sz w:val="24"/>
          <w:szCs w:val="24"/>
        </w:rPr>
        <w:t xml:space="preserve"> W pkt 39 zaskarżonego wyroku Sąd wskazał na wstępie, że do Czwartej Izby Odwoławczej OHIM należało ustalenie, czy można wykluczyć, by z punktu widzenia przeciętnych konsumentów posługujących się językiem greckim oznaczenie to nadawało się do odróżniania towarów BORCO od towarów innego pochodzenia, przy założeniu, że do wyłączenia stosowania bezwzględnej podstawy odmowy rejestracji przewidzianej w art. 7 ust. 1 lit. b) rozporządzenia nr 40/94 </w:t>
      </w:r>
      <w:r w:rsidRPr="00D15CE8">
        <w:rPr>
          <w:b/>
          <w:bCs/>
          <w:sz w:val="24"/>
          <w:szCs w:val="24"/>
        </w:rPr>
        <w:t>wystarczy wykazanie minimum charakteru odróżniającego.</w:t>
      </w:r>
    </w:p>
    <w:p w14:paraId="4EE38588" w14:textId="77777777" w:rsidR="002B528D" w:rsidRPr="00D15CE8" w:rsidRDefault="002B528D" w:rsidP="002B528D">
      <w:pPr>
        <w:spacing w:after="0"/>
        <w:jc w:val="both"/>
        <w:rPr>
          <w:sz w:val="24"/>
          <w:szCs w:val="24"/>
        </w:rPr>
      </w:pPr>
      <w:r w:rsidRPr="00D15CE8">
        <w:rPr>
          <w:b/>
          <w:bCs/>
          <w:sz w:val="24"/>
          <w:szCs w:val="24"/>
        </w:rPr>
        <w:t>13.</w:t>
      </w:r>
      <w:r w:rsidRPr="00D15CE8">
        <w:rPr>
          <w:sz w:val="24"/>
          <w:szCs w:val="24"/>
        </w:rPr>
        <w:t xml:space="preserve"> Gdy chodzi o analizę przeprowadzoną w niniejszej sprawie przez Izbę Odwoławczą, Sąd zauważył w pkt 40–52 zaskarżonego wyroku, że </w:t>
      </w:r>
      <w:r w:rsidRPr="00D15CE8">
        <w:rPr>
          <w:sz w:val="24"/>
          <w:szCs w:val="24"/>
          <w:u w:val="single"/>
        </w:rPr>
        <w:t>Izba Odwoławcza odmówiła, bez przeprowadzenia konkretnego badania</w:t>
      </w:r>
      <w:r w:rsidRPr="00D15CE8">
        <w:rPr>
          <w:sz w:val="24"/>
          <w:szCs w:val="24"/>
        </w:rPr>
        <w:t xml:space="preserve"> i z naruszeniem zwłaszcza art. 4 rozporządzenia nr 40/94, uznania charakteru odróżniającego pojedynczych liter.</w:t>
      </w:r>
    </w:p>
    <w:p w14:paraId="09868E32" w14:textId="77777777" w:rsidR="002B528D" w:rsidRPr="00D15CE8" w:rsidRDefault="002B528D" w:rsidP="002B528D">
      <w:pPr>
        <w:spacing w:after="0"/>
        <w:jc w:val="both"/>
        <w:rPr>
          <w:sz w:val="24"/>
          <w:szCs w:val="24"/>
        </w:rPr>
      </w:pPr>
      <w:r w:rsidRPr="00D15CE8">
        <w:rPr>
          <w:b/>
          <w:bCs/>
          <w:sz w:val="24"/>
          <w:szCs w:val="24"/>
        </w:rPr>
        <w:t>14.</w:t>
      </w:r>
      <w:r w:rsidRPr="00D15CE8">
        <w:rPr>
          <w:sz w:val="24"/>
          <w:szCs w:val="24"/>
        </w:rPr>
        <w:t xml:space="preserve"> W dalszej kolejności w ramach kontroli zasadności decyzji Czwartej Izby Odwoławczej OHIM Sąd stwierdził: </w:t>
      </w:r>
    </w:p>
    <w:p w14:paraId="0A09DB33" w14:textId="1772EF6F" w:rsidR="002B528D" w:rsidRPr="00D15CE8" w:rsidRDefault="002B528D" w:rsidP="002B528D">
      <w:pPr>
        <w:spacing w:after="0"/>
        <w:jc w:val="both"/>
        <w:rPr>
          <w:i/>
          <w:sz w:val="24"/>
          <w:szCs w:val="24"/>
        </w:rPr>
      </w:pPr>
      <w:r w:rsidRPr="00D15CE8">
        <w:rPr>
          <w:i/>
          <w:sz w:val="24"/>
          <w:szCs w:val="24"/>
        </w:rPr>
        <w:t xml:space="preserve">„53 Po czwarte, [Czwarta] Izba Odwoławcza [OHIM] stwierdziła w pkt 25 [spornej] decyzji, że </w:t>
      </w:r>
      <w:r w:rsidRPr="00D15CE8">
        <w:rPr>
          <w:b/>
          <w:bCs/>
          <w:i/>
          <w:sz w:val="24"/>
          <w:szCs w:val="24"/>
        </w:rPr>
        <w:t xml:space="preserve">miarodajny krąg odbiorców </w:t>
      </w:r>
      <w:proofErr w:type="gramStart"/>
      <w:r w:rsidRPr="00D15CE8">
        <w:rPr>
          <w:b/>
          <w:bCs/>
          <w:i/>
          <w:sz w:val="24"/>
          <w:szCs w:val="24"/>
        </w:rPr>
        <w:t>dostrzeże</w:t>
      </w:r>
      <w:r w:rsidR="00FE4722">
        <w:rPr>
          <w:b/>
          <w:bCs/>
          <w:i/>
          <w:sz w:val="24"/>
          <w:szCs w:val="24"/>
        </w:rPr>
        <w:t xml:space="preserve"> </w:t>
      </w:r>
      <w:r w:rsidRPr="00D15CE8">
        <w:rPr>
          <w:b/>
          <w:bCs/>
          <w:i/>
          <w:sz w:val="24"/>
          <w:szCs w:val="24"/>
        </w:rPr>
        <w:t>»być</w:t>
      </w:r>
      <w:proofErr w:type="gramEnd"/>
      <w:r w:rsidRPr="00D15CE8">
        <w:rPr>
          <w:b/>
          <w:bCs/>
          <w:i/>
          <w:sz w:val="24"/>
          <w:szCs w:val="24"/>
        </w:rPr>
        <w:t xml:space="preserve"> może« w literze »?« odniesienie do jakości (jakość »A«),</w:t>
      </w:r>
      <w:r w:rsidRPr="00D15CE8">
        <w:rPr>
          <w:i/>
          <w:sz w:val="24"/>
          <w:szCs w:val="24"/>
        </w:rPr>
        <w:t xml:space="preserve"> </w:t>
      </w:r>
      <w:r w:rsidRPr="00D15CE8">
        <w:rPr>
          <w:i/>
          <w:sz w:val="24"/>
          <w:szCs w:val="24"/>
          <w:u w:val="single"/>
        </w:rPr>
        <w:t>wskazanie rozmiaru</w:t>
      </w:r>
      <w:r w:rsidRPr="00D15CE8">
        <w:rPr>
          <w:i/>
          <w:sz w:val="24"/>
          <w:szCs w:val="24"/>
        </w:rPr>
        <w:t xml:space="preserve"> lub określenie rodzaju czy też odmiany napojów alkoholowych takich jak wskazane w zgłoszeniu. </w:t>
      </w:r>
    </w:p>
    <w:p w14:paraId="372AEE7F" w14:textId="77777777" w:rsidR="002B528D" w:rsidRPr="00D15CE8" w:rsidRDefault="002B528D" w:rsidP="002B528D">
      <w:pPr>
        <w:spacing w:after="0"/>
        <w:jc w:val="both"/>
        <w:rPr>
          <w:i/>
          <w:sz w:val="24"/>
          <w:szCs w:val="24"/>
        </w:rPr>
      </w:pPr>
      <w:r w:rsidRPr="00D15CE8">
        <w:rPr>
          <w:i/>
          <w:sz w:val="24"/>
          <w:szCs w:val="24"/>
        </w:rPr>
        <w:t xml:space="preserve">54 OHIM </w:t>
      </w:r>
      <w:r w:rsidRPr="00D15CE8">
        <w:rPr>
          <w:i/>
          <w:sz w:val="24"/>
          <w:szCs w:val="24"/>
          <w:u w:val="single"/>
        </w:rPr>
        <w:t>nie może twierdzić, że orzekając w ten sposób</w:t>
      </w:r>
      <w:r w:rsidRPr="00D15CE8">
        <w:rPr>
          <w:i/>
          <w:sz w:val="24"/>
          <w:szCs w:val="24"/>
        </w:rPr>
        <w:t xml:space="preserve">, [Czwarta] Izba Odwoławcza [OHIM] </w:t>
      </w:r>
      <w:r w:rsidRPr="00D15CE8">
        <w:rPr>
          <w:i/>
          <w:sz w:val="24"/>
          <w:szCs w:val="24"/>
          <w:u w:val="single"/>
        </w:rPr>
        <w:t>przeprowadziła</w:t>
      </w:r>
      <w:r w:rsidRPr="00D15CE8">
        <w:rPr>
          <w:i/>
          <w:sz w:val="24"/>
          <w:szCs w:val="24"/>
        </w:rPr>
        <w:t xml:space="preserve"> w przypadku rozpatrywanego oznaczenia konkretne </w:t>
      </w:r>
      <w:r w:rsidRPr="00D15CE8">
        <w:rPr>
          <w:i/>
          <w:sz w:val="24"/>
          <w:szCs w:val="24"/>
          <w:u w:val="single"/>
        </w:rPr>
        <w:t>badanie charakteru odróżniającego.</w:t>
      </w:r>
      <w:r w:rsidRPr="00D15CE8">
        <w:rPr>
          <w:i/>
          <w:sz w:val="24"/>
          <w:szCs w:val="24"/>
        </w:rPr>
        <w:t xml:space="preserve"> Poza tym, że </w:t>
      </w:r>
      <w:r w:rsidRPr="00D15CE8">
        <w:rPr>
          <w:b/>
          <w:bCs/>
          <w:i/>
          <w:sz w:val="24"/>
          <w:szCs w:val="24"/>
          <w:u w:val="single"/>
        </w:rPr>
        <w:t>stwierdzenie to ma charakter hipotetyczny, co pozbawia je jakiejkolwiek wartości</w:t>
      </w:r>
      <w:r w:rsidRPr="00D15CE8">
        <w:rPr>
          <w:i/>
          <w:sz w:val="24"/>
          <w:szCs w:val="24"/>
        </w:rPr>
        <w:t xml:space="preserve">, nie odnosi się ono do </w:t>
      </w:r>
      <w:r w:rsidRPr="00D15CE8">
        <w:rPr>
          <w:i/>
          <w:sz w:val="24"/>
          <w:szCs w:val="24"/>
          <w:u w:val="single"/>
        </w:rPr>
        <w:t>żadnej konkretnej okoliczności</w:t>
      </w:r>
      <w:r w:rsidRPr="00D15CE8">
        <w:rPr>
          <w:i/>
          <w:sz w:val="24"/>
          <w:szCs w:val="24"/>
        </w:rPr>
        <w:t xml:space="preserve"> mogącej uzasadnić przyjęty wniosek, że zgłoszony znak towarowy będzie postrzegany przez właściwy krąg </w:t>
      </w:r>
      <w:r w:rsidRPr="00D15CE8">
        <w:rPr>
          <w:i/>
          <w:sz w:val="24"/>
          <w:szCs w:val="24"/>
        </w:rPr>
        <w:lastRenderedPageBreak/>
        <w:t>odbiorców jako odniesienie do jakości, wskazanie rozmiaru lub określenie rodzaju czy też odmiany towarów objętych zgłoszeniem [zob. podobnie wyrok Sądu z dnia 9 lipca 2008 r. w sprawie T-302/06 Hartmann przeciwko OHIM (E), pkt 44]. Wynika z tego, iż [Czwarta] Izba Odwoławcza [OHIM] nie wykazała, że zgłoszony znak towarowy nie ma charakteru odróżniającego”.</w:t>
      </w:r>
    </w:p>
    <w:p w14:paraId="050C561B" w14:textId="77777777" w:rsidR="002B528D" w:rsidRPr="00D15CE8" w:rsidRDefault="002B528D" w:rsidP="002B528D">
      <w:pPr>
        <w:spacing w:after="0"/>
        <w:jc w:val="both"/>
        <w:rPr>
          <w:sz w:val="24"/>
          <w:szCs w:val="24"/>
        </w:rPr>
      </w:pPr>
      <w:r w:rsidRPr="00D15CE8">
        <w:rPr>
          <w:sz w:val="24"/>
          <w:szCs w:val="24"/>
        </w:rPr>
        <w:t xml:space="preserve">15. W pkt 56 zaskarżonego wyroku </w:t>
      </w:r>
      <w:r w:rsidRPr="00D15CE8">
        <w:rPr>
          <w:sz w:val="24"/>
          <w:szCs w:val="24"/>
          <w:u w:val="single"/>
        </w:rPr>
        <w:t>Sąd stwierdził</w:t>
      </w:r>
      <w:r w:rsidRPr="00D15CE8">
        <w:rPr>
          <w:sz w:val="24"/>
          <w:szCs w:val="24"/>
        </w:rPr>
        <w:t xml:space="preserve">: </w:t>
      </w:r>
    </w:p>
    <w:p w14:paraId="455006BA" w14:textId="77777777" w:rsidR="002B528D" w:rsidRPr="00D15CE8" w:rsidRDefault="002B528D" w:rsidP="002B528D">
      <w:pPr>
        <w:spacing w:after="0"/>
        <w:jc w:val="both"/>
        <w:rPr>
          <w:b/>
          <w:bCs/>
          <w:i/>
          <w:iCs/>
          <w:sz w:val="24"/>
          <w:szCs w:val="24"/>
        </w:rPr>
      </w:pPr>
      <w:r w:rsidRPr="00D15CE8">
        <w:rPr>
          <w:b/>
          <w:bCs/>
          <w:i/>
          <w:iCs/>
          <w:sz w:val="24"/>
          <w:szCs w:val="24"/>
        </w:rPr>
        <w:t>„Powyższe rozważania wskazują więc na to, że wywodząc brak charakteru odróżniającego zgłoszonego oznaczenia wyłącznie z faktu, iż porównywane z krojem pisma Times New Roman nie zawiera ono różnic lub ozdobników graficznych, bez przeprowadzenia konkretnego badania jego zdolności do odróżniania w odczuciu miarodajnego kręgu odbiorców danych towarów od towarów pochodzących od konkurentów [BORCO], Izba Odwoławcza błędnie zastosowała art. 7 ust. 1 lit. b) rozporządzenia nr 40/94”.</w:t>
      </w:r>
    </w:p>
    <w:p w14:paraId="2A1EDAE6" w14:textId="77777777" w:rsidR="002B528D" w:rsidRPr="00D15CE8" w:rsidRDefault="002B528D" w:rsidP="002B528D">
      <w:pPr>
        <w:spacing w:after="0"/>
        <w:jc w:val="both"/>
        <w:rPr>
          <w:sz w:val="24"/>
          <w:szCs w:val="24"/>
        </w:rPr>
      </w:pPr>
      <w:r w:rsidRPr="00D15CE8">
        <w:rPr>
          <w:b/>
          <w:bCs/>
          <w:sz w:val="24"/>
          <w:szCs w:val="24"/>
        </w:rPr>
        <w:t>16.</w:t>
      </w:r>
      <w:r w:rsidRPr="00D15CE8">
        <w:rPr>
          <w:sz w:val="24"/>
          <w:szCs w:val="24"/>
        </w:rPr>
        <w:t xml:space="preserve"> W rezultacie </w:t>
      </w:r>
      <w:r w:rsidRPr="00D15CE8">
        <w:rPr>
          <w:b/>
          <w:bCs/>
          <w:sz w:val="24"/>
          <w:szCs w:val="24"/>
        </w:rPr>
        <w:t>Sąd uwzględnił zarzut pierwszy i stwierdził nieważność spornej decyzji</w:t>
      </w:r>
      <w:r w:rsidRPr="00D15CE8">
        <w:rPr>
          <w:sz w:val="24"/>
          <w:szCs w:val="24"/>
        </w:rPr>
        <w:t xml:space="preserve"> bez badania dwóch pozostałych zarzutów podniesionych przez BORCO. Przypominając, że stosownie do art. 63 ust. 6 rozporządzenia nr 40/94 na OHIM spoczywa obowiązek ponownego rozpatrzenia dokonanego przez BORCO zgłoszenia wspólnotowego znaku towarowego w świetle wywodów zawartych w zaskarżonym wyroku, Sąd uznał za zbędne orzekanie w przedmiocie drugiego żądania BORCO, mającego na celu stwierdzenie, że art. 7 ust. 1 lit. b) i c) oraz art. 7 ust. 2 rozporządzenia nr 40/94 nie stoją na przeszkodzie rejestracji zgłoszonego znaku towarowego dla towarów wskazanych w zgłoszeniu.</w:t>
      </w:r>
    </w:p>
    <w:p w14:paraId="7CC06E69" w14:textId="77777777" w:rsidR="002B528D" w:rsidRPr="00D15CE8" w:rsidRDefault="002B528D" w:rsidP="002B528D">
      <w:pPr>
        <w:spacing w:after="0"/>
        <w:jc w:val="both"/>
        <w:rPr>
          <w:sz w:val="24"/>
          <w:szCs w:val="24"/>
        </w:rPr>
      </w:pPr>
    </w:p>
    <w:p w14:paraId="4E5476F0" w14:textId="55E9E2DB" w:rsidR="002B528D" w:rsidRPr="00D15CE8" w:rsidRDefault="007D3065" w:rsidP="002B528D">
      <w:pPr>
        <w:spacing w:after="0"/>
        <w:jc w:val="both"/>
        <w:rPr>
          <w:b/>
          <w:bCs/>
          <w:sz w:val="24"/>
          <w:szCs w:val="24"/>
        </w:rPr>
      </w:pPr>
      <w:r w:rsidRPr="00D15CE8">
        <w:rPr>
          <w:b/>
          <w:bCs/>
          <w:sz w:val="24"/>
          <w:szCs w:val="24"/>
        </w:rPr>
        <w:t>Żądania stron</w:t>
      </w:r>
    </w:p>
    <w:p w14:paraId="1963BB9E" w14:textId="77777777" w:rsidR="002B528D" w:rsidRPr="00D15CE8" w:rsidRDefault="002B528D" w:rsidP="002B528D">
      <w:pPr>
        <w:spacing w:after="0"/>
        <w:jc w:val="both"/>
        <w:rPr>
          <w:sz w:val="24"/>
          <w:szCs w:val="24"/>
        </w:rPr>
      </w:pPr>
      <w:r w:rsidRPr="00D15CE8">
        <w:rPr>
          <w:sz w:val="24"/>
          <w:szCs w:val="24"/>
        </w:rPr>
        <w:t xml:space="preserve">17. W odwołaniu </w:t>
      </w:r>
      <w:r w:rsidRPr="00D15CE8">
        <w:rPr>
          <w:sz w:val="24"/>
          <w:szCs w:val="24"/>
          <w:u w:val="single"/>
        </w:rPr>
        <w:t>OHIM podnosi jeden tylko zarzut</w:t>
      </w:r>
      <w:r w:rsidRPr="00D15CE8">
        <w:rPr>
          <w:sz w:val="24"/>
          <w:szCs w:val="24"/>
        </w:rPr>
        <w:t xml:space="preserve">, składający się z trzech części dotyczących: wymogu konkretnego badania charakteru odróżniającego, rzekomo hipotetycznego charakteru badania a priori i ciężaru dowodu, wnosi on do Trybunału o: </w:t>
      </w:r>
    </w:p>
    <w:p w14:paraId="22215B7D" w14:textId="77777777" w:rsidR="002B528D" w:rsidRPr="00D15CE8" w:rsidRDefault="002B528D" w:rsidP="001F6BE3">
      <w:pPr>
        <w:pStyle w:val="Akapitzlist"/>
        <w:numPr>
          <w:ilvl w:val="0"/>
          <w:numId w:val="22"/>
        </w:numPr>
        <w:spacing w:line="259" w:lineRule="auto"/>
        <w:ind w:left="851" w:hanging="284"/>
        <w:contextualSpacing/>
        <w:jc w:val="both"/>
        <w:rPr>
          <w:sz w:val="24"/>
          <w:szCs w:val="24"/>
        </w:rPr>
      </w:pPr>
      <w:r w:rsidRPr="00D15CE8">
        <w:rPr>
          <w:sz w:val="24"/>
          <w:szCs w:val="24"/>
        </w:rPr>
        <w:t xml:space="preserve">uchylenie zaskarżonego wyroku; </w:t>
      </w:r>
    </w:p>
    <w:p w14:paraId="74BFA200" w14:textId="77777777" w:rsidR="002B528D" w:rsidRPr="00D15CE8" w:rsidRDefault="002B528D" w:rsidP="001F6BE3">
      <w:pPr>
        <w:pStyle w:val="Akapitzlist"/>
        <w:numPr>
          <w:ilvl w:val="0"/>
          <w:numId w:val="22"/>
        </w:numPr>
        <w:spacing w:line="259" w:lineRule="auto"/>
        <w:ind w:left="851" w:hanging="284"/>
        <w:contextualSpacing/>
        <w:jc w:val="both"/>
        <w:rPr>
          <w:sz w:val="24"/>
          <w:szCs w:val="24"/>
        </w:rPr>
      </w:pPr>
      <w:r w:rsidRPr="00D15CE8">
        <w:rPr>
          <w:sz w:val="24"/>
          <w:szCs w:val="24"/>
        </w:rPr>
        <w:t xml:space="preserve">tytułem żądania głównego </w:t>
      </w:r>
    </w:p>
    <w:p w14:paraId="76B6C0CC" w14:textId="77777777" w:rsidR="002B528D" w:rsidRPr="00D15CE8" w:rsidRDefault="002B528D" w:rsidP="001F6BE3">
      <w:pPr>
        <w:pStyle w:val="Akapitzlist"/>
        <w:numPr>
          <w:ilvl w:val="0"/>
          <w:numId w:val="22"/>
        </w:numPr>
        <w:spacing w:line="259" w:lineRule="auto"/>
        <w:ind w:left="851" w:hanging="284"/>
        <w:contextualSpacing/>
        <w:jc w:val="both"/>
        <w:rPr>
          <w:sz w:val="24"/>
          <w:szCs w:val="24"/>
        </w:rPr>
      </w:pPr>
      <w:r w:rsidRPr="00D15CE8">
        <w:rPr>
          <w:sz w:val="24"/>
          <w:szCs w:val="24"/>
        </w:rPr>
        <w:t xml:space="preserve">– oddalenie skargi wniesionej przez BORCO w pierwszej instancji; </w:t>
      </w:r>
    </w:p>
    <w:p w14:paraId="5C0F5A67" w14:textId="77777777" w:rsidR="002B528D" w:rsidRPr="00D15CE8" w:rsidRDefault="002B528D" w:rsidP="001F6BE3">
      <w:pPr>
        <w:pStyle w:val="Akapitzlist"/>
        <w:numPr>
          <w:ilvl w:val="0"/>
          <w:numId w:val="22"/>
        </w:numPr>
        <w:spacing w:line="259" w:lineRule="auto"/>
        <w:ind w:left="851" w:hanging="284"/>
        <w:contextualSpacing/>
        <w:jc w:val="both"/>
        <w:rPr>
          <w:sz w:val="24"/>
          <w:szCs w:val="24"/>
        </w:rPr>
      </w:pPr>
      <w:r w:rsidRPr="00D15CE8">
        <w:rPr>
          <w:sz w:val="24"/>
          <w:szCs w:val="24"/>
        </w:rPr>
        <w:t xml:space="preserve">tytułem żądania ewentualnego </w:t>
      </w:r>
    </w:p>
    <w:p w14:paraId="540C0AD7" w14:textId="77777777" w:rsidR="002B528D" w:rsidRPr="00D15CE8" w:rsidRDefault="002B528D" w:rsidP="001F6BE3">
      <w:pPr>
        <w:pStyle w:val="Akapitzlist"/>
        <w:numPr>
          <w:ilvl w:val="0"/>
          <w:numId w:val="22"/>
        </w:numPr>
        <w:spacing w:line="259" w:lineRule="auto"/>
        <w:ind w:left="851" w:hanging="284"/>
        <w:contextualSpacing/>
        <w:jc w:val="both"/>
        <w:rPr>
          <w:sz w:val="24"/>
          <w:szCs w:val="24"/>
        </w:rPr>
      </w:pPr>
      <w:r w:rsidRPr="00D15CE8">
        <w:rPr>
          <w:sz w:val="24"/>
          <w:szCs w:val="24"/>
        </w:rPr>
        <w:t xml:space="preserve">– przekazanie sprawy Sądowi celem ponownego rozpoznania; oraz </w:t>
      </w:r>
    </w:p>
    <w:p w14:paraId="6D08C9BF" w14:textId="77777777" w:rsidR="002B528D" w:rsidRPr="00D15CE8" w:rsidRDefault="002B528D" w:rsidP="001F6BE3">
      <w:pPr>
        <w:pStyle w:val="Akapitzlist"/>
        <w:numPr>
          <w:ilvl w:val="0"/>
          <w:numId w:val="22"/>
        </w:numPr>
        <w:spacing w:line="259" w:lineRule="auto"/>
        <w:ind w:left="851" w:hanging="284"/>
        <w:contextualSpacing/>
        <w:jc w:val="both"/>
        <w:rPr>
          <w:b/>
          <w:bCs/>
          <w:sz w:val="24"/>
          <w:szCs w:val="24"/>
        </w:rPr>
      </w:pPr>
      <w:r w:rsidRPr="00D15CE8">
        <w:rPr>
          <w:sz w:val="24"/>
          <w:szCs w:val="24"/>
        </w:rPr>
        <w:t>obciążenie BORCO kosztami poniesionymi w związku z postępowaniem zarówno przed Sądem, jak i przed Trybunałem.</w:t>
      </w:r>
    </w:p>
    <w:p w14:paraId="053096F5" w14:textId="77777777" w:rsidR="002B528D" w:rsidRPr="00D15CE8" w:rsidRDefault="002B528D" w:rsidP="002B528D">
      <w:pPr>
        <w:spacing w:after="0"/>
        <w:jc w:val="both"/>
        <w:rPr>
          <w:sz w:val="24"/>
          <w:szCs w:val="24"/>
        </w:rPr>
      </w:pPr>
      <w:r w:rsidRPr="00D15CE8">
        <w:rPr>
          <w:sz w:val="24"/>
          <w:szCs w:val="24"/>
        </w:rPr>
        <w:t>18. BORCO wnosi do Trybunału o oddalenie odwołania i o obciążenie OHIM kosztami postępowania.</w:t>
      </w:r>
    </w:p>
    <w:p w14:paraId="341BDE24" w14:textId="77777777" w:rsidR="002B528D" w:rsidRPr="00D15CE8" w:rsidRDefault="002B528D" w:rsidP="002B528D">
      <w:pPr>
        <w:spacing w:after="0"/>
        <w:jc w:val="both"/>
        <w:rPr>
          <w:b/>
          <w:bCs/>
          <w:sz w:val="24"/>
          <w:szCs w:val="24"/>
        </w:rPr>
      </w:pPr>
    </w:p>
    <w:p w14:paraId="2C25DA34" w14:textId="77777777" w:rsidR="002B528D" w:rsidRPr="00D15CE8" w:rsidRDefault="002B528D" w:rsidP="002B528D">
      <w:pPr>
        <w:spacing w:after="0"/>
        <w:jc w:val="both"/>
        <w:rPr>
          <w:b/>
          <w:bCs/>
          <w:sz w:val="24"/>
          <w:szCs w:val="24"/>
        </w:rPr>
      </w:pPr>
      <w:r w:rsidRPr="00D15CE8">
        <w:rPr>
          <w:b/>
          <w:bCs/>
          <w:sz w:val="24"/>
          <w:szCs w:val="24"/>
        </w:rPr>
        <w:t xml:space="preserve">W przedmiocie odwołania </w:t>
      </w:r>
    </w:p>
    <w:p w14:paraId="4330CF89" w14:textId="77777777" w:rsidR="002B528D" w:rsidRPr="00D15CE8" w:rsidRDefault="002B528D" w:rsidP="002B528D">
      <w:pPr>
        <w:spacing w:after="0"/>
        <w:jc w:val="both"/>
        <w:rPr>
          <w:b/>
          <w:bCs/>
          <w:sz w:val="24"/>
          <w:szCs w:val="24"/>
        </w:rPr>
      </w:pPr>
      <w:r w:rsidRPr="00D15CE8">
        <w:rPr>
          <w:b/>
          <w:bCs/>
          <w:sz w:val="24"/>
          <w:szCs w:val="24"/>
        </w:rPr>
        <w:t xml:space="preserve">W przedmiocie pierwszej części jedynego zarzutu </w:t>
      </w:r>
    </w:p>
    <w:p w14:paraId="4296A205" w14:textId="77777777" w:rsidR="002B528D" w:rsidRPr="00D15CE8" w:rsidRDefault="002B528D" w:rsidP="002B528D">
      <w:pPr>
        <w:spacing w:after="0"/>
        <w:jc w:val="both"/>
        <w:rPr>
          <w:b/>
          <w:bCs/>
          <w:sz w:val="24"/>
          <w:szCs w:val="24"/>
        </w:rPr>
      </w:pPr>
      <w:r w:rsidRPr="00D15CE8">
        <w:rPr>
          <w:b/>
          <w:bCs/>
          <w:sz w:val="24"/>
          <w:szCs w:val="24"/>
        </w:rPr>
        <w:t>Argumentacja stron</w:t>
      </w:r>
    </w:p>
    <w:p w14:paraId="27D27F32" w14:textId="77777777" w:rsidR="002B528D" w:rsidRPr="00D15CE8" w:rsidRDefault="002B528D" w:rsidP="002B528D">
      <w:pPr>
        <w:spacing w:after="0"/>
        <w:jc w:val="both"/>
        <w:rPr>
          <w:b/>
          <w:bCs/>
          <w:sz w:val="24"/>
          <w:szCs w:val="24"/>
        </w:rPr>
      </w:pPr>
    </w:p>
    <w:p w14:paraId="516671C9" w14:textId="77777777" w:rsidR="002B528D" w:rsidRPr="00D15CE8" w:rsidRDefault="002B528D" w:rsidP="002B528D">
      <w:pPr>
        <w:spacing w:after="0"/>
        <w:jc w:val="both"/>
        <w:rPr>
          <w:sz w:val="24"/>
          <w:szCs w:val="24"/>
        </w:rPr>
      </w:pPr>
      <w:r w:rsidRPr="00D15CE8">
        <w:rPr>
          <w:b/>
          <w:bCs/>
          <w:sz w:val="24"/>
          <w:szCs w:val="24"/>
        </w:rPr>
        <w:t>19.</w:t>
      </w:r>
      <w:r w:rsidRPr="00D15CE8">
        <w:rPr>
          <w:sz w:val="24"/>
          <w:szCs w:val="24"/>
        </w:rPr>
        <w:t xml:space="preserve"> OHIM podnosi, że wbrew stanowisku Sądu dokonywane na podstawie art. 7 ust. 1 lit. b) rozporządzenia nr 40/94 badanie charakteru odróżniającego oznaczenia nie zawsze wymaga ustalenia zdolności tego oznaczenia do odróżniania poszczególnych towarów w ramach konkretnej analizy odnoszącej się do tych towarów. </w:t>
      </w:r>
    </w:p>
    <w:p w14:paraId="622816F1" w14:textId="77777777" w:rsidR="002B528D" w:rsidRPr="00D15CE8" w:rsidRDefault="002B528D" w:rsidP="002B528D">
      <w:pPr>
        <w:spacing w:after="0"/>
        <w:jc w:val="both"/>
        <w:rPr>
          <w:sz w:val="24"/>
          <w:szCs w:val="24"/>
        </w:rPr>
      </w:pPr>
      <w:r w:rsidRPr="00D15CE8">
        <w:rPr>
          <w:b/>
          <w:bCs/>
          <w:sz w:val="24"/>
          <w:szCs w:val="24"/>
        </w:rPr>
        <w:lastRenderedPageBreak/>
        <w:t>20.</w:t>
      </w:r>
      <w:r w:rsidRPr="00D15CE8">
        <w:rPr>
          <w:sz w:val="24"/>
          <w:szCs w:val="24"/>
        </w:rPr>
        <w:t xml:space="preserve"> Sąd błędnie zastosował art. 7 ust. 1 lit. b) wspomnianego rozporządzenia, ponieważ odrzucił stanowisko Czwartej Izby Odwoławczej OHIM tylko z tego względu, że dla określonej kategorii oznaczeń ustanowiła ona zasadę, zgodnie z którą oznaczenia wchodzące w skład tej kategorii nie mogą w normalnych warunkach wskazywać pochodzenia towarów lub usług. Sąd powinien był zweryfikować, czy twierdzenie Izby Odwoławczej znajdowało potwierdzenie w okolicznościach faktycznych sprawy. </w:t>
      </w:r>
    </w:p>
    <w:p w14:paraId="3704FD1C" w14:textId="51027DCC" w:rsidR="002B528D" w:rsidRPr="00D15CE8" w:rsidRDefault="002B528D" w:rsidP="002B528D">
      <w:pPr>
        <w:spacing w:after="0"/>
        <w:jc w:val="both"/>
        <w:rPr>
          <w:sz w:val="24"/>
          <w:szCs w:val="24"/>
        </w:rPr>
      </w:pPr>
      <w:r w:rsidRPr="00D15CE8">
        <w:rPr>
          <w:b/>
          <w:bCs/>
          <w:sz w:val="24"/>
          <w:szCs w:val="24"/>
        </w:rPr>
        <w:t>21.</w:t>
      </w:r>
      <w:r w:rsidRPr="00D15CE8">
        <w:rPr>
          <w:sz w:val="24"/>
          <w:szCs w:val="24"/>
        </w:rPr>
        <w:t xml:space="preserve"> Na poparcie swej tezy OHIM powołuje się na orzecznictwo Trybunału dotyczące oznaczeń trójwymiarowych (wyrok z dnia 7 października 2004 r. w sprawie C-136/02_P Mag Instrument przeciwko OHIM, </w:t>
      </w:r>
      <w:proofErr w:type="spellStart"/>
      <w:r w:rsidR="002428B7">
        <w:rPr>
          <w:sz w:val="24"/>
          <w:szCs w:val="24"/>
        </w:rPr>
        <w:t>z</w:t>
      </w:r>
      <w:r w:rsidRPr="00D15CE8">
        <w:rPr>
          <w:sz w:val="24"/>
          <w:szCs w:val="24"/>
        </w:rPr>
        <w:t>b.</w:t>
      </w:r>
      <w:proofErr w:type="spellEnd"/>
      <w:r w:rsidR="002428B7">
        <w:rPr>
          <w:sz w:val="24"/>
          <w:szCs w:val="24"/>
        </w:rPr>
        <w:t xml:space="preserve"> o</w:t>
      </w:r>
      <w:r w:rsidRPr="00D15CE8">
        <w:rPr>
          <w:sz w:val="24"/>
          <w:szCs w:val="24"/>
        </w:rPr>
        <w:t xml:space="preserve">rz. s. I-9165), znaków towarowych barwnych (wyroki: z dnia 6 maja 2003 r. w sprawie C-104/01 </w:t>
      </w:r>
      <w:proofErr w:type="spellStart"/>
      <w:r w:rsidRPr="00D15CE8">
        <w:rPr>
          <w:sz w:val="24"/>
          <w:szCs w:val="24"/>
        </w:rPr>
        <w:t>Libertel</w:t>
      </w:r>
      <w:proofErr w:type="spellEnd"/>
      <w:r w:rsidRPr="00D15CE8">
        <w:rPr>
          <w:sz w:val="24"/>
          <w:szCs w:val="24"/>
        </w:rPr>
        <w:t xml:space="preserve">, Rec. s. I-3793; z dnia 24 czerwca 2004 r. w sprawie C-49/02 </w:t>
      </w:r>
      <w:proofErr w:type="spellStart"/>
      <w:r w:rsidRPr="00D15CE8">
        <w:rPr>
          <w:sz w:val="24"/>
          <w:szCs w:val="24"/>
        </w:rPr>
        <w:t>Heidelberger</w:t>
      </w:r>
      <w:proofErr w:type="spellEnd"/>
      <w:r w:rsidRPr="00D15CE8">
        <w:rPr>
          <w:sz w:val="24"/>
          <w:szCs w:val="24"/>
        </w:rPr>
        <w:t xml:space="preserve"> </w:t>
      </w:r>
      <w:proofErr w:type="spellStart"/>
      <w:r w:rsidRPr="00D15CE8">
        <w:rPr>
          <w:sz w:val="24"/>
          <w:szCs w:val="24"/>
        </w:rPr>
        <w:t>Bauchemie</w:t>
      </w:r>
      <w:proofErr w:type="spellEnd"/>
      <w:r w:rsidRPr="00D15CE8">
        <w:rPr>
          <w:sz w:val="24"/>
          <w:szCs w:val="24"/>
        </w:rPr>
        <w:t xml:space="preserve">, </w:t>
      </w:r>
      <w:proofErr w:type="spellStart"/>
      <w:r w:rsidR="002428B7">
        <w:rPr>
          <w:sz w:val="24"/>
          <w:szCs w:val="24"/>
        </w:rPr>
        <w:t>z</w:t>
      </w:r>
      <w:r w:rsidRPr="00D15CE8">
        <w:rPr>
          <w:sz w:val="24"/>
          <w:szCs w:val="24"/>
        </w:rPr>
        <w:t>b.</w:t>
      </w:r>
      <w:proofErr w:type="spellEnd"/>
      <w:r w:rsidR="002428B7">
        <w:rPr>
          <w:sz w:val="24"/>
          <w:szCs w:val="24"/>
        </w:rPr>
        <w:t xml:space="preserve"> o</w:t>
      </w:r>
      <w:r w:rsidRPr="00D15CE8">
        <w:rPr>
          <w:sz w:val="24"/>
          <w:szCs w:val="24"/>
        </w:rPr>
        <w:t xml:space="preserve">rz. s. I-6129), jak również na orzecznictwo Sądu odnoszące się do problematyki sloganów reklamowych i nazw domeny. Zdaniem OHIM przytaczane orzecznictwo dopuszcza w przypadku niektórych kategorii oznaczeń badanie konkretnego charakteru odróżniającego w rozumieniu art. 7 ust. 1 lit. b) rozporządzenia nr 40/94 oparte na ogólnych twierdzeniach dotyczących percepcji konsumentów i jej uwarunkowań, jak też pozwala często na odstąpienie od konkretnego badania towarów i usług objętych danym zgłoszeniem. </w:t>
      </w:r>
    </w:p>
    <w:p w14:paraId="556EE1AE" w14:textId="77777777" w:rsidR="002B528D" w:rsidRPr="00D15CE8" w:rsidRDefault="002B528D" w:rsidP="002B528D">
      <w:pPr>
        <w:spacing w:after="0"/>
        <w:jc w:val="both"/>
        <w:rPr>
          <w:sz w:val="24"/>
          <w:szCs w:val="24"/>
        </w:rPr>
      </w:pPr>
      <w:r w:rsidRPr="00D15CE8">
        <w:rPr>
          <w:b/>
          <w:bCs/>
          <w:sz w:val="24"/>
          <w:szCs w:val="24"/>
        </w:rPr>
        <w:t>22.</w:t>
      </w:r>
      <w:r w:rsidRPr="00D15CE8">
        <w:rPr>
          <w:sz w:val="24"/>
          <w:szCs w:val="24"/>
        </w:rPr>
        <w:t xml:space="preserve"> OHIM podkreśla, że skoro w ramach oceny oznaczeń trójwymiarowych można przyjąć, iż w braku elementów graficznych i słownych konsument nie ma zwyczaju wnioskowania na temat pochodzenia towaru na podstawie jego kształtu (ww. wyrok w sprawie Mag Instrument przeciwko OHIM, pkt 30), to należałoby również przyjąć, że konsument nie ma zwyczaju wnioskowania na temat pochodzenia towaru na podstawie pojedynczych liter pozbawionych elementów graficznych.</w:t>
      </w:r>
    </w:p>
    <w:p w14:paraId="19D4A721" w14:textId="77777777" w:rsidR="002B528D" w:rsidRPr="00D15CE8" w:rsidRDefault="002B528D" w:rsidP="002B528D">
      <w:pPr>
        <w:spacing w:after="0"/>
        <w:jc w:val="both"/>
        <w:rPr>
          <w:sz w:val="24"/>
          <w:szCs w:val="24"/>
        </w:rPr>
      </w:pPr>
      <w:r w:rsidRPr="00D15CE8">
        <w:rPr>
          <w:b/>
          <w:bCs/>
          <w:sz w:val="24"/>
          <w:szCs w:val="24"/>
        </w:rPr>
        <w:t>23.</w:t>
      </w:r>
      <w:r w:rsidRPr="00D15CE8">
        <w:rPr>
          <w:sz w:val="24"/>
          <w:szCs w:val="24"/>
        </w:rPr>
        <w:t xml:space="preserve"> Zdaniem OHIM w ramach badania kategorii oznaczeń tworzonych przez </w:t>
      </w:r>
      <w:r w:rsidRPr="00F561D7">
        <w:rPr>
          <w:sz w:val="24"/>
          <w:szCs w:val="24"/>
          <w:shd w:val="clear" w:color="auto" w:fill="E7E6E6" w:themeFill="background2"/>
        </w:rPr>
        <w:t>kolor</w:t>
      </w:r>
      <w:r w:rsidRPr="00D15CE8">
        <w:rPr>
          <w:sz w:val="24"/>
          <w:szCs w:val="24"/>
        </w:rPr>
        <w:t xml:space="preserve"> Trybunał stwierdził już w przeszłości, że </w:t>
      </w:r>
      <w:r w:rsidRPr="00D15CE8">
        <w:rPr>
          <w:b/>
          <w:bCs/>
          <w:sz w:val="24"/>
          <w:szCs w:val="24"/>
        </w:rPr>
        <w:t>abstrahując od wyjątkowych okolicznoś</w:t>
      </w:r>
      <w:r w:rsidRPr="00D15CE8">
        <w:rPr>
          <w:sz w:val="24"/>
          <w:szCs w:val="24"/>
        </w:rPr>
        <w:t xml:space="preserve">ci, </w:t>
      </w:r>
      <w:r w:rsidRPr="00D15CE8">
        <w:rPr>
          <w:sz w:val="24"/>
          <w:szCs w:val="24"/>
          <w:highlight w:val="magenta"/>
          <w:u w:val="single"/>
        </w:rPr>
        <w:t xml:space="preserve">kolory nie mają </w:t>
      </w:r>
      <w:r w:rsidRPr="00D15CE8">
        <w:rPr>
          <w:i/>
          <w:iCs/>
          <w:sz w:val="24"/>
          <w:szCs w:val="24"/>
          <w:highlight w:val="magenta"/>
          <w:u w:val="single"/>
        </w:rPr>
        <w:t>ab initio</w:t>
      </w:r>
      <w:r w:rsidRPr="00D15CE8">
        <w:rPr>
          <w:sz w:val="24"/>
          <w:szCs w:val="24"/>
          <w:highlight w:val="magenta"/>
          <w:u w:val="single"/>
        </w:rPr>
        <w:t xml:space="preserve"> charakteru odróżniającego</w:t>
      </w:r>
      <w:r w:rsidRPr="00D15CE8">
        <w:rPr>
          <w:sz w:val="24"/>
          <w:szCs w:val="24"/>
        </w:rPr>
        <w:t xml:space="preserve">, jednak </w:t>
      </w:r>
      <w:r w:rsidRPr="00D15CE8">
        <w:rPr>
          <w:sz w:val="24"/>
          <w:szCs w:val="24"/>
          <w:u w:val="single"/>
        </w:rPr>
        <w:t>mogą ewentualnie uzyskać taki charakter w następstwie używania</w:t>
      </w:r>
      <w:r w:rsidRPr="00D15CE8">
        <w:rPr>
          <w:sz w:val="24"/>
          <w:szCs w:val="24"/>
        </w:rPr>
        <w:t xml:space="preserve"> ich w odniesieniu </w:t>
      </w:r>
      <w:r w:rsidRPr="00D15CE8">
        <w:rPr>
          <w:sz w:val="24"/>
          <w:szCs w:val="24"/>
          <w:u w:val="single"/>
        </w:rPr>
        <w:t>do określonych towarów</w:t>
      </w:r>
      <w:r w:rsidRPr="00D15CE8">
        <w:rPr>
          <w:sz w:val="24"/>
          <w:szCs w:val="24"/>
        </w:rPr>
        <w:t xml:space="preserve"> lub usług (ww. wyrok w sprawie </w:t>
      </w:r>
      <w:proofErr w:type="spellStart"/>
      <w:r w:rsidRPr="00D15CE8">
        <w:rPr>
          <w:sz w:val="24"/>
          <w:szCs w:val="24"/>
        </w:rPr>
        <w:t>Heidelberger</w:t>
      </w:r>
      <w:proofErr w:type="spellEnd"/>
      <w:r w:rsidRPr="00D15CE8">
        <w:rPr>
          <w:sz w:val="24"/>
          <w:szCs w:val="24"/>
        </w:rPr>
        <w:t xml:space="preserve"> </w:t>
      </w:r>
      <w:proofErr w:type="spellStart"/>
      <w:r w:rsidRPr="00D15CE8">
        <w:rPr>
          <w:sz w:val="24"/>
          <w:szCs w:val="24"/>
        </w:rPr>
        <w:t>Bauchemie</w:t>
      </w:r>
      <w:proofErr w:type="spellEnd"/>
      <w:r w:rsidRPr="00D15CE8">
        <w:rPr>
          <w:sz w:val="24"/>
          <w:szCs w:val="24"/>
        </w:rPr>
        <w:t xml:space="preserve">, pkt 39). OHIM uważa, że </w:t>
      </w:r>
      <w:r w:rsidRPr="00D15CE8">
        <w:rPr>
          <w:b/>
          <w:bCs/>
          <w:sz w:val="24"/>
          <w:szCs w:val="24"/>
        </w:rPr>
        <w:t>identyczne stanowisko należałoby przyjąć w stosunku do pojedynczych liter</w:t>
      </w:r>
      <w:r w:rsidRPr="00D15CE8">
        <w:rPr>
          <w:sz w:val="24"/>
          <w:szCs w:val="24"/>
        </w:rPr>
        <w:t>, tym bardziej że są one postrzegane zwykle jako określenie rodzaju lub pozycji w kodzie, jako wskazanie rozmiaru lub jako inne tego rodzaju dane.</w:t>
      </w:r>
    </w:p>
    <w:p w14:paraId="0E1C6B71" w14:textId="77777777" w:rsidR="002B528D" w:rsidRPr="00D15CE8" w:rsidRDefault="002B528D" w:rsidP="002B528D">
      <w:pPr>
        <w:spacing w:after="0"/>
        <w:jc w:val="both"/>
        <w:rPr>
          <w:sz w:val="24"/>
          <w:szCs w:val="24"/>
        </w:rPr>
      </w:pPr>
      <w:r w:rsidRPr="00D15CE8">
        <w:rPr>
          <w:b/>
          <w:bCs/>
          <w:sz w:val="24"/>
          <w:szCs w:val="24"/>
        </w:rPr>
        <w:t>24.</w:t>
      </w:r>
      <w:r w:rsidRPr="00D15CE8">
        <w:rPr>
          <w:sz w:val="24"/>
          <w:szCs w:val="24"/>
        </w:rPr>
        <w:t xml:space="preserve"> BORCO nie zgadza się z interpretacją zaproponowaną przez OHIM. Zauważa ona, że pojęcie charakteru odróżniającego winno być rozumiane w ten sam sposób w przypadku wszystkich kategorii znaków towarowych. </w:t>
      </w:r>
      <w:r w:rsidRPr="00D15CE8">
        <w:rPr>
          <w:sz w:val="24"/>
          <w:szCs w:val="24"/>
          <w:u w:val="single"/>
        </w:rPr>
        <w:t>Artykuł 7 ust. 1 lit. b) rozporządzenia nr 40/94 nie dokonuje rozróżnienia między poszczególnymi kategoriami znaków towarowych</w:t>
      </w:r>
      <w:r w:rsidRPr="00D15CE8">
        <w:rPr>
          <w:sz w:val="24"/>
          <w:szCs w:val="24"/>
        </w:rPr>
        <w:t xml:space="preserve"> w zakresie oceny ich charakteru odróżniającego. Charakter odróżniający danego znaku należy zawsze oceniać z uwzględnieniem towarów lub usług, dla których dokonano zgłoszenia. Większe trudności, które mogą być związane z konkretną oceną charakteru odróżniającego niektórych znaków, nie uzasadniają domniemania, że takie znaki są a priori pozbawione charakteru odróżniającego.</w:t>
      </w:r>
    </w:p>
    <w:p w14:paraId="73528858" w14:textId="77777777" w:rsidR="002B528D" w:rsidRPr="00D15CE8" w:rsidRDefault="002B528D" w:rsidP="002B528D">
      <w:pPr>
        <w:spacing w:after="0"/>
        <w:jc w:val="both"/>
        <w:rPr>
          <w:sz w:val="24"/>
          <w:szCs w:val="24"/>
          <w:u w:val="single"/>
        </w:rPr>
      </w:pPr>
      <w:r w:rsidRPr="00D15CE8">
        <w:rPr>
          <w:b/>
          <w:bCs/>
          <w:sz w:val="24"/>
          <w:szCs w:val="24"/>
        </w:rPr>
        <w:t>25.</w:t>
      </w:r>
      <w:r w:rsidRPr="00D15CE8">
        <w:rPr>
          <w:sz w:val="24"/>
          <w:szCs w:val="24"/>
        </w:rPr>
        <w:t xml:space="preserve"> Wbrew twierdzeniom OHIM wypracowane w orzecznictwie zasady dotyczące charakteru odróżniającego znaków barwnych i trójwymiarowych nie mogą zostać zastosowanie w okolicznościach niniejszej sprawy. Jako że zgłoszony do rejestracji znak towarowy </w:t>
      </w:r>
      <w:r w:rsidRPr="00D15CE8">
        <w:rPr>
          <w:sz w:val="24"/>
          <w:szCs w:val="24"/>
          <w:u w:val="single"/>
        </w:rPr>
        <w:t>jest znakiem graficznym</w:t>
      </w:r>
      <w:r w:rsidRPr="00D15CE8">
        <w:rPr>
          <w:sz w:val="24"/>
          <w:szCs w:val="24"/>
        </w:rPr>
        <w:t xml:space="preserve"> przedstawiającym pojedynczą literę alfabetu greckiego, a </w:t>
      </w:r>
      <w:r w:rsidRPr="00D15CE8">
        <w:rPr>
          <w:sz w:val="24"/>
          <w:szCs w:val="24"/>
          <w:u w:val="single"/>
        </w:rPr>
        <w:t>mianowicie „?”</w:t>
      </w:r>
      <w:r w:rsidRPr="00D15CE8">
        <w:rPr>
          <w:sz w:val="24"/>
          <w:szCs w:val="24"/>
        </w:rPr>
        <w:t xml:space="preserve">, zapisaną </w:t>
      </w:r>
      <w:r w:rsidRPr="00D15CE8">
        <w:rPr>
          <w:sz w:val="24"/>
          <w:szCs w:val="24"/>
        </w:rPr>
        <w:lastRenderedPageBreak/>
        <w:t xml:space="preserve">zwykłym krojem pisma bez żadnego dodatkowego elementu graficznego, należałoby w odniesieniu do niego </w:t>
      </w:r>
      <w:r w:rsidRPr="00D15CE8">
        <w:rPr>
          <w:sz w:val="24"/>
          <w:szCs w:val="24"/>
          <w:u w:val="single"/>
        </w:rPr>
        <w:t>stosować zasady wypracowane dla słownych znaków towarowych.</w:t>
      </w:r>
    </w:p>
    <w:p w14:paraId="40457DF2" w14:textId="19F493F9" w:rsidR="002B528D" w:rsidRPr="00D15CE8" w:rsidRDefault="002B528D" w:rsidP="002B528D">
      <w:pPr>
        <w:spacing w:after="0"/>
        <w:jc w:val="both"/>
        <w:rPr>
          <w:sz w:val="24"/>
          <w:szCs w:val="24"/>
        </w:rPr>
      </w:pPr>
      <w:r w:rsidRPr="00D15CE8">
        <w:rPr>
          <w:b/>
          <w:bCs/>
          <w:sz w:val="24"/>
          <w:szCs w:val="24"/>
        </w:rPr>
        <w:t>26</w:t>
      </w:r>
      <w:r w:rsidRPr="00D15CE8">
        <w:rPr>
          <w:sz w:val="24"/>
          <w:szCs w:val="24"/>
        </w:rPr>
        <w:t xml:space="preserve">. Wypracowana przez Trybunał reguła empiryczna, zgodnie z którą w braku elementów graficznych lub słownych przeciętny konsument nie wnioskuje zwykle na temat pochodzenia towarów na podstawie ich kształtu czy kształtu ich opakowania (wyrok z dnia 22 czerwca 2006 r. w sprawie C-25/05_P, </w:t>
      </w:r>
      <w:proofErr w:type="spellStart"/>
      <w:r w:rsidR="002428B7">
        <w:rPr>
          <w:sz w:val="24"/>
          <w:szCs w:val="24"/>
        </w:rPr>
        <w:t>z</w:t>
      </w:r>
      <w:r w:rsidRPr="00D15CE8">
        <w:rPr>
          <w:sz w:val="24"/>
          <w:szCs w:val="24"/>
        </w:rPr>
        <w:t>b.</w:t>
      </w:r>
      <w:proofErr w:type="spellEnd"/>
      <w:r w:rsidR="002428B7">
        <w:rPr>
          <w:sz w:val="24"/>
          <w:szCs w:val="24"/>
        </w:rPr>
        <w:t xml:space="preserve"> o</w:t>
      </w:r>
      <w:r w:rsidRPr="00D15CE8">
        <w:rPr>
          <w:sz w:val="24"/>
          <w:szCs w:val="24"/>
        </w:rPr>
        <w:t xml:space="preserve">rz. s. I-5719, pkt 27), nie może zostać zastosowana w okolicznościach niniejszej sprawy. Pojedyncza litera jest bowiem oznaczeniem niezależnym od wyglądu towarów oznaczonych danym znakiem. Ponadto nie ma żadnych podstaw, by przyjąć, że konsument będzie postrzegał znak towarowy tworzony przez pojedynczą literę w inny sposób niż znak składający się z dwóch </w:t>
      </w:r>
      <w:r w:rsidR="00F561D7">
        <w:rPr>
          <w:sz w:val="24"/>
          <w:szCs w:val="24"/>
        </w:rPr>
        <w:t>-</w:t>
      </w:r>
      <w:r w:rsidRPr="00D15CE8">
        <w:rPr>
          <w:sz w:val="24"/>
          <w:szCs w:val="24"/>
        </w:rPr>
        <w:t xml:space="preserve"> lub więcej </w:t>
      </w:r>
      <w:r w:rsidR="00F561D7">
        <w:rPr>
          <w:sz w:val="24"/>
          <w:szCs w:val="24"/>
        </w:rPr>
        <w:t>-</w:t>
      </w:r>
      <w:r w:rsidRPr="00D15CE8">
        <w:rPr>
          <w:sz w:val="24"/>
          <w:szCs w:val="24"/>
        </w:rPr>
        <w:t xml:space="preserve"> liter.</w:t>
      </w:r>
    </w:p>
    <w:p w14:paraId="44FD8EFF" w14:textId="77777777" w:rsidR="002B528D" w:rsidRPr="00D15CE8" w:rsidRDefault="002B528D" w:rsidP="002B528D">
      <w:pPr>
        <w:spacing w:after="0"/>
        <w:jc w:val="both"/>
        <w:rPr>
          <w:sz w:val="24"/>
          <w:szCs w:val="24"/>
        </w:rPr>
      </w:pPr>
      <w:r w:rsidRPr="00D15CE8">
        <w:rPr>
          <w:b/>
          <w:bCs/>
          <w:sz w:val="24"/>
          <w:szCs w:val="24"/>
        </w:rPr>
        <w:t>27.</w:t>
      </w:r>
      <w:r w:rsidRPr="00D15CE8">
        <w:rPr>
          <w:sz w:val="24"/>
          <w:szCs w:val="24"/>
        </w:rPr>
        <w:t xml:space="preserve"> W pozostałym zakresie pogląd, zgodnie z którym można odstąpić od analizy obejmującej towary i usługi, dla których dokonano zgłoszenia w konkretnym przypadku, jest oczywiście sprzeczny z utrwalonym orzecznictwem Trybunału.</w:t>
      </w:r>
    </w:p>
    <w:p w14:paraId="4E639D8F" w14:textId="77777777" w:rsidR="002B528D" w:rsidRPr="00D15CE8" w:rsidRDefault="002B528D" w:rsidP="002B528D">
      <w:pPr>
        <w:spacing w:after="0"/>
        <w:jc w:val="both"/>
        <w:rPr>
          <w:sz w:val="24"/>
          <w:szCs w:val="24"/>
        </w:rPr>
      </w:pPr>
    </w:p>
    <w:p w14:paraId="5EA05761" w14:textId="77777777" w:rsidR="002B528D" w:rsidRPr="00D15CE8" w:rsidRDefault="002B528D" w:rsidP="002B528D">
      <w:pPr>
        <w:spacing w:after="0"/>
        <w:jc w:val="both"/>
        <w:rPr>
          <w:b/>
          <w:bCs/>
          <w:sz w:val="24"/>
          <w:szCs w:val="24"/>
        </w:rPr>
      </w:pPr>
      <w:r w:rsidRPr="00D15CE8">
        <w:rPr>
          <w:b/>
          <w:bCs/>
          <w:sz w:val="24"/>
          <w:szCs w:val="24"/>
        </w:rPr>
        <w:t>Ocena Trybunału</w:t>
      </w:r>
    </w:p>
    <w:p w14:paraId="48451BAC" w14:textId="77777777" w:rsidR="002B528D" w:rsidRPr="005A2B42" w:rsidRDefault="002B528D" w:rsidP="002B528D">
      <w:pPr>
        <w:spacing w:after="0"/>
        <w:jc w:val="both"/>
        <w:rPr>
          <w:b/>
          <w:bCs/>
          <w:sz w:val="10"/>
          <w:szCs w:val="10"/>
        </w:rPr>
      </w:pPr>
    </w:p>
    <w:p w14:paraId="1E4383DB" w14:textId="77777777" w:rsidR="002B528D" w:rsidRPr="00D15CE8" w:rsidRDefault="002B528D" w:rsidP="002B528D">
      <w:pPr>
        <w:spacing w:after="0"/>
        <w:jc w:val="both"/>
        <w:rPr>
          <w:sz w:val="24"/>
          <w:szCs w:val="24"/>
        </w:rPr>
      </w:pPr>
      <w:r w:rsidRPr="00D15CE8">
        <w:rPr>
          <w:sz w:val="24"/>
          <w:szCs w:val="24"/>
        </w:rPr>
        <w:t xml:space="preserve">28. Na wstępie należy przypomnieć, że zgodnie z </w:t>
      </w:r>
      <w:r w:rsidRPr="00D15CE8">
        <w:rPr>
          <w:b/>
          <w:bCs/>
          <w:sz w:val="24"/>
          <w:szCs w:val="24"/>
        </w:rPr>
        <w:t xml:space="preserve">art. 4 rozporządzenia nr 40/94 </w:t>
      </w:r>
      <w:r w:rsidRPr="00D15CE8">
        <w:rPr>
          <w:b/>
          <w:bCs/>
          <w:sz w:val="24"/>
          <w:szCs w:val="24"/>
          <w:u w:val="single"/>
        </w:rPr>
        <w:t>litery</w:t>
      </w:r>
      <w:r w:rsidRPr="00D15CE8">
        <w:rPr>
          <w:b/>
          <w:bCs/>
          <w:sz w:val="24"/>
          <w:szCs w:val="24"/>
        </w:rPr>
        <w:t xml:space="preserve"> należą do kategorii oznaczeń, z których może składać się</w:t>
      </w:r>
      <w:r w:rsidRPr="00D15CE8">
        <w:rPr>
          <w:sz w:val="24"/>
          <w:szCs w:val="24"/>
        </w:rPr>
        <w:t xml:space="preserve"> wspólnotowy </w:t>
      </w:r>
      <w:r w:rsidRPr="00D15CE8">
        <w:rPr>
          <w:b/>
          <w:bCs/>
          <w:sz w:val="24"/>
          <w:szCs w:val="24"/>
        </w:rPr>
        <w:t>znak towarowy</w:t>
      </w:r>
      <w:r w:rsidRPr="00D15CE8">
        <w:rPr>
          <w:sz w:val="24"/>
          <w:szCs w:val="24"/>
        </w:rPr>
        <w:t xml:space="preserve">, </w:t>
      </w:r>
      <w:r w:rsidRPr="00D15CE8">
        <w:rPr>
          <w:sz w:val="24"/>
          <w:szCs w:val="24"/>
          <w:u w:val="single"/>
        </w:rPr>
        <w:t>pod warunkiem że umożliwiają one odróżnianie towarów</w:t>
      </w:r>
      <w:r w:rsidRPr="00D15CE8">
        <w:rPr>
          <w:sz w:val="24"/>
          <w:szCs w:val="24"/>
        </w:rPr>
        <w:t xml:space="preserve"> lub usług jednego przedsiębiorstwa od towarów lub usług innych przedsiębiorstw.</w:t>
      </w:r>
    </w:p>
    <w:p w14:paraId="1F263164" w14:textId="77777777" w:rsidR="002B528D" w:rsidRPr="00D15CE8" w:rsidRDefault="002B528D" w:rsidP="002B528D">
      <w:pPr>
        <w:spacing w:after="0"/>
        <w:jc w:val="both"/>
        <w:rPr>
          <w:sz w:val="24"/>
          <w:szCs w:val="24"/>
        </w:rPr>
      </w:pPr>
      <w:r w:rsidRPr="00D15CE8">
        <w:rPr>
          <w:b/>
          <w:bCs/>
          <w:sz w:val="24"/>
          <w:szCs w:val="24"/>
        </w:rPr>
        <w:t>29.</w:t>
      </w:r>
      <w:r w:rsidRPr="00D15CE8">
        <w:rPr>
          <w:sz w:val="24"/>
          <w:szCs w:val="24"/>
        </w:rPr>
        <w:t xml:space="preserve"> </w:t>
      </w:r>
      <w:r w:rsidRPr="00D15CE8">
        <w:rPr>
          <w:b/>
          <w:bCs/>
          <w:sz w:val="24"/>
          <w:szCs w:val="24"/>
        </w:rPr>
        <w:t>Ogólna zdolność</w:t>
      </w:r>
      <w:r w:rsidRPr="00D15CE8">
        <w:rPr>
          <w:sz w:val="24"/>
          <w:szCs w:val="24"/>
        </w:rPr>
        <w:t xml:space="preserve"> danego </w:t>
      </w:r>
      <w:r w:rsidRPr="00D15CE8">
        <w:rPr>
          <w:b/>
          <w:bCs/>
          <w:sz w:val="24"/>
          <w:szCs w:val="24"/>
        </w:rPr>
        <w:t>oznaczenia</w:t>
      </w:r>
      <w:r w:rsidRPr="00D15CE8">
        <w:rPr>
          <w:sz w:val="24"/>
          <w:szCs w:val="24"/>
        </w:rPr>
        <w:t xml:space="preserve"> do tego, aby </w:t>
      </w:r>
      <w:r w:rsidRPr="00D15CE8">
        <w:rPr>
          <w:sz w:val="24"/>
          <w:szCs w:val="24"/>
          <w:u w:val="single"/>
        </w:rPr>
        <w:t>mogło stać się znakiem towarowym, nie przesądza jednak, że oznaczenie to będzie miało charakter odróżniający</w:t>
      </w:r>
      <w:r w:rsidRPr="00D15CE8">
        <w:rPr>
          <w:sz w:val="24"/>
          <w:szCs w:val="24"/>
        </w:rPr>
        <w:t xml:space="preserve"> w rozumieniu art. 7 ust. 1 lit. b) wspomnianego rozporządzenia w stosunku do określonego towaru lub określonej usługi (wyrok z dnia 29 kwietnia 2004 r. w sprawach połączonych C-456/01_P i C-457/01_P Henkel przeciwko OHIM, Rec. s. I-5089, pkt 32). </w:t>
      </w:r>
    </w:p>
    <w:p w14:paraId="17419216" w14:textId="77777777" w:rsidR="002B528D" w:rsidRPr="00D15CE8" w:rsidRDefault="002B528D" w:rsidP="002B528D">
      <w:pPr>
        <w:spacing w:after="0"/>
        <w:jc w:val="both"/>
        <w:rPr>
          <w:b/>
          <w:bCs/>
          <w:sz w:val="24"/>
          <w:szCs w:val="24"/>
        </w:rPr>
      </w:pPr>
      <w:r w:rsidRPr="00D15CE8">
        <w:rPr>
          <w:b/>
          <w:bCs/>
          <w:sz w:val="24"/>
          <w:szCs w:val="24"/>
        </w:rPr>
        <w:t>30.</w:t>
      </w:r>
      <w:r w:rsidRPr="00D15CE8">
        <w:rPr>
          <w:sz w:val="24"/>
          <w:szCs w:val="24"/>
        </w:rPr>
        <w:t xml:space="preserve"> W istocie zgodnie z brzmieniem przywołanego przepisu </w:t>
      </w:r>
      <w:r w:rsidRPr="00D15CE8">
        <w:rPr>
          <w:b/>
          <w:bCs/>
          <w:sz w:val="24"/>
          <w:szCs w:val="24"/>
        </w:rPr>
        <w:t xml:space="preserve">nie rejestruje się znaków pozbawionych charakteru odróżniającego. </w:t>
      </w:r>
    </w:p>
    <w:p w14:paraId="498E17C7" w14:textId="66DF5384" w:rsidR="002B528D" w:rsidRPr="00D15CE8" w:rsidRDefault="002B528D" w:rsidP="002B528D">
      <w:pPr>
        <w:spacing w:after="0"/>
        <w:jc w:val="both"/>
        <w:rPr>
          <w:sz w:val="24"/>
          <w:szCs w:val="24"/>
        </w:rPr>
      </w:pPr>
      <w:r w:rsidRPr="00D15CE8">
        <w:rPr>
          <w:b/>
          <w:bCs/>
          <w:sz w:val="24"/>
          <w:szCs w:val="24"/>
        </w:rPr>
        <w:t>31.</w:t>
      </w:r>
      <w:r w:rsidRPr="00D15CE8">
        <w:rPr>
          <w:sz w:val="24"/>
          <w:szCs w:val="24"/>
        </w:rPr>
        <w:t xml:space="preserve"> Według utrwalonego orzecznictwa </w:t>
      </w:r>
      <w:r w:rsidRPr="00D15CE8">
        <w:rPr>
          <w:b/>
          <w:bCs/>
          <w:sz w:val="24"/>
          <w:szCs w:val="24"/>
        </w:rPr>
        <w:t>charakter odróżniający znaku towarowego</w:t>
      </w:r>
      <w:r w:rsidRPr="00D15CE8">
        <w:rPr>
          <w:sz w:val="24"/>
          <w:szCs w:val="24"/>
        </w:rPr>
        <w:t xml:space="preserve"> w rozumieniu wspomnianego przepisu </w:t>
      </w:r>
      <w:r w:rsidRPr="00D15CE8">
        <w:rPr>
          <w:b/>
          <w:bCs/>
          <w:sz w:val="24"/>
          <w:szCs w:val="24"/>
        </w:rPr>
        <w:t>oznacza, że znak ten pozwala ustalić, iż towar,</w:t>
      </w:r>
      <w:r w:rsidRPr="00D15CE8">
        <w:rPr>
          <w:sz w:val="24"/>
          <w:szCs w:val="24"/>
        </w:rPr>
        <w:t xml:space="preserve"> dla którego dokonano zgłoszenia, </w:t>
      </w:r>
      <w:r w:rsidRPr="00D15CE8">
        <w:rPr>
          <w:b/>
          <w:bCs/>
          <w:sz w:val="24"/>
          <w:szCs w:val="24"/>
        </w:rPr>
        <w:t>pochodzi z określonego przedsiębiorstwa</w:t>
      </w:r>
      <w:r w:rsidRPr="00D15CE8">
        <w:rPr>
          <w:sz w:val="24"/>
          <w:szCs w:val="24"/>
        </w:rPr>
        <w:t xml:space="preserve">, i tym samym odróżnić go od towarów pochodzących z innych przedsiębiorstw (ww. wyrok w sprawach połączonych Henkel przeciwko OHIM, pkt 34; wyroki: z dnia 8 maja 2008 r. w sprawie C304/06_P </w:t>
      </w:r>
      <w:proofErr w:type="spellStart"/>
      <w:r w:rsidRPr="00D15CE8">
        <w:rPr>
          <w:sz w:val="24"/>
          <w:szCs w:val="24"/>
        </w:rPr>
        <w:t>Eurohypo</w:t>
      </w:r>
      <w:proofErr w:type="spellEnd"/>
      <w:r w:rsidRPr="00D15CE8">
        <w:rPr>
          <w:sz w:val="24"/>
          <w:szCs w:val="24"/>
        </w:rPr>
        <w:t xml:space="preserve"> przeciwko OHIM, </w:t>
      </w:r>
      <w:proofErr w:type="spellStart"/>
      <w:r w:rsidR="002428B7">
        <w:rPr>
          <w:sz w:val="24"/>
          <w:szCs w:val="24"/>
        </w:rPr>
        <w:t>z</w:t>
      </w:r>
      <w:r w:rsidRPr="00D15CE8">
        <w:rPr>
          <w:sz w:val="24"/>
          <w:szCs w:val="24"/>
        </w:rPr>
        <w:t>b.</w:t>
      </w:r>
      <w:proofErr w:type="spellEnd"/>
      <w:r w:rsidR="002428B7">
        <w:rPr>
          <w:sz w:val="24"/>
          <w:szCs w:val="24"/>
        </w:rPr>
        <w:t xml:space="preserve"> o</w:t>
      </w:r>
      <w:r w:rsidRPr="00D15CE8">
        <w:rPr>
          <w:sz w:val="24"/>
          <w:szCs w:val="24"/>
        </w:rPr>
        <w:t>rz. s. I-3297, pkt 66; z dnia 21 stycznia 2010 r. w sprawie C-398/08_P Audi przeciwko OHIM, dotychczas nieopublikowany w Zbiorze, pkt 33).</w:t>
      </w:r>
    </w:p>
    <w:p w14:paraId="6B331990" w14:textId="1142437D" w:rsidR="002B528D" w:rsidRPr="00D15CE8" w:rsidRDefault="002B528D" w:rsidP="002B528D">
      <w:pPr>
        <w:spacing w:after="0"/>
        <w:jc w:val="both"/>
        <w:rPr>
          <w:sz w:val="24"/>
          <w:szCs w:val="24"/>
        </w:rPr>
      </w:pPr>
      <w:r w:rsidRPr="00D15CE8">
        <w:rPr>
          <w:b/>
          <w:bCs/>
          <w:sz w:val="24"/>
          <w:szCs w:val="24"/>
        </w:rPr>
        <w:t>32.</w:t>
      </w:r>
      <w:r w:rsidRPr="00D15CE8">
        <w:rPr>
          <w:sz w:val="24"/>
          <w:szCs w:val="24"/>
        </w:rPr>
        <w:t xml:space="preserve"> Z utrwalonego orzecznictwa wynika również, że ów </w:t>
      </w:r>
      <w:r w:rsidRPr="00D15CE8">
        <w:rPr>
          <w:sz w:val="24"/>
          <w:szCs w:val="24"/>
          <w:u w:val="single"/>
        </w:rPr>
        <w:t>charakter odróżniający należy oceniać, po pierwsze, w stosunku do towarów</w:t>
      </w:r>
      <w:r w:rsidRPr="00D15CE8">
        <w:rPr>
          <w:sz w:val="24"/>
          <w:szCs w:val="24"/>
        </w:rPr>
        <w:t xml:space="preserve"> lub usług, dla których znak towarowy został zgłoszony, i </w:t>
      </w:r>
      <w:r w:rsidRPr="00D15CE8">
        <w:rPr>
          <w:sz w:val="24"/>
          <w:szCs w:val="24"/>
          <w:u w:val="single"/>
        </w:rPr>
        <w:t>po drugie, w stosunku do sposobu postrzegania go</w:t>
      </w:r>
      <w:r w:rsidRPr="00D15CE8">
        <w:rPr>
          <w:sz w:val="24"/>
          <w:szCs w:val="24"/>
        </w:rPr>
        <w:t xml:space="preserve"> przez właściwy krąg odbiorców (ww. wyroki: w sprawie </w:t>
      </w:r>
      <w:proofErr w:type="spellStart"/>
      <w:r w:rsidRPr="00D15CE8">
        <w:rPr>
          <w:sz w:val="24"/>
          <w:szCs w:val="24"/>
        </w:rPr>
        <w:t>Storck</w:t>
      </w:r>
      <w:proofErr w:type="spellEnd"/>
      <w:r w:rsidRPr="00D15CE8">
        <w:rPr>
          <w:sz w:val="24"/>
          <w:szCs w:val="24"/>
        </w:rPr>
        <w:t xml:space="preserve"> przeciwko OHIM, pkt 25; w sprawach połączonych Henkel przeciwko OHIM, pkt 35; w sprawie </w:t>
      </w:r>
      <w:proofErr w:type="spellStart"/>
      <w:r w:rsidRPr="00D15CE8">
        <w:rPr>
          <w:sz w:val="24"/>
          <w:szCs w:val="24"/>
        </w:rPr>
        <w:t>Eurohypo</w:t>
      </w:r>
      <w:proofErr w:type="spellEnd"/>
      <w:r w:rsidRPr="00D15CE8">
        <w:rPr>
          <w:sz w:val="24"/>
          <w:szCs w:val="24"/>
        </w:rPr>
        <w:t xml:space="preserve"> przeciwko OHIM, pkt 67). Ponadto Trybunał orzekł, co zostało przyznane przez OHIM w jego odwołaniu, że ta metoda oceny znajduje zastosowanie także do analizy charakteru odróżniającego oznaczeń tworzonych wyłącznie przez sam kolor, trójwymiarowych znaków towarowych i sloganów (zob. podobnie, odpowiednio, wyrok z dnia 21 października 2004 r. w sprawie C-447/02_P KWS </w:t>
      </w:r>
      <w:proofErr w:type="spellStart"/>
      <w:r w:rsidRPr="00D15CE8">
        <w:rPr>
          <w:sz w:val="24"/>
          <w:szCs w:val="24"/>
        </w:rPr>
        <w:t>Saat</w:t>
      </w:r>
      <w:proofErr w:type="spellEnd"/>
      <w:r w:rsidRPr="00D15CE8">
        <w:rPr>
          <w:sz w:val="24"/>
          <w:szCs w:val="24"/>
        </w:rPr>
        <w:t xml:space="preserve"> przeciwko OHIM, </w:t>
      </w:r>
      <w:proofErr w:type="spellStart"/>
      <w:r w:rsidR="002428B7">
        <w:rPr>
          <w:sz w:val="24"/>
          <w:szCs w:val="24"/>
        </w:rPr>
        <w:t>z</w:t>
      </w:r>
      <w:r w:rsidRPr="00D15CE8">
        <w:rPr>
          <w:sz w:val="24"/>
          <w:szCs w:val="24"/>
        </w:rPr>
        <w:t>b.</w:t>
      </w:r>
      <w:proofErr w:type="spellEnd"/>
      <w:r w:rsidR="002428B7">
        <w:rPr>
          <w:sz w:val="24"/>
          <w:szCs w:val="24"/>
        </w:rPr>
        <w:t xml:space="preserve"> o</w:t>
      </w:r>
      <w:r w:rsidRPr="00D15CE8">
        <w:rPr>
          <w:sz w:val="24"/>
          <w:szCs w:val="24"/>
        </w:rPr>
        <w:t xml:space="preserve">rz. s. I-10107, </w:t>
      </w:r>
      <w:r w:rsidRPr="00D15CE8">
        <w:rPr>
          <w:sz w:val="24"/>
          <w:szCs w:val="24"/>
        </w:rPr>
        <w:lastRenderedPageBreak/>
        <w:t xml:space="preserve">pkt 78; ww. wyrok w sprawie </w:t>
      </w:r>
      <w:proofErr w:type="spellStart"/>
      <w:r w:rsidRPr="00D15CE8">
        <w:rPr>
          <w:sz w:val="24"/>
          <w:szCs w:val="24"/>
        </w:rPr>
        <w:t>Storck</w:t>
      </w:r>
      <w:proofErr w:type="spellEnd"/>
      <w:r w:rsidRPr="00D15CE8">
        <w:rPr>
          <w:sz w:val="24"/>
          <w:szCs w:val="24"/>
        </w:rPr>
        <w:t xml:space="preserve"> przeciwko OHIM, pkt 26; a także ww. wyrok w sprawie Audi przeciwko OHIM, pkt 35, 36).</w:t>
      </w:r>
    </w:p>
    <w:p w14:paraId="22689536" w14:textId="68CD2D8A" w:rsidR="002B528D" w:rsidRPr="00D15CE8" w:rsidRDefault="002B528D" w:rsidP="002B528D">
      <w:pPr>
        <w:spacing w:after="0"/>
        <w:jc w:val="both"/>
        <w:rPr>
          <w:sz w:val="24"/>
          <w:szCs w:val="24"/>
        </w:rPr>
      </w:pPr>
      <w:r w:rsidRPr="00D15CE8">
        <w:rPr>
          <w:b/>
          <w:bCs/>
          <w:sz w:val="24"/>
          <w:szCs w:val="24"/>
        </w:rPr>
        <w:t>33.</w:t>
      </w:r>
      <w:r w:rsidRPr="00D15CE8">
        <w:rPr>
          <w:sz w:val="24"/>
          <w:szCs w:val="24"/>
        </w:rPr>
        <w:t xml:space="preserve"> Pomimo tego, że kryteria oceny charakteru odróżniającego są takie same dla różnych kategorii znaków towarowych, to w ramach stosowania tych kryteriów może się okazać, że sposób postrzegania tych znaków przez właściwy krąg odbiorców nie musi być taki sam dla każdej z tych kategorii, a zatem </w:t>
      </w:r>
      <w:r w:rsidRPr="00D15CE8">
        <w:rPr>
          <w:sz w:val="24"/>
          <w:szCs w:val="24"/>
          <w:u w:val="single"/>
        </w:rPr>
        <w:t>ustalenie charakteru odróżniającego w przypadku niektórych kategorii znaków towarowych może okazać się trudniejsze</w:t>
      </w:r>
      <w:r w:rsidRPr="00D15CE8">
        <w:rPr>
          <w:sz w:val="24"/>
          <w:szCs w:val="24"/>
        </w:rPr>
        <w:t xml:space="preserve"> niż w przypadku innych kategorii (zob. wyroki: z dnia 29 kwietnia 2004 r. w sprawach połączonych C473/01_P i C-474/01_P Procter and Gamble przeciwko OHIM, Rec. s. I-5173, pkt 36; z dnia 21 października 2004 r. w sprawie C-64/02_P OHIM przeciwko </w:t>
      </w:r>
      <w:proofErr w:type="spellStart"/>
      <w:r w:rsidRPr="00D15CE8">
        <w:rPr>
          <w:sz w:val="24"/>
          <w:szCs w:val="24"/>
        </w:rPr>
        <w:t>Erpo</w:t>
      </w:r>
      <w:proofErr w:type="spellEnd"/>
      <w:r w:rsidRPr="00D15CE8">
        <w:rPr>
          <w:sz w:val="24"/>
          <w:szCs w:val="24"/>
        </w:rPr>
        <w:t xml:space="preserve"> </w:t>
      </w:r>
      <w:proofErr w:type="spellStart"/>
      <w:r w:rsidRPr="00D15CE8">
        <w:rPr>
          <w:sz w:val="24"/>
          <w:szCs w:val="24"/>
        </w:rPr>
        <w:t>Möbelwerk</w:t>
      </w:r>
      <w:proofErr w:type="spellEnd"/>
      <w:r w:rsidRPr="00D15CE8">
        <w:rPr>
          <w:sz w:val="24"/>
          <w:szCs w:val="24"/>
        </w:rPr>
        <w:t xml:space="preserve">, </w:t>
      </w:r>
      <w:proofErr w:type="spellStart"/>
      <w:r w:rsidR="002428B7">
        <w:rPr>
          <w:sz w:val="24"/>
          <w:szCs w:val="24"/>
        </w:rPr>
        <w:t>z</w:t>
      </w:r>
      <w:r w:rsidRPr="00D15CE8">
        <w:rPr>
          <w:sz w:val="24"/>
          <w:szCs w:val="24"/>
        </w:rPr>
        <w:t>b.</w:t>
      </w:r>
      <w:proofErr w:type="spellEnd"/>
      <w:r w:rsidR="002428B7">
        <w:rPr>
          <w:sz w:val="24"/>
          <w:szCs w:val="24"/>
        </w:rPr>
        <w:t xml:space="preserve"> o</w:t>
      </w:r>
      <w:r w:rsidRPr="00D15CE8">
        <w:rPr>
          <w:sz w:val="24"/>
          <w:szCs w:val="24"/>
        </w:rPr>
        <w:t>rz. s. I10031, pkt 34; ww. wyrok w sprawach połączonych Henkel przeciwko OHIM, pkt 36, 38; a także ww. wyrok w sprawie Audi przeciwko OHIM, pkt 37).</w:t>
      </w:r>
    </w:p>
    <w:p w14:paraId="213101AD" w14:textId="77777777" w:rsidR="002B528D" w:rsidRPr="00D15CE8" w:rsidRDefault="002B528D" w:rsidP="002B528D">
      <w:pPr>
        <w:spacing w:after="0"/>
        <w:jc w:val="both"/>
        <w:rPr>
          <w:sz w:val="24"/>
          <w:szCs w:val="24"/>
        </w:rPr>
      </w:pPr>
      <w:r w:rsidRPr="00D15CE8">
        <w:rPr>
          <w:b/>
          <w:bCs/>
          <w:sz w:val="24"/>
          <w:szCs w:val="24"/>
        </w:rPr>
        <w:t>34.</w:t>
      </w:r>
      <w:r w:rsidRPr="00D15CE8">
        <w:rPr>
          <w:sz w:val="24"/>
          <w:szCs w:val="24"/>
        </w:rPr>
        <w:t xml:space="preserve"> W tym zakresie Trybunał sprecyzował już w przeszłości, że zasługujące na uwzględnienie trudności, które mogą się wiązać z ustaleniem charakteru odróżniającego niektórych kategorii znaków, wynikające z samej ich natury, nie uzasadniają określenia szczególnych kryteriów uzupełniających lub zastępujących kryterium charakteru odróżniającego w rozumieniu nadanym mu w orzecznictwie (zob. ww. wyroki: w sprawie OHIM przeciwko </w:t>
      </w:r>
      <w:proofErr w:type="spellStart"/>
      <w:r w:rsidRPr="00D15CE8">
        <w:rPr>
          <w:sz w:val="24"/>
          <w:szCs w:val="24"/>
        </w:rPr>
        <w:t>Erpo</w:t>
      </w:r>
      <w:proofErr w:type="spellEnd"/>
      <w:r w:rsidRPr="00D15CE8">
        <w:rPr>
          <w:sz w:val="24"/>
          <w:szCs w:val="24"/>
        </w:rPr>
        <w:t xml:space="preserve"> </w:t>
      </w:r>
      <w:proofErr w:type="spellStart"/>
      <w:r w:rsidRPr="00D15CE8">
        <w:rPr>
          <w:sz w:val="24"/>
          <w:szCs w:val="24"/>
        </w:rPr>
        <w:t>Möbelwerk</w:t>
      </w:r>
      <w:proofErr w:type="spellEnd"/>
      <w:r w:rsidRPr="00D15CE8">
        <w:rPr>
          <w:sz w:val="24"/>
          <w:szCs w:val="24"/>
        </w:rPr>
        <w:t xml:space="preserve">, pkt 36; w sprawie Audi przeciwko OHIM, pkt 38). </w:t>
      </w:r>
    </w:p>
    <w:p w14:paraId="701A0124" w14:textId="77777777" w:rsidR="002B528D" w:rsidRPr="00D15CE8" w:rsidRDefault="002B528D" w:rsidP="002B528D">
      <w:pPr>
        <w:spacing w:after="0"/>
        <w:jc w:val="both"/>
        <w:rPr>
          <w:sz w:val="24"/>
          <w:szCs w:val="24"/>
        </w:rPr>
      </w:pPr>
      <w:r w:rsidRPr="00D15CE8">
        <w:rPr>
          <w:b/>
          <w:bCs/>
          <w:sz w:val="24"/>
          <w:szCs w:val="24"/>
        </w:rPr>
        <w:t>35.</w:t>
      </w:r>
      <w:r w:rsidRPr="00D15CE8">
        <w:rPr>
          <w:sz w:val="24"/>
          <w:szCs w:val="24"/>
        </w:rPr>
        <w:t xml:space="preserve"> Z orzecznictwa Trybunału dotyczącego art. 3 pierwszej dyrektywy Rady 89/104/EWG z dnia 21 grudnia 1988 r. mającej na celu zbliżenie ustawodawstw państw członkowskich odnoszących się do znaków towarowych (Dz.U. 1989, L 40, s. 1), którego treść normatywna jest identyczna z art. 7 rozporządzenia nr 40/94, wynika, że charakter odróżniający znaku towarowego winien być oceniany zawsze in concreto w odniesieniu do towarów lub usług objętych zgłoszeniem (zob. ww. wyrok w sprawie </w:t>
      </w:r>
      <w:proofErr w:type="spellStart"/>
      <w:r w:rsidRPr="00D15CE8">
        <w:rPr>
          <w:sz w:val="24"/>
          <w:szCs w:val="24"/>
        </w:rPr>
        <w:t>Libertel</w:t>
      </w:r>
      <w:proofErr w:type="spellEnd"/>
      <w:r w:rsidRPr="00D15CE8">
        <w:rPr>
          <w:sz w:val="24"/>
          <w:szCs w:val="24"/>
        </w:rPr>
        <w:t xml:space="preserve">, pkt 76; a także wyrok z dnia 12 lutego 2004 r. w sprawie C-363/99 </w:t>
      </w:r>
      <w:proofErr w:type="spellStart"/>
      <w:r w:rsidRPr="00D15CE8">
        <w:rPr>
          <w:sz w:val="24"/>
          <w:szCs w:val="24"/>
        </w:rPr>
        <w:t>Koninklijke</w:t>
      </w:r>
      <w:proofErr w:type="spellEnd"/>
      <w:r w:rsidRPr="00D15CE8">
        <w:rPr>
          <w:sz w:val="24"/>
          <w:szCs w:val="24"/>
        </w:rPr>
        <w:t xml:space="preserve"> KPN </w:t>
      </w:r>
      <w:proofErr w:type="spellStart"/>
      <w:r w:rsidRPr="00D15CE8">
        <w:rPr>
          <w:sz w:val="24"/>
          <w:szCs w:val="24"/>
        </w:rPr>
        <w:t>Nederland</w:t>
      </w:r>
      <w:proofErr w:type="spellEnd"/>
      <w:r w:rsidRPr="00D15CE8">
        <w:rPr>
          <w:sz w:val="24"/>
          <w:szCs w:val="24"/>
        </w:rPr>
        <w:t xml:space="preserve">, Rec. s. I-1619, pkt 31, 33). </w:t>
      </w:r>
    </w:p>
    <w:p w14:paraId="30AAC43B" w14:textId="77777777" w:rsidR="002B528D" w:rsidRPr="00D15CE8" w:rsidRDefault="002B528D" w:rsidP="002B528D">
      <w:pPr>
        <w:spacing w:after="0"/>
        <w:jc w:val="both"/>
        <w:rPr>
          <w:sz w:val="24"/>
          <w:szCs w:val="24"/>
        </w:rPr>
      </w:pPr>
      <w:r w:rsidRPr="00D15CE8">
        <w:rPr>
          <w:b/>
          <w:bCs/>
          <w:sz w:val="24"/>
          <w:szCs w:val="24"/>
        </w:rPr>
        <w:t>36.</w:t>
      </w:r>
      <w:r w:rsidRPr="00D15CE8">
        <w:rPr>
          <w:sz w:val="24"/>
          <w:szCs w:val="24"/>
        </w:rPr>
        <w:t xml:space="preserve"> Jak zauważył rzecznik generalny w pkt 47 swej opinii, wymóg dokonania konkretnej oceny zdolności danego oznaczenia do odróżniania towarów lub usług objętych zgłoszeniem od towarów lub usług innych przedsiębiorstw pozwala pogodzić podstawę odmowy rejestracji przewidzianej w art. 7 ust. 1 lit. b) rozporządzenia nr 40/94 z ustanowieniem w art. 4 wspomnianego rozporządzenia ogólnej zdolności danego oznaczenia do tego, aby mogło zostać zarejestrowane jako znak towarowy.</w:t>
      </w:r>
    </w:p>
    <w:p w14:paraId="2236D28B" w14:textId="77777777" w:rsidR="002B528D" w:rsidRPr="00D15CE8" w:rsidRDefault="002B528D" w:rsidP="002B528D">
      <w:pPr>
        <w:spacing w:after="0"/>
        <w:jc w:val="both"/>
        <w:rPr>
          <w:sz w:val="24"/>
          <w:szCs w:val="24"/>
        </w:rPr>
      </w:pPr>
      <w:r w:rsidRPr="00D15CE8">
        <w:rPr>
          <w:b/>
          <w:bCs/>
          <w:sz w:val="24"/>
          <w:szCs w:val="24"/>
        </w:rPr>
        <w:t>37.</w:t>
      </w:r>
      <w:r w:rsidRPr="00D15CE8">
        <w:rPr>
          <w:sz w:val="24"/>
          <w:szCs w:val="24"/>
        </w:rPr>
        <w:t xml:space="preserve"> W tym względzie należy zaznaczyć, że </w:t>
      </w:r>
      <w:r w:rsidRPr="00D15CE8">
        <w:rPr>
          <w:b/>
          <w:bCs/>
          <w:sz w:val="24"/>
          <w:szCs w:val="24"/>
        </w:rPr>
        <w:t>o ile</w:t>
      </w:r>
      <w:r w:rsidRPr="00D15CE8">
        <w:rPr>
          <w:sz w:val="24"/>
          <w:szCs w:val="24"/>
        </w:rPr>
        <w:t xml:space="preserve"> z przytoczonego orzecznictwa wynika, że Trybunał uznał istnienie niektórych kategorii oznaczeń, u których </w:t>
      </w:r>
      <w:r w:rsidRPr="00D15CE8">
        <w:rPr>
          <w:b/>
          <w:bCs/>
          <w:sz w:val="24"/>
          <w:szCs w:val="24"/>
        </w:rPr>
        <w:t xml:space="preserve">ustalenie charakteru odróżniającego </w:t>
      </w:r>
      <w:r w:rsidRPr="00D15CE8">
        <w:rPr>
          <w:b/>
          <w:bCs/>
          <w:i/>
          <w:iCs/>
          <w:sz w:val="24"/>
          <w:szCs w:val="24"/>
        </w:rPr>
        <w:t>ab initio</w:t>
      </w:r>
      <w:r w:rsidRPr="00D15CE8">
        <w:rPr>
          <w:b/>
          <w:bCs/>
          <w:sz w:val="24"/>
          <w:szCs w:val="24"/>
        </w:rPr>
        <w:t xml:space="preserve"> wiąże się z większymi trudnościami, o tyle nie zwolnił</w:t>
      </w:r>
      <w:r w:rsidRPr="00D15CE8">
        <w:rPr>
          <w:sz w:val="24"/>
          <w:szCs w:val="24"/>
        </w:rPr>
        <w:t xml:space="preserve"> on urzędów właściwych w sprawie znaków towarowych </w:t>
      </w:r>
      <w:r w:rsidRPr="00D15CE8">
        <w:rPr>
          <w:b/>
          <w:bCs/>
          <w:sz w:val="24"/>
          <w:szCs w:val="24"/>
        </w:rPr>
        <w:t xml:space="preserve">z obowiązku przeprowadzenia badania </w:t>
      </w:r>
      <w:r w:rsidRPr="00D15CE8">
        <w:rPr>
          <w:b/>
          <w:bCs/>
          <w:i/>
          <w:iCs/>
          <w:sz w:val="24"/>
          <w:szCs w:val="24"/>
        </w:rPr>
        <w:t>in concreto</w:t>
      </w:r>
      <w:r w:rsidRPr="00D15CE8">
        <w:rPr>
          <w:sz w:val="24"/>
          <w:szCs w:val="24"/>
        </w:rPr>
        <w:t xml:space="preserve"> charakteru odróżniającego takich oznaczeń. </w:t>
      </w:r>
    </w:p>
    <w:p w14:paraId="2C37E06F" w14:textId="77777777" w:rsidR="002B528D" w:rsidRPr="00D15CE8" w:rsidRDefault="002B528D" w:rsidP="002B528D">
      <w:pPr>
        <w:spacing w:after="0"/>
        <w:jc w:val="both"/>
        <w:rPr>
          <w:sz w:val="24"/>
          <w:szCs w:val="24"/>
        </w:rPr>
      </w:pPr>
      <w:r w:rsidRPr="00D15CE8">
        <w:rPr>
          <w:b/>
          <w:bCs/>
          <w:sz w:val="24"/>
          <w:szCs w:val="24"/>
        </w:rPr>
        <w:t>38</w:t>
      </w:r>
      <w:r w:rsidRPr="00D15CE8">
        <w:rPr>
          <w:sz w:val="24"/>
          <w:szCs w:val="24"/>
        </w:rPr>
        <w:t xml:space="preserve">. Co się tyczy okoliczności, że rozpatrywane </w:t>
      </w:r>
      <w:r w:rsidRPr="00D15CE8">
        <w:rPr>
          <w:b/>
          <w:bCs/>
          <w:sz w:val="24"/>
          <w:szCs w:val="24"/>
        </w:rPr>
        <w:t>oznaczenie tworzone jest przez pojedynczą literę</w:t>
      </w:r>
      <w:r w:rsidRPr="00D15CE8">
        <w:rPr>
          <w:sz w:val="24"/>
          <w:szCs w:val="24"/>
        </w:rPr>
        <w:t xml:space="preserve">, do której nie wprowadzono żadnych zmian graficznych, należy przypomnieć, że </w:t>
      </w:r>
      <w:r w:rsidRPr="00D15CE8">
        <w:rPr>
          <w:b/>
          <w:bCs/>
          <w:sz w:val="24"/>
          <w:szCs w:val="24"/>
        </w:rPr>
        <w:t>rejestracja oznaczenia jako znaku towarowego nie jest zależna od stwierdzenia określonego poziomu kreatywności</w:t>
      </w:r>
      <w:r w:rsidRPr="00D15CE8">
        <w:rPr>
          <w:sz w:val="24"/>
          <w:szCs w:val="24"/>
        </w:rPr>
        <w:t xml:space="preserve"> lub wyobraźni językowej czy artystycznej u właściciela znaku (wyrok z dnia 16 września 2004 r. w sprawie C-329/02_P SAT.1 przeciwko OHIM, </w:t>
      </w:r>
      <w:proofErr w:type="spellStart"/>
      <w:proofErr w:type="gramStart"/>
      <w:r w:rsidRPr="00D15CE8">
        <w:rPr>
          <w:sz w:val="24"/>
          <w:szCs w:val="24"/>
        </w:rPr>
        <w:t>Zb.Orz</w:t>
      </w:r>
      <w:proofErr w:type="spellEnd"/>
      <w:proofErr w:type="gramEnd"/>
      <w:r w:rsidRPr="00D15CE8">
        <w:rPr>
          <w:sz w:val="24"/>
          <w:szCs w:val="24"/>
        </w:rPr>
        <w:t>. s. I-8317, pkt 41).</w:t>
      </w:r>
    </w:p>
    <w:p w14:paraId="76A9D62A" w14:textId="77777777" w:rsidR="002B528D" w:rsidRPr="00D15CE8" w:rsidRDefault="002B528D" w:rsidP="002B528D">
      <w:pPr>
        <w:spacing w:after="0"/>
        <w:jc w:val="both"/>
        <w:rPr>
          <w:sz w:val="24"/>
          <w:szCs w:val="24"/>
        </w:rPr>
      </w:pPr>
      <w:r w:rsidRPr="00D15CE8">
        <w:rPr>
          <w:b/>
          <w:bCs/>
          <w:sz w:val="24"/>
          <w:szCs w:val="24"/>
        </w:rPr>
        <w:t>39.</w:t>
      </w:r>
      <w:r w:rsidRPr="00D15CE8">
        <w:rPr>
          <w:sz w:val="24"/>
          <w:szCs w:val="24"/>
        </w:rPr>
        <w:t xml:space="preserve"> Z powyższego wynika, że właśnie z uwagi na to, iż </w:t>
      </w:r>
      <w:r w:rsidRPr="00D15CE8">
        <w:rPr>
          <w:sz w:val="24"/>
          <w:szCs w:val="24"/>
          <w:u w:val="single"/>
        </w:rPr>
        <w:t xml:space="preserve">w przypadku znaku towarowego tworzonego przez pojedynczą literę ustalenie charakteru odróżniającego może okazać się </w:t>
      </w:r>
      <w:r w:rsidRPr="00D15CE8">
        <w:rPr>
          <w:sz w:val="24"/>
          <w:szCs w:val="24"/>
          <w:u w:val="single"/>
        </w:rPr>
        <w:lastRenderedPageBreak/>
        <w:t>trudniejsze</w:t>
      </w:r>
      <w:r w:rsidRPr="00D15CE8">
        <w:rPr>
          <w:sz w:val="24"/>
          <w:szCs w:val="24"/>
        </w:rPr>
        <w:t xml:space="preserve"> niż w przypadku innych słownych znaków towarowych, OHIM jest zobowiązany dokonać oceny zdolności danego oznaczenia do odróżniania poszczególnych towarów lub usług w ramach konkretnej analizy odnoszącej się do tych towarów lub usług. </w:t>
      </w:r>
    </w:p>
    <w:p w14:paraId="6C8A1346" w14:textId="77777777" w:rsidR="002B528D" w:rsidRPr="00D15CE8" w:rsidRDefault="002B528D" w:rsidP="002B528D">
      <w:pPr>
        <w:spacing w:after="0"/>
        <w:jc w:val="both"/>
        <w:rPr>
          <w:sz w:val="24"/>
          <w:szCs w:val="24"/>
        </w:rPr>
      </w:pPr>
      <w:r w:rsidRPr="00D15CE8">
        <w:rPr>
          <w:b/>
          <w:bCs/>
          <w:sz w:val="24"/>
          <w:szCs w:val="24"/>
        </w:rPr>
        <w:t>40</w:t>
      </w:r>
      <w:r w:rsidRPr="00D15CE8">
        <w:rPr>
          <w:sz w:val="24"/>
          <w:szCs w:val="24"/>
        </w:rPr>
        <w:t xml:space="preserve">. W rezultacie Sąd, przeprowadzając kontrolę, czy Czwarta Izba Odwoławcza OHIM dokonała konkretnej analizy zdolności rozpatrywanego oznaczenia do odróżniania towarów objętych zgłoszeniem od towarów innych przedsiębiorstw, prawidłowo zastosował art. 7 ust. 1 lit. b) rozporządzenia nr 40/94. </w:t>
      </w:r>
    </w:p>
    <w:p w14:paraId="081254C0" w14:textId="77777777" w:rsidR="002B528D" w:rsidRPr="00D15CE8" w:rsidRDefault="002B528D" w:rsidP="002B528D">
      <w:pPr>
        <w:spacing w:after="0"/>
        <w:jc w:val="both"/>
        <w:rPr>
          <w:sz w:val="24"/>
          <w:szCs w:val="24"/>
        </w:rPr>
      </w:pPr>
      <w:r w:rsidRPr="00D15CE8">
        <w:rPr>
          <w:b/>
          <w:bCs/>
          <w:sz w:val="24"/>
          <w:szCs w:val="24"/>
        </w:rPr>
        <w:t>41.</w:t>
      </w:r>
      <w:r w:rsidRPr="00D15CE8">
        <w:rPr>
          <w:sz w:val="24"/>
          <w:szCs w:val="24"/>
        </w:rPr>
        <w:t xml:space="preserve"> Wynika stąd, że pierwszą część jedynego zarzutu należy oddalić jako bezzasadną. W przedmiocie drugiej części jedynego zarzutu.</w:t>
      </w:r>
    </w:p>
    <w:p w14:paraId="424A0804" w14:textId="77777777" w:rsidR="002B528D" w:rsidRPr="00D15CE8" w:rsidRDefault="002B528D" w:rsidP="002B528D">
      <w:pPr>
        <w:spacing w:after="0"/>
        <w:jc w:val="both"/>
        <w:rPr>
          <w:sz w:val="24"/>
          <w:szCs w:val="24"/>
        </w:rPr>
      </w:pPr>
    </w:p>
    <w:p w14:paraId="2D22591F" w14:textId="77777777" w:rsidR="002B528D" w:rsidRPr="00D15CE8" w:rsidRDefault="002B528D" w:rsidP="002B528D">
      <w:pPr>
        <w:spacing w:after="0"/>
        <w:jc w:val="both"/>
        <w:rPr>
          <w:b/>
          <w:bCs/>
          <w:sz w:val="24"/>
          <w:szCs w:val="24"/>
        </w:rPr>
      </w:pPr>
      <w:r w:rsidRPr="00D15CE8">
        <w:rPr>
          <w:b/>
          <w:bCs/>
          <w:sz w:val="24"/>
          <w:szCs w:val="24"/>
        </w:rPr>
        <w:t>Argumentacja stron</w:t>
      </w:r>
    </w:p>
    <w:p w14:paraId="19C1C1AC" w14:textId="77777777" w:rsidR="002B528D" w:rsidRPr="00D15CE8" w:rsidRDefault="002B528D" w:rsidP="002B528D">
      <w:pPr>
        <w:spacing w:after="0"/>
        <w:jc w:val="both"/>
        <w:rPr>
          <w:b/>
          <w:bCs/>
          <w:sz w:val="24"/>
          <w:szCs w:val="24"/>
        </w:rPr>
      </w:pPr>
    </w:p>
    <w:p w14:paraId="392F9AEF" w14:textId="77777777" w:rsidR="002B528D" w:rsidRPr="00D15CE8" w:rsidRDefault="002B528D" w:rsidP="002B528D">
      <w:pPr>
        <w:spacing w:after="0"/>
        <w:jc w:val="both"/>
        <w:rPr>
          <w:sz w:val="24"/>
          <w:szCs w:val="24"/>
        </w:rPr>
      </w:pPr>
      <w:r w:rsidRPr="00D15CE8">
        <w:rPr>
          <w:b/>
          <w:bCs/>
          <w:sz w:val="24"/>
          <w:szCs w:val="24"/>
        </w:rPr>
        <w:t>42.</w:t>
      </w:r>
      <w:r w:rsidRPr="00D15CE8">
        <w:rPr>
          <w:sz w:val="24"/>
          <w:szCs w:val="24"/>
        </w:rPr>
        <w:t xml:space="preserve"> Zdaniem OHIM Sąd nie uwzględnił, że badanie charakteru odróżniającego oznaczenia jest badaniem a priori i tym samym decyzja podejmowana po przeprowadzeniu takiego badania zawsze ma charakter hipotetyczny. Wskazuje on, że pojęcie przeciętnego konsumenta jest pojęciem prawnym, a badanie charakteru odróżniającego oznaczenia winno być przeprowadzane w oderwaniu od jakiegokolwiek faktycznego wykorzystania tego oznaczenia na rynku. </w:t>
      </w:r>
    </w:p>
    <w:p w14:paraId="7257862F" w14:textId="77777777" w:rsidR="002B528D" w:rsidRPr="00D15CE8" w:rsidRDefault="002B528D" w:rsidP="002B528D">
      <w:pPr>
        <w:spacing w:after="0"/>
        <w:jc w:val="both"/>
        <w:rPr>
          <w:sz w:val="24"/>
          <w:szCs w:val="24"/>
        </w:rPr>
      </w:pPr>
      <w:r w:rsidRPr="00D15CE8">
        <w:rPr>
          <w:b/>
          <w:bCs/>
          <w:sz w:val="24"/>
          <w:szCs w:val="24"/>
        </w:rPr>
        <w:t>43.</w:t>
      </w:r>
      <w:r w:rsidRPr="00D15CE8">
        <w:rPr>
          <w:sz w:val="24"/>
          <w:szCs w:val="24"/>
        </w:rPr>
        <w:t xml:space="preserve"> BORCO odpowiada, że zwykłe przypuszczenia nie wystarczają do stwierdzenia braku charakteru odróżniającego oznaczenia. Gdyby tak było, OHIM mógłby bez wskazania konkretnych przyczyn odrzucać wszystkie zgłoszenia znaków do rejestracji z powodu braku charakteru odróżniającego, opierając się wyłącznie na założeniu, że dany znak mógłby ewentualnie, ze względów, które nie są znane nawet samemu OHIM, być pozbawiony wymaganego charakteru odróżniającego. Takie działanie byłoby niezgodne z orzecznictwem Trybunału, według którego w ramach rozpatrywania bezwzględnych podstaw odmowy rejestracji OHIM jest zobowiązany przeprowadzić dogłębną i kompletną analizę wszystkich istotnych faktów i okoliczności.</w:t>
      </w:r>
    </w:p>
    <w:p w14:paraId="4B3A2EEB" w14:textId="77777777" w:rsidR="0033040A" w:rsidRPr="00D15CE8" w:rsidRDefault="0033040A" w:rsidP="002B528D">
      <w:pPr>
        <w:spacing w:after="0"/>
        <w:jc w:val="both"/>
        <w:rPr>
          <w:sz w:val="24"/>
          <w:szCs w:val="24"/>
        </w:rPr>
      </w:pPr>
    </w:p>
    <w:p w14:paraId="4599F94D" w14:textId="77777777" w:rsidR="002B528D" w:rsidRPr="00D15CE8" w:rsidRDefault="002B528D" w:rsidP="002B528D">
      <w:pPr>
        <w:spacing w:after="0"/>
        <w:jc w:val="both"/>
        <w:rPr>
          <w:b/>
          <w:bCs/>
          <w:sz w:val="24"/>
          <w:szCs w:val="24"/>
        </w:rPr>
      </w:pPr>
      <w:r w:rsidRPr="00D15CE8">
        <w:rPr>
          <w:b/>
          <w:bCs/>
          <w:sz w:val="24"/>
          <w:szCs w:val="24"/>
        </w:rPr>
        <w:t>Ocena Trybunału</w:t>
      </w:r>
    </w:p>
    <w:p w14:paraId="3EFDDDD5" w14:textId="77777777" w:rsidR="002B528D" w:rsidRPr="00D15CE8" w:rsidRDefault="002B528D" w:rsidP="002B528D">
      <w:pPr>
        <w:spacing w:after="0"/>
        <w:jc w:val="both"/>
        <w:rPr>
          <w:sz w:val="24"/>
          <w:szCs w:val="24"/>
        </w:rPr>
      </w:pPr>
    </w:p>
    <w:p w14:paraId="2C340C92" w14:textId="77777777" w:rsidR="002B528D" w:rsidRPr="00D15CE8" w:rsidRDefault="002B528D" w:rsidP="002B528D">
      <w:pPr>
        <w:spacing w:after="0"/>
        <w:jc w:val="both"/>
        <w:rPr>
          <w:sz w:val="24"/>
          <w:szCs w:val="24"/>
        </w:rPr>
      </w:pPr>
      <w:r w:rsidRPr="00D15CE8">
        <w:rPr>
          <w:b/>
          <w:bCs/>
          <w:sz w:val="24"/>
          <w:szCs w:val="24"/>
        </w:rPr>
        <w:t>44.</w:t>
      </w:r>
      <w:r w:rsidRPr="00D15CE8">
        <w:rPr>
          <w:sz w:val="24"/>
          <w:szCs w:val="24"/>
        </w:rPr>
        <w:t xml:space="preserve"> Należy podkreślić, że wymóg dokonania badania </w:t>
      </w:r>
      <w:r w:rsidRPr="00D15CE8">
        <w:rPr>
          <w:i/>
          <w:iCs/>
          <w:sz w:val="24"/>
          <w:szCs w:val="24"/>
        </w:rPr>
        <w:t>a priori</w:t>
      </w:r>
      <w:r w:rsidRPr="00D15CE8">
        <w:rPr>
          <w:sz w:val="24"/>
          <w:szCs w:val="24"/>
        </w:rPr>
        <w:t xml:space="preserve"> charakteru odróżniającego oznaczenia nie stoi na przeszkodzie temu, by badanie to zostało przeprowadzone </w:t>
      </w:r>
      <w:r w:rsidRPr="00D15CE8">
        <w:rPr>
          <w:i/>
          <w:iCs/>
          <w:sz w:val="24"/>
          <w:szCs w:val="24"/>
        </w:rPr>
        <w:t>in concreto</w:t>
      </w:r>
      <w:r w:rsidRPr="00D15CE8">
        <w:rPr>
          <w:sz w:val="24"/>
          <w:szCs w:val="24"/>
        </w:rPr>
        <w:t xml:space="preserve">. </w:t>
      </w:r>
      <w:r w:rsidRPr="00D15CE8">
        <w:rPr>
          <w:b/>
          <w:bCs/>
          <w:sz w:val="24"/>
          <w:szCs w:val="24"/>
        </w:rPr>
        <w:t>45.</w:t>
      </w:r>
      <w:r w:rsidRPr="00D15CE8">
        <w:rPr>
          <w:sz w:val="24"/>
          <w:szCs w:val="24"/>
        </w:rPr>
        <w:t xml:space="preserve"> Jak wynika bowiem z orzecznictwa Trybunału, </w:t>
      </w:r>
      <w:r w:rsidRPr="00D15CE8">
        <w:rPr>
          <w:b/>
          <w:bCs/>
          <w:sz w:val="24"/>
          <w:szCs w:val="24"/>
        </w:rPr>
        <w:t>rozpatrywanie zgłoszeń nie może być ograniczone do minimum</w:t>
      </w:r>
      <w:r w:rsidRPr="00D15CE8">
        <w:rPr>
          <w:sz w:val="24"/>
          <w:szCs w:val="24"/>
        </w:rPr>
        <w:t xml:space="preserve">, tylko </w:t>
      </w:r>
      <w:r w:rsidRPr="00D15CE8">
        <w:rPr>
          <w:b/>
          <w:bCs/>
          <w:sz w:val="24"/>
          <w:szCs w:val="24"/>
        </w:rPr>
        <w:t>powinno być dokładne i kompletne</w:t>
      </w:r>
      <w:r w:rsidRPr="00D15CE8">
        <w:rPr>
          <w:sz w:val="24"/>
          <w:szCs w:val="24"/>
        </w:rPr>
        <w:t xml:space="preserve">, tak aby uniknąć nieprawidłowego rejestrowania znaków towarowych oraz zagwarantować, w imię pewności prawa i dobrej administracji, że nie będą rejestrowane znaki, których używaniu można by się skutecznie sprzeciwić w sądzie (zob. podobnie ww. wyroki: w sprawie </w:t>
      </w:r>
      <w:proofErr w:type="spellStart"/>
      <w:r w:rsidRPr="00D15CE8">
        <w:rPr>
          <w:sz w:val="24"/>
          <w:szCs w:val="24"/>
        </w:rPr>
        <w:t>Libertel</w:t>
      </w:r>
      <w:proofErr w:type="spellEnd"/>
      <w:r w:rsidRPr="00D15CE8">
        <w:rPr>
          <w:sz w:val="24"/>
          <w:szCs w:val="24"/>
        </w:rPr>
        <w:t xml:space="preserve">, pkt 59; w sprawie OHIM przeciwko </w:t>
      </w:r>
      <w:proofErr w:type="spellStart"/>
      <w:r w:rsidRPr="00D15CE8">
        <w:rPr>
          <w:sz w:val="24"/>
          <w:szCs w:val="24"/>
        </w:rPr>
        <w:t>Erpo</w:t>
      </w:r>
      <w:proofErr w:type="spellEnd"/>
      <w:r w:rsidRPr="00D15CE8">
        <w:rPr>
          <w:sz w:val="24"/>
          <w:szCs w:val="24"/>
        </w:rPr>
        <w:t xml:space="preserve"> </w:t>
      </w:r>
      <w:proofErr w:type="spellStart"/>
      <w:r w:rsidRPr="00D15CE8">
        <w:rPr>
          <w:sz w:val="24"/>
          <w:szCs w:val="24"/>
        </w:rPr>
        <w:t>Möbelwerk</w:t>
      </w:r>
      <w:proofErr w:type="spellEnd"/>
      <w:r w:rsidRPr="00D15CE8">
        <w:rPr>
          <w:sz w:val="24"/>
          <w:szCs w:val="24"/>
        </w:rPr>
        <w:t xml:space="preserve">, pkt 45). </w:t>
      </w:r>
    </w:p>
    <w:p w14:paraId="63D30EDC" w14:textId="77777777" w:rsidR="002B528D" w:rsidRPr="00D15CE8" w:rsidRDefault="002B528D" w:rsidP="002B528D">
      <w:pPr>
        <w:spacing w:after="0"/>
        <w:jc w:val="both"/>
        <w:rPr>
          <w:sz w:val="24"/>
          <w:szCs w:val="24"/>
        </w:rPr>
      </w:pPr>
      <w:r w:rsidRPr="00D15CE8">
        <w:rPr>
          <w:b/>
          <w:bCs/>
          <w:sz w:val="24"/>
          <w:szCs w:val="24"/>
        </w:rPr>
        <w:t>46.</w:t>
      </w:r>
      <w:r w:rsidRPr="00D15CE8">
        <w:rPr>
          <w:sz w:val="24"/>
          <w:szCs w:val="24"/>
        </w:rPr>
        <w:t xml:space="preserve"> </w:t>
      </w:r>
      <w:r w:rsidRPr="00D15CE8">
        <w:rPr>
          <w:b/>
          <w:bCs/>
          <w:sz w:val="24"/>
          <w:szCs w:val="24"/>
          <w:u w:val="single"/>
        </w:rPr>
        <w:t>Dopuszczenie, by</w:t>
      </w:r>
      <w:r w:rsidRPr="00D15CE8">
        <w:rPr>
          <w:sz w:val="24"/>
          <w:szCs w:val="24"/>
        </w:rPr>
        <w:t xml:space="preserve"> OHIM –</w:t>
      </w:r>
      <w:r w:rsidRPr="00D15CE8">
        <w:rPr>
          <w:b/>
          <w:bCs/>
          <w:sz w:val="24"/>
          <w:szCs w:val="24"/>
        </w:rPr>
        <w:t xml:space="preserve"> mimo</w:t>
      </w:r>
      <w:r w:rsidRPr="00D15CE8">
        <w:rPr>
          <w:sz w:val="24"/>
          <w:szCs w:val="24"/>
        </w:rPr>
        <w:t xml:space="preserve"> wskazanego w pkt 39 niniejszego wyroku </w:t>
      </w:r>
      <w:r w:rsidRPr="00D15CE8">
        <w:rPr>
          <w:b/>
          <w:bCs/>
          <w:sz w:val="24"/>
          <w:szCs w:val="24"/>
        </w:rPr>
        <w:t xml:space="preserve">wymogu </w:t>
      </w:r>
      <w:r w:rsidRPr="00D15CE8">
        <w:rPr>
          <w:sz w:val="24"/>
          <w:szCs w:val="24"/>
        </w:rPr>
        <w:t xml:space="preserve">przeprowadzenia konkretnego badania charakteru odróżniającego zgłoszonego do rejestracji znaku towarowego – </w:t>
      </w:r>
      <w:r w:rsidRPr="00D15CE8">
        <w:rPr>
          <w:b/>
          <w:bCs/>
          <w:sz w:val="24"/>
          <w:szCs w:val="24"/>
        </w:rPr>
        <w:t>mógł kierować się</w:t>
      </w:r>
      <w:r w:rsidRPr="00D15CE8">
        <w:rPr>
          <w:sz w:val="24"/>
          <w:szCs w:val="24"/>
        </w:rPr>
        <w:t xml:space="preserve"> bez właściwego uzasadnienia </w:t>
      </w:r>
      <w:r w:rsidRPr="00D15CE8">
        <w:rPr>
          <w:b/>
          <w:bCs/>
          <w:sz w:val="24"/>
          <w:szCs w:val="24"/>
        </w:rPr>
        <w:t>przypuszczeniami i zwykłymi wątpliwościami</w:t>
      </w:r>
      <w:r w:rsidRPr="00D15CE8">
        <w:rPr>
          <w:sz w:val="24"/>
          <w:szCs w:val="24"/>
        </w:rPr>
        <w:t xml:space="preserve">, </w:t>
      </w:r>
      <w:r w:rsidRPr="00D15CE8">
        <w:rPr>
          <w:b/>
          <w:bCs/>
          <w:sz w:val="24"/>
          <w:szCs w:val="24"/>
        </w:rPr>
        <w:t>przeczyłoby samemu celowi kontroli</w:t>
      </w:r>
      <w:r w:rsidRPr="00D15CE8">
        <w:rPr>
          <w:sz w:val="24"/>
          <w:szCs w:val="24"/>
        </w:rPr>
        <w:t xml:space="preserve"> </w:t>
      </w:r>
      <w:r w:rsidRPr="00D15CE8">
        <w:rPr>
          <w:i/>
          <w:iCs/>
          <w:sz w:val="24"/>
          <w:szCs w:val="24"/>
        </w:rPr>
        <w:t>a priori</w:t>
      </w:r>
      <w:r w:rsidRPr="00D15CE8">
        <w:rPr>
          <w:sz w:val="24"/>
          <w:szCs w:val="24"/>
        </w:rPr>
        <w:t xml:space="preserve">. </w:t>
      </w:r>
    </w:p>
    <w:p w14:paraId="32EDF540" w14:textId="77777777" w:rsidR="002B528D" w:rsidRPr="00D15CE8" w:rsidRDefault="002B528D" w:rsidP="002B528D">
      <w:pPr>
        <w:spacing w:after="0"/>
        <w:jc w:val="both"/>
        <w:rPr>
          <w:sz w:val="24"/>
          <w:szCs w:val="24"/>
        </w:rPr>
      </w:pPr>
      <w:r w:rsidRPr="00D15CE8">
        <w:rPr>
          <w:b/>
          <w:bCs/>
          <w:sz w:val="24"/>
          <w:szCs w:val="24"/>
        </w:rPr>
        <w:t>47.</w:t>
      </w:r>
      <w:r w:rsidRPr="00D15CE8">
        <w:rPr>
          <w:sz w:val="24"/>
          <w:szCs w:val="24"/>
        </w:rPr>
        <w:t xml:space="preserve"> Z powyższego wynika, że </w:t>
      </w:r>
      <w:r w:rsidRPr="00D15CE8">
        <w:rPr>
          <w:sz w:val="24"/>
          <w:szCs w:val="24"/>
          <w:u w:val="single"/>
        </w:rPr>
        <w:t>Sąd prawidłowo uznał</w:t>
      </w:r>
      <w:r w:rsidRPr="00D15CE8">
        <w:rPr>
          <w:sz w:val="24"/>
          <w:szCs w:val="24"/>
        </w:rPr>
        <w:t xml:space="preserve"> w pkt 54 zaskarżonego wyroku, iż Czwarta Izba Odwoławcza </w:t>
      </w:r>
      <w:r w:rsidRPr="00D15CE8">
        <w:rPr>
          <w:sz w:val="24"/>
          <w:szCs w:val="24"/>
          <w:u w:val="single"/>
        </w:rPr>
        <w:t xml:space="preserve">OHIM, opierając się na hipotetycznych przesłankach, nie mogła sprostać </w:t>
      </w:r>
      <w:r w:rsidRPr="00D15CE8">
        <w:rPr>
          <w:sz w:val="24"/>
          <w:szCs w:val="24"/>
          <w:u w:val="single"/>
        </w:rPr>
        <w:lastRenderedPageBreak/>
        <w:t>wymogom, którym odpowiadać musi badanie charakteru odróżniającego</w:t>
      </w:r>
      <w:r w:rsidRPr="00D15CE8">
        <w:rPr>
          <w:sz w:val="24"/>
          <w:szCs w:val="24"/>
        </w:rPr>
        <w:t xml:space="preserve"> oznaczenia zgłoszonego do rejestracji w charakterze znaku towarowego na podstawie rozporządzenia nr 40/94. </w:t>
      </w:r>
    </w:p>
    <w:p w14:paraId="6DE65E3B" w14:textId="77777777" w:rsidR="002B528D" w:rsidRPr="00D15CE8" w:rsidRDefault="002B528D" w:rsidP="002B528D">
      <w:pPr>
        <w:spacing w:after="0"/>
        <w:jc w:val="both"/>
        <w:rPr>
          <w:sz w:val="24"/>
          <w:szCs w:val="24"/>
        </w:rPr>
      </w:pPr>
      <w:r w:rsidRPr="00D15CE8">
        <w:rPr>
          <w:b/>
          <w:bCs/>
          <w:sz w:val="24"/>
          <w:szCs w:val="24"/>
        </w:rPr>
        <w:t xml:space="preserve">48. </w:t>
      </w:r>
      <w:r w:rsidRPr="00D15CE8">
        <w:rPr>
          <w:sz w:val="24"/>
          <w:szCs w:val="24"/>
        </w:rPr>
        <w:t>W konsekwencji drugą część jedynego zarzutu należy oddalić jako bezzasadną. W przedmiocie trzeciej części jedynego zarzutu</w:t>
      </w:r>
    </w:p>
    <w:p w14:paraId="37C84830" w14:textId="603B676F" w:rsidR="002B528D" w:rsidRDefault="007D3065" w:rsidP="002B528D">
      <w:pPr>
        <w:spacing w:after="0"/>
        <w:jc w:val="both"/>
        <w:rPr>
          <w:b/>
          <w:bCs/>
          <w:sz w:val="24"/>
          <w:szCs w:val="24"/>
        </w:rPr>
      </w:pPr>
      <w:r w:rsidRPr="00D15CE8">
        <w:rPr>
          <w:b/>
          <w:bCs/>
          <w:sz w:val="24"/>
          <w:szCs w:val="24"/>
        </w:rPr>
        <w:t>Argumentacja stron</w:t>
      </w:r>
    </w:p>
    <w:p w14:paraId="3E27F374" w14:textId="77777777" w:rsidR="005A2B42" w:rsidRPr="00D15CE8" w:rsidRDefault="005A2B42" w:rsidP="002B528D">
      <w:pPr>
        <w:spacing w:after="0"/>
        <w:jc w:val="both"/>
        <w:rPr>
          <w:b/>
          <w:bCs/>
          <w:sz w:val="24"/>
          <w:szCs w:val="24"/>
        </w:rPr>
      </w:pPr>
    </w:p>
    <w:p w14:paraId="19862D96" w14:textId="77777777" w:rsidR="002B528D" w:rsidRPr="00D15CE8" w:rsidRDefault="002B528D" w:rsidP="002B528D">
      <w:pPr>
        <w:spacing w:after="0"/>
        <w:jc w:val="both"/>
        <w:rPr>
          <w:sz w:val="24"/>
          <w:szCs w:val="24"/>
        </w:rPr>
      </w:pPr>
      <w:r w:rsidRPr="00D15CE8">
        <w:rPr>
          <w:b/>
          <w:bCs/>
          <w:sz w:val="24"/>
          <w:szCs w:val="24"/>
        </w:rPr>
        <w:t>49.</w:t>
      </w:r>
      <w:r w:rsidRPr="00D15CE8">
        <w:rPr>
          <w:sz w:val="24"/>
          <w:szCs w:val="24"/>
        </w:rPr>
        <w:t xml:space="preserve"> OHIM podnosi, że Sąd błędnie ocenił rozkład ciężaru dowodu w ramach badania dokonywanego na podstawie art. 7 ust. 1 lit. b) rozporządzenia nr 40/94 w zakresie, w jakim zdaniem Sądu to OHIM zawsze musi wykazać brak charakteru odróżniającego zgłoszonego do rejestracji znaku w drodze odniesienia się do konkretnych faktów. </w:t>
      </w:r>
    </w:p>
    <w:p w14:paraId="4B8F864B" w14:textId="77777777" w:rsidR="002B528D" w:rsidRPr="00D15CE8" w:rsidRDefault="002B528D" w:rsidP="002B528D">
      <w:pPr>
        <w:spacing w:after="0"/>
        <w:jc w:val="both"/>
        <w:rPr>
          <w:sz w:val="24"/>
          <w:szCs w:val="24"/>
        </w:rPr>
      </w:pPr>
      <w:r w:rsidRPr="00D15CE8">
        <w:rPr>
          <w:b/>
          <w:bCs/>
          <w:sz w:val="24"/>
          <w:szCs w:val="24"/>
        </w:rPr>
        <w:t>50.</w:t>
      </w:r>
      <w:r w:rsidRPr="00D15CE8">
        <w:rPr>
          <w:sz w:val="24"/>
          <w:szCs w:val="24"/>
        </w:rPr>
        <w:t xml:space="preserve"> Jako że procedura rejestracji jest procedurą administracyjną, a nie kontradyktoryjną, w ramach której OHIM musiałby dostarczyć zgłaszającemu dowody na okoliczność zaistnienia podstaw odmowy rejestracji, to do zgłaszającego, który w odwołaniu powołuje się na charakter odróżniający znaku zgłoszonego przezeń do rejestracji, należy przedstawienie konkretnych i potwierdzonych danych wykazujących, że znak ten ma charakter odróżniający. </w:t>
      </w:r>
    </w:p>
    <w:p w14:paraId="5C1FCAEE" w14:textId="77777777" w:rsidR="002B528D" w:rsidRPr="00D15CE8" w:rsidRDefault="002B528D" w:rsidP="002B528D">
      <w:pPr>
        <w:spacing w:after="0"/>
        <w:jc w:val="both"/>
        <w:rPr>
          <w:sz w:val="24"/>
          <w:szCs w:val="24"/>
        </w:rPr>
      </w:pPr>
      <w:r w:rsidRPr="00D15CE8">
        <w:rPr>
          <w:b/>
          <w:bCs/>
          <w:sz w:val="24"/>
          <w:szCs w:val="24"/>
        </w:rPr>
        <w:t>51.</w:t>
      </w:r>
      <w:r w:rsidRPr="00D15CE8">
        <w:rPr>
          <w:sz w:val="24"/>
          <w:szCs w:val="24"/>
        </w:rPr>
        <w:t xml:space="preserve"> Zdaniem OHIM może on, jeżeli dojdzie do wniosku, że zgłoszony do rejestracji znak nie wykazuje samoistnego charakteru odróżniającego, oprzeć swą analizę na faktach wynikających z praktycznego doświadczenia związanego ogólnie z obrotem towarami masowej konsumpcji, które to fakty mogą być znane wszystkim i w szczególności są znane konsumentom owych towarów. W takim wypadku OHIM nie jest zobowiązany do przytoczenia przykładów takiego doświadczenia praktycznego. </w:t>
      </w:r>
    </w:p>
    <w:p w14:paraId="4AB8E494" w14:textId="77777777" w:rsidR="002B528D" w:rsidRPr="00D15CE8" w:rsidRDefault="002B528D" w:rsidP="002B528D">
      <w:pPr>
        <w:spacing w:after="0"/>
        <w:jc w:val="both"/>
        <w:rPr>
          <w:sz w:val="24"/>
          <w:szCs w:val="24"/>
        </w:rPr>
      </w:pPr>
      <w:r w:rsidRPr="00D15CE8">
        <w:rPr>
          <w:b/>
          <w:bCs/>
          <w:sz w:val="24"/>
          <w:szCs w:val="24"/>
        </w:rPr>
        <w:t>52.</w:t>
      </w:r>
      <w:r w:rsidRPr="00D15CE8">
        <w:rPr>
          <w:sz w:val="24"/>
          <w:szCs w:val="24"/>
        </w:rPr>
        <w:t xml:space="preserve"> W przekonaniu OHIM Sąd naruszył tę zasadę, zarzucając Czwartej Izbie Odwoławczej OHIM w pkt 54 zaskarżonego wyroku, że nie powołała się na żadną konkretną okoliczność. Izba Odwoławcza zasadnie mogła, wbrew ustaleniom Sądu, oprzeć swą analizę na faktach wynikających z ogólnie zdobytego doświadczenia, zgodnie z którym pojedyncze litery są zwykle używane między innymi jako określenie rodzaju, pozycji w kodzie lub jako wskazanie rozmiaru i są też w ten sposób postrzegane. </w:t>
      </w:r>
    </w:p>
    <w:p w14:paraId="3225CC9F" w14:textId="77777777" w:rsidR="002B528D" w:rsidRPr="00D15CE8" w:rsidRDefault="002B528D" w:rsidP="002B528D">
      <w:pPr>
        <w:spacing w:after="0"/>
        <w:jc w:val="both"/>
        <w:rPr>
          <w:sz w:val="24"/>
          <w:szCs w:val="24"/>
        </w:rPr>
      </w:pPr>
      <w:r w:rsidRPr="00D15CE8">
        <w:rPr>
          <w:b/>
          <w:bCs/>
          <w:sz w:val="24"/>
          <w:szCs w:val="24"/>
        </w:rPr>
        <w:t>53</w:t>
      </w:r>
      <w:r w:rsidRPr="00D15CE8">
        <w:rPr>
          <w:sz w:val="24"/>
          <w:szCs w:val="24"/>
        </w:rPr>
        <w:t xml:space="preserve">. Zdaniem BORCO te rozważania są błędne pod względem prawnym. </w:t>
      </w:r>
    </w:p>
    <w:p w14:paraId="6F27B4D8" w14:textId="77777777" w:rsidR="002B528D" w:rsidRPr="00D15CE8" w:rsidRDefault="002B528D" w:rsidP="002B528D">
      <w:pPr>
        <w:spacing w:after="0"/>
        <w:jc w:val="both"/>
        <w:rPr>
          <w:sz w:val="24"/>
          <w:szCs w:val="24"/>
        </w:rPr>
      </w:pPr>
      <w:r w:rsidRPr="00D15CE8">
        <w:rPr>
          <w:b/>
          <w:bCs/>
          <w:sz w:val="24"/>
          <w:szCs w:val="24"/>
        </w:rPr>
        <w:t>54.</w:t>
      </w:r>
      <w:r w:rsidRPr="00D15CE8">
        <w:rPr>
          <w:sz w:val="24"/>
          <w:szCs w:val="24"/>
        </w:rPr>
        <w:t xml:space="preserve"> Na podstawie art. 74 ust. 1 rozporządzenia nr 40/94 w postępowaniu dotyczącym bezwzględnych podstaw odmowy rejestracji OHIM jest zobowiązany badać stan faktyczny z urzędu. Tylko jeżeli OHIM dysponuje konkretnymi dowodami wskazującymi na brak charakteru odróżniającego, zgłaszający może się do nich ustosunkować i to na niego przechodzi ciężar dowodu w postępowaniu sądowym. A zatem w swym odwołaniu OHIM przedstawił pogląd sprzeczny z podstawowymi zasadami w przedmiocie rozkładu ciężaru dowodu.</w:t>
      </w:r>
    </w:p>
    <w:p w14:paraId="235B89CA" w14:textId="77777777" w:rsidR="0033040A" w:rsidRPr="00D15CE8" w:rsidRDefault="0033040A" w:rsidP="002B528D">
      <w:pPr>
        <w:spacing w:after="0"/>
        <w:jc w:val="both"/>
        <w:rPr>
          <w:b/>
          <w:bCs/>
          <w:sz w:val="24"/>
          <w:szCs w:val="24"/>
        </w:rPr>
      </w:pPr>
    </w:p>
    <w:p w14:paraId="67D2934F" w14:textId="200849BD" w:rsidR="002B528D" w:rsidRPr="00D15CE8" w:rsidRDefault="002B528D" w:rsidP="002B528D">
      <w:pPr>
        <w:spacing w:after="0"/>
        <w:jc w:val="both"/>
        <w:rPr>
          <w:b/>
          <w:bCs/>
          <w:sz w:val="24"/>
          <w:szCs w:val="24"/>
        </w:rPr>
      </w:pPr>
      <w:r w:rsidRPr="00D15CE8">
        <w:rPr>
          <w:b/>
          <w:bCs/>
          <w:sz w:val="24"/>
          <w:szCs w:val="24"/>
        </w:rPr>
        <w:t>Oc</w:t>
      </w:r>
      <w:r w:rsidR="007D3065" w:rsidRPr="00D15CE8">
        <w:rPr>
          <w:b/>
          <w:bCs/>
          <w:sz w:val="24"/>
          <w:szCs w:val="24"/>
        </w:rPr>
        <w:t>ena Trybunału</w:t>
      </w:r>
    </w:p>
    <w:p w14:paraId="7901A3EF" w14:textId="77777777" w:rsidR="007D3065" w:rsidRPr="00D15CE8" w:rsidRDefault="007D3065" w:rsidP="002B528D">
      <w:pPr>
        <w:spacing w:after="0"/>
        <w:jc w:val="both"/>
        <w:rPr>
          <w:b/>
          <w:bCs/>
          <w:sz w:val="24"/>
          <w:szCs w:val="24"/>
        </w:rPr>
      </w:pPr>
    </w:p>
    <w:p w14:paraId="146A3C1B" w14:textId="77777777" w:rsidR="002B528D" w:rsidRPr="00D15CE8" w:rsidRDefault="002B528D" w:rsidP="002B528D">
      <w:pPr>
        <w:spacing w:after="0"/>
        <w:jc w:val="both"/>
        <w:rPr>
          <w:sz w:val="24"/>
          <w:szCs w:val="24"/>
        </w:rPr>
      </w:pPr>
      <w:r w:rsidRPr="00D15CE8">
        <w:rPr>
          <w:b/>
          <w:bCs/>
          <w:sz w:val="24"/>
          <w:szCs w:val="24"/>
        </w:rPr>
        <w:t>55.</w:t>
      </w:r>
      <w:r w:rsidRPr="00D15CE8">
        <w:rPr>
          <w:sz w:val="24"/>
          <w:szCs w:val="24"/>
        </w:rPr>
        <w:t xml:space="preserve"> Na wstępie należy stwierdzić, że Sąd, zarzucając Czwartej Izbie Odwoławczej OHIM, że nie ustaliła braku charakteru odróżniającego zgłoszonego do rejestracji znaku towarowego, ograniczył się do zastosowania przytoczonego w pkt 35 niniejszego wyroku orzecznictwa, zgodnie z którym zawsze należy dokonać konkretnego badania charakteru odróżniającego danego oznaczenia. </w:t>
      </w:r>
    </w:p>
    <w:p w14:paraId="4A909BB1" w14:textId="77777777" w:rsidR="002B528D" w:rsidRPr="00D15CE8" w:rsidRDefault="002B528D" w:rsidP="002B528D">
      <w:pPr>
        <w:spacing w:after="0"/>
        <w:jc w:val="both"/>
        <w:rPr>
          <w:sz w:val="24"/>
          <w:szCs w:val="24"/>
        </w:rPr>
      </w:pPr>
      <w:r w:rsidRPr="00D15CE8">
        <w:rPr>
          <w:b/>
          <w:bCs/>
          <w:sz w:val="24"/>
          <w:szCs w:val="24"/>
        </w:rPr>
        <w:lastRenderedPageBreak/>
        <w:t>56</w:t>
      </w:r>
      <w:r w:rsidRPr="00D15CE8">
        <w:rPr>
          <w:sz w:val="24"/>
          <w:szCs w:val="24"/>
        </w:rPr>
        <w:t xml:space="preserve">. Jak zauważył rzecznik generalny w pkt 59 swej opinii, rozważania dotyczące ciężaru dowodu w postępowaniu w sprawie rejestracji znaku towarowego nie mogą zwolnić OHIM z obowiązków ciążących na nim na mocy rozporządzenia nr 40/94. </w:t>
      </w:r>
    </w:p>
    <w:p w14:paraId="28B1C4DF" w14:textId="77777777" w:rsidR="002B528D" w:rsidRPr="00D15CE8" w:rsidRDefault="002B528D" w:rsidP="002B528D">
      <w:pPr>
        <w:spacing w:after="0"/>
        <w:jc w:val="both"/>
        <w:rPr>
          <w:sz w:val="24"/>
          <w:szCs w:val="24"/>
        </w:rPr>
      </w:pPr>
      <w:r w:rsidRPr="00D15CE8">
        <w:rPr>
          <w:b/>
          <w:bCs/>
          <w:sz w:val="24"/>
          <w:szCs w:val="24"/>
        </w:rPr>
        <w:t>57.</w:t>
      </w:r>
      <w:r w:rsidRPr="00D15CE8">
        <w:rPr>
          <w:sz w:val="24"/>
          <w:szCs w:val="24"/>
        </w:rPr>
        <w:t xml:space="preserve"> Zgodnie bowiem z art. 74 ust. 1 wspomnianego rozporządzenia w postępowaniu dotyczącym bezwzględnych podstaw odmowy rejestracji OHIM jest zobowiązany z urzędu zbadać istotne okoliczności faktyczne, które mogłyby go skłonić do zastosowania jednej z takich podstaw. </w:t>
      </w:r>
    </w:p>
    <w:p w14:paraId="46DA643F" w14:textId="77777777" w:rsidR="002B528D" w:rsidRPr="00D15CE8" w:rsidRDefault="002B528D" w:rsidP="002B528D">
      <w:pPr>
        <w:spacing w:after="0"/>
        <w:jc w:val="both"/>
        <w:rPr>
          <w:sz w:val="24"/>
          <w:szCs w:val="24"/>
        </w:rPr>
      </w:pPr>
      <w:r w:rsidRPr="00D15CE8">
        <w:rPr>
          <w:b/>
          <w:bCs/>
          <w:sz w:val="24"/>
          <w:szCs w:val="24"/>
        </w:rPr>
        <w:t>58.</w:t>
      </w:r>
      <w:r w:rsidRPr="00D15CE8">
        <w:rPr>
          <w:sz w:val="24"/>
          <w:szCs w:val="24"/>
        </w:rPr>
        <w:t xml:space="preserve"> Wbrew temu, co podnosi OHIM, taki </w:t>
      </w:r>
      <w:r w:rsidRPr="00D15CE8">
        <w:rPr>
          <w:b/>
          <w:bCs/>
          <w:sz w:val="24"/>
          <w:szCs w:val="24"/>
        </w:rPr>
        <w:t>wymóg nie może być ani relatywizowany ani zmieniany na niekorzyść zgłaszającego</w:t>
      </w:r>
      <w:r w:rsidRPr="00D15CE8">
        <w:rPr>
          <w:sz w:val="24"/>
          <w:szCs w:val="24"/>
        </w:rPr>
        <w:t xml:space="preserve"> z powołaniem się na pkt 50 wyroku z dnia 25 października 2007 r. w sprawie C-238/06_P </w:t>
      </w:r>
      <w:proofErr w:type="spellStart"/>
      <w:r w:rsidRPr="00D15CE8">
        <w:rPr>
          <w:sz w:val="24"/>
          <w:szCs w:val="24"/>
        </w:rPr>
        <w:t>Develey</w:t>
      </w:r>
      <w:proofErr w:type="spellEnd"/>
      <w:r w:rsidRPr="00D15CE8">
        <w:rPr>
          <w:sz w:val="24"/>
          <w:szCs w:val="24"/>
        </w:rPr>
        <w:t xml:space="preserve"> przeciwko OHIM, </w:t>
      </w:r>
      <w:proofErr w:type="spellStart"/>
      <w:proofErr w:type="gramStart"/>
      <w:r w:rsidRPr="00D15CE8">
        <w:rPr>
          <w:sz w:val="24"/>
          <w:szCs w:val="24"/>
        </w:rPr>
        <w:t>Zb.Orz</w:t>
      </w:r>
      <w:proofErr w:type="spellEnd"/>
      <w:proofErr w:type="gramEnd"/>
      <w:r w:rsidRPr="00D15CE8">
        <w:rPr>
          <w:sz w:val="24"/>
          <w:szCs w:val="24"/>
        </w:rPr>
        <w:t xml:space="preserve">. s. I-9375. </w:t>
      </w:r>
    </w:p>
    <w:p w14:paraId="4344986F" w14:textId="77777777" w:rsidR="002B528D" w:rsidRPr="00D15CE8" w:rsidRDefault="002B528D" w:rsidP="002B528D">
      <w:pPr>
        <w:spacing w:after="0"/>
        <w:jc w:val="both"/>
        <w:rPr>
          <w:sz w:val="24"/>
          <w:szCs w:val="24"/>
        </w:rPr>
      </w:pPr>
      <w:r w:rsidRPr="00D15CE8">
        <w:rPr>
          <w:b/>
          <w:bCs/>
          <w:sz w:val="24"/>
          <w:szCs w:val="24"/>
        </w:rPr>
        <w:t>59.</w:t>
      </w:r>
      <w:r w:rsidRPr="00D15CE8">
        <w:rPr>
          <w:sz w:val="24"/>
          <w:szCs w:val="24"/>
        </w:rPr>
        <w:t xml:space="preserve"> Ze wspomnianego punktu wynika, że jedynie w przypadku gdy skarżąca mimo analizy przeprowadzonej przez OHIM wciąż powołuje się na charakter odróżniający zgłoszonego znaku, to do niej należy przedstawienie konkretnych i potwierdzonych danych wykazujących, że dany znak ma charakter odróżniający (ww. wyrok w sprawie </w:t>
      </w:r>
      <w:proofErr w:type="spellStart"/>
      <w:r w:rsidRPr="00D15CE8">
        <w:rPr>
          <w:sz w:val="24"/>
          <w:szCs w:val="24"/>
        </w:rPr>
        <w:t>Develey</w:t>
      </w:r>
      <w:proofErr w:type="spellEnd"/>
      <w:r w:rsidRPr="00D15CE8">
        <w:rPr>
          <w:sz w:val="24"/>
          <w:szCs w:val="24"/>
        </w:rPr>
        <w:t xml:space="preserve"> przeciwko OHIM, pkt 50).</w:t>
      </w:r>
    </w:p>
    <w:p w14:paraId="3998A21B" w14:textId="77777777" w:rsidR="002B528D" w:rsidRPr="00D15CE8" w:rsidRDefault="002B528D" w:rsidP="002B528D">
      <w:pPr>
        <w:spacing w:after="0"/>
        <w:jc w:val="both"/>
        <w:rPr>
          <w:sz w:val="24"/>
          <w:szCs w:val="24"/>
        </w:rPr>
      </w:pPr>
      <w:r w:rsidRPr="00D15CE8">
        <w:rPr>
          <w:b/>
          <w:bCs/>
          <w:sz w:val="24"/>
          <w:szCs w:val="24"/>
        </w:rPr>
        <w:t>60.</w:t>
      </w:r>
      <w:r w:rsidRPr="00D15CE8">
        <w:rPr>
          <w:sz w:val="24"/>
          <w:szCs w:val="24"/>
        </w:rPr>
        <w:t xml:space="preserve"> W konsekwencji, zważywszy na to, że dokonana przez Czwartą Izbą Odwoławczą OHIM analiza nie spełnia wymogów przypomnianych w pkt 35 niniejszego wyroku, takiego obowiązku nie można przypisywać BORCO. </w:t>
      </w:r>
    </w:p>
    <w:p w14:paraId="2F8FC019" w14:textId="77777777" w:rsidR="002B528D" w:rsidRPr="00D15CE8" w:rsidRDefault="002B528D" w:rsidP="002B528D">
      <w:pPr>
        <w:spacing w:after="0"/>
        <w:jc w:val="both"/>
        <w:rPr>
          <w:sz w:val="24"/>
          <w:szCs w:val="24"/>
        </w:rPr>
      </w:pPr>
      <w:r w:rsidRPr="00D15CE8">
        <w:rPr>
          <w:b/>
          <w:bCs/>
          <w:sz w:val="24"/>
          <w:szCs w:val="24"/>
        </w:rPr>
        <w:t>61</w:t>
      </w:r>
      <w:r w:rsidRPr="00D15CE8">
        <w:rPr>
          <w:sz w:val="24"/>
          <w:szCs w:val="24"/>
        </w:rPr>
        <w:t xml:space="preserve">. Z powyższego wynika, że trzecia część jedynego zarzutu podniesionego przez OHIM nie jest zasadna. </w:t>
      </w:r>
    </w:p>
    <w:p w14:paraId="38C95434" w14:textId="77777777" w:rsidR="002B528D" w:rsidRPr="00D15CE8" w:rsidRDefault="002B528D" w:rsidP="002B528D">
      <w:pPr>
        <w:spacing w:after="0"/>
        <w:jc w:val="both"/>
        <w:rPr>
          <w:sz w:val="24"/>
          <w:szCs w:val="24"/>
        </w:rPr>
      </w:pPr>
      <w:r w:rsidRPr="00D15CE8">
        <w:rPr>
          <w:b/>
          <w:bCs/>
          <w:sz w:val="24"/>
          <w:szCs w:val="24"/>
        </w:rPr>
        <w:t>62</w:t>
      </w:r>
      <w:r w:rsidRPr="00D15CE8">
        <w:rPr>
          <w:sz w:val="24"/>
          <w:szCs w:val="24"/>
        </w:rPr>
        <w:t xml:space="preserve">. Wobec tego, że żadna z trzech części jedynego zarzutu podniesionego przez OHIM nie jest zasadna, odwołanie należy oddalić. W przedmiocie kosztów </w:t>
      </w:r>
    </w:p>
    <w:p w14:paraId="1EB00F8E" w14:textId="77777777" w:rsidR="002B528D" w:rsidRPr="00D15CE8" w:rsidRDefault="002B528D" w:rsidP="002B528D">
      <w:pPr>
        <w:spacing w:after="0"/>
        <w:jc w:val="both"/>
        <w:rPr>
          <w:sz w:val="24"/>
          <w:szCs w:val="24"/>
        </w:rPr>
      </w:pPr>
      <w:r w:rsidRPr="00D15CE8">
        <w:rPr>
          <w:b/>
          <w:bCs/>
          <w:sz w:val="24"/>
          <w:szCs w:val="24"/>
        </w:rPr>
        <w:t>63</w:t>
      </w:r>
      <w:r w:rsidRPr="00D15CE8">
        <w:rPr>
          <w:sz w:val="24"/>
          <w:szCs w:val="24"/>
        </w:rPr>
        <w:t xml:space="preserve">. Zgodnie z art. 69 § 2 regulaminu postępowania, mającym zastosowanie do postępowania odwoławczego na podstawie art. 118 tego regulaminu, kosztami zostaje obciążona, na żądanie strony przeciwnej, strona przegrywająca sprawę. Ponieważ OHIM przegrał sprawę, należy obciążyć go – zgodnie z żądaniem BORCO – kosztami postępowania. </w:t>
      </w:r>
    </w:p>
    <w:p w14:paraId="63518B0F" w14:textId="77777777" w:rsidR="002B528D" w:rsidRPr="00D15CE8" w:rsidRDefault="002B528D" w:rsidP="002B528D">
      <w:pPr>
        <w:spacing w:after="0"/>
        <w:jc w:val="both"/>
        <w:rPr>
          <w:sz w:val="24"/>
          <w:szCs w:val="24"/>
        </w:rPr>
      </w:pPr>
    </w:p>
    <w:p w14:paraId="4A509B6F" w14:textId="77777777" w:rsidR="002B528D" w:rsidRPr="00D15CE8" w:rsidRDefault="002B528D" w:rsidP="002B528D">
      <w:pPr>
        <w:spacing w:after="0"/>
        <w:jc w:val="both"/>
        <w:rPr>
          <w:sz w:val="24"/>
          <w:szCs w:val="24"/>
        </w:rPr>
      </w:pPr>
      <w:r w:rsidRPr="00D15CE8">
        <w:rPr>
          <w:sz w:val="24"/>
          <w:szCs w:val="24"/>
        </w:rPr>
        <w:t xml:space="preserve">Z powyższych względów Trybunał (pierwsza izba) orzeka, co następuje: </w:t>
      </w:r>
    </w:p>
    <w:p w14:paraId="1167DB20" w14:textId="77777777" w:rsidR="002B528D" w:rsidRPr="00D15CE8" w:rsidRDefault="002B528D" w:rsidP="002B528D">
      <w:pPr>
        <w:spacing w:after="0"/>
        <w:jc w:val="both"/>
        <w:rPr>
          <w:sz w:val="24"/>
          <w:szCs w:val="24"/>
        </w:rPr>
      </w:pPr>
      <w:r w:rsidRPr="00D15CE8">
        <w:rPr>
          <w:sz w:val="24"/>
          <w:szCs w:val="24"/>
        </w:rPr>
        <w:t xml:space="preserve">1) Odwołanie zostaje oddalone. </w:t>
      </w:r>
    </w:p>
    <w:p w14:paraId="584E2062" w14:textId="77777777" w:rsidR="002B528D" w:rsidRPr="00D15CE8" w:rsidRDefault="002B528D" w:rsidP="002B528D">
      <w:pPr>
        <w:spacing w:after="0"/>
        <w:jc w:val="both"/>
        <w:rPr>
          <w:sz w:val="24"/>
          <w:szCs w:val="24"/>
        </w:rPr>
      </w:pPr>
      <w:r w:rsidRPr="00D15CE8">
        <w:rPr>
          <w:sz w:val="24"/>
          <w:szCs w:val="24"/>
        </w:rPr>
        <w:t>2) Urząd Harmonizacji w ramach Rynku Wewnętrznego (znaki towarowe i wzory) (OHIM) zostaje obciążony kosztami postępowania.</w:t>
      </w:r>
    </w:p>
    <w:p w14:paraId="483D2D90" w14:textId="77777777" w:rsidR="002B528D" w:rsidRPr="00D15CE8" w:rsidRDefault="002B528D" w:rsidP="002B528D">
      <w:pPr>
        <w:spacing w:after="0"/>
        <w:jc w:val="both"/>
        <w:rPr>
          <w:sz w:val="24"/>
          <w:szCs w:val="24"/>
        </w:rPr>
      </w:pPr>
    </w:p>
    <w:p w14:paraId="6E09BE9B" w14:textId="77777777" w:rsidR="002B528D" w:rsidRPr="00D15CE8" w:rsidRDefault="002B528D" w:rsidP="002B528D">
      <w:pPr>
        <w:spacing w:after="0"/>
        <w:jc w:val="both"/>
        <w:rPr>
          <w:b/>
          <w:bCs/>
          <w:sz w:val="24"/>
          <w:szCs w:val="24"/>
        </w:rPr>
      </w:pPr>
      <w:r w:rsidRPr="00D15CE8">
        <w:rPr>
          <w:b/>
          <w:bCs/>
          <w:sz w:val="24"/>
          <w:szCs w:val="24"/>
        </w:rPr>
        <w:t>Podsumowanie</w:t>
      </w:r>
    </w:p>
    <w:p w14:paraId="06E24396" w14:textId="77777777" w:rsidR="002B528D" w:rsidRPr="00D15CE8" w:rsidRDefault="002B528D" w:rsidP="002B528D">
      <w:pPr>
        <w:spacing w:after="0"/>
        <w:jc w:val="both"/>
        <w:rPr>
          <w:sz w:val="24"/>
          <w:szCs w:val="24"/>
        </w:rPr>
      </w:pPr>
    </w:p>
    <w:p w14:paraId="31478DF6" w14:textId="77777777" w:rsidR="002B528D" w:rsidRPr="00D15CE8" w:rsidRDefault="002B528D" w:rsidP="002B528D">
      <w:pPr>
        <w:spacing w:after="0"/>
        <w:jc w:val="both"/>
        <w:rPr>
          <w:sz w:val="24"/>
          <w:szCs w:val="24"/>
        </w:rPr>
      </w:pPr>
      <w:r w:rsidRPr="00D15CE8">
        <w:rPr>
          <w:b/>
          <w:bCs/>
          <w:sz w:val="24"/>
          <w:szCs w:val="24"/>
        </w:rPr>
        <w:t>Wymóg dokonania konkretnej oceny zdolności danego oznaczenia do odróżniania towarów lub usług objętych zgłoszeniem od towarów lub usług innych</w:t>
      </w:r>
      <w:r w:rsidRPr="00D15CE8">
        <w:rPr>
          <w:sz w:val="24"/>
          <w:szCs w:val="24"/>
        </w:rPr>
        <w:t xml:space="preserve"> przedsiębiorstw pozwala pogodzić podstawę odmowy rejestracji przewidzianą w </w:t>
      </w:r>
      <w:r w:rsidRPr="00D15CE8">
        <w:rPr>
          <w:b/>
          <w:bCs/>
          <w:sz w:val="24"/>
          <w:szCs w:val="24"/>
        </w:rPr>
        <w:t>art. 7 ust. 1 lit. b)</w:t>
      </w:r>
      <w:r w:rsidRPr="00D15CE8">
        <w:rPr>
          <w:sz w:val="24"/>
          <w:szCs w:val="24"/>
        </w:rPr>
        <w:t xml:space="preserve"> rozporządzenia </w:t>
      </w:r>
      <w:r w:rsidRPr="00D15CE8">
        <w:rPr>
          <w:b/>
          <w:bCs/>
          <w:sz w:val="24"/>
          <w:szCs w:val="24"/>
        </w:rPr>
        <w:t>nr</w:t>
      </w:r>
      <w:r w:rsidRPr="00D15CE8">
        <w:rPr>
          <w:sz w:val="24"/>
          <w:szCs w:val="24"/>
        </w:rPr>
        <w:t xml:space="preserve"> </w:t>
      </w:r>
      <w:r w:rsidRPr="00D15CE8">
        <w:rPr>
          <w:b/>
          <w:bCs/>
          <w:sz w:val="24"/>
          <w:szCs w:val="24"/>
        </w:rPr>
        <w:t>40/94</w:t>
      </w:r>
      <w:r w:rsidRPr="00D15CE8">
        <w:rPr>
          <w:sz w:val="24"/>
          <w:szCs w:val="24"/>
        </w:rPr>
        <w:t xml:space="preserve"> w sprawie wspólnotowego znaku towarowego, z ustanowieniem w </w:t>
      </w:r>
      <w:r w:rsidRPr="00D15CE8">
        <w:rPr>
          <w:b/>
          <w:bCs/>
          <w:sz w:val="24"/>
          <w:szCs w:val="24"/>
        </w:rPr>
        <w:t>art. 4</w:t>
      </w:r>
      <w:r w:rsidRPr="00D15CE8">
        <w:rPr>
          <w:sz w:val="24"/>
          <w:szCs w:val="24"/>
        </w:rPr>
        <w:t xml:space="preserve"> wspomnianego rozporządzenia ogólnej zdolności danego oznaczenia do tego, aby mogło zostać zarejestrowane jako znak towarowy. </w:t>
      </w:r>
    </w:p>
    <w:p w14:paraId="211DE040" w14:textId="77777777" w:rsidR="002B528D" w:rsidRPr="00D15CE8" w:rsidRDefault="002B528D" w:rsidP="002B528D">
      <w:pPr>
        <w:spacing w:after="0"/>
        <w:jc w:val="both"/>
        <w:rPr>
          <w:sz w:val="24"/>
          <w:szCs w:val="24"/>
        </w:rPr>
      </w:pPr>
    </w:p>
    <w:p w14:paraId="1230AE7A" w14:textId="77777777" w:rsidR="002B528D" w:rsidRPr="00D15CE8" w:rsidRDefault="002B528D" w:rsidP="002B528D">
      <w:pPr>
        <w:spacing w:after="0"/>
        <w:jc w:val="both"/>
        <w:rPr>
          <w:b/>
          <w:bCs/>
          <w:sz w:val="24"/>
          <w:szCs w:val="24"/>
        </w:rPr>
      </w:pPr>
      <w:r w:rsidRPr="00D15CE8">
        <w:rPr>
          <w:sz w:val="24"/>
          <w:szCs w:val="24"/>
        </w:rPr>
        <w:t xml:space="preserve">W tym względzie, o ile z orzecznictwa wynika, że </w:t>
      </w:r>
      <w:r w:rsidRPr="00D15CE8">
        <w:rPr>
          <w:b/>
          <w:bCs/>
          <w:sz w:val="24"/>
          <w:szCs w:val="24"/>
        </w:rPr>
        <w:t xml:space="preserve">Trybunał uznał istnienie niektórych kategorii oznaczeń, u których ustalenie charakteru odróżniającego </w:t>
      </w:r>
      <w:r w:rsidRPr="00D15CE8">
        <w:rPr>
          <w:b/>
          <w:bCs/>
          <w:i/>
          <w:iCs/>
          <w:sz w:val="24"/>
          <w:szCs w:val="24"/>
        </w:rPr>
        <w:t>ab initio</w:t>
      </w:r>
      <w:r w:rsidRPr="00D15CE8">
        <w:rPr>
          <w:b/>
          <w:bCs/>
          <w:sz w:val="24"/>
          <w:szCs w:val="24"/>
        </w:rPr>
        <w:t xml:space="preserve"> wiąże się z większymi trudnościami,</w:t>
      </w:r>
      <w:r w:rsidRPr="00D15CE8">
        <w:rPr>
          <w:sz w:val="24"/>
          <w:szCs w:val="24"/>
        </w:rPr>
        <w:t xml:space="preserve"> o tyle </w:t>
      </w:r>
      <w:r w:rsidRPr="00D15CE8">
        <w:rPr>
          <w:b/>
          <w:bCs/>
          <w:sz w:val="24"/>
          <w:szCs w:val="24"/>
        </w:rPr>
        <w:t xml:space="preserve">nie zwolnił on urzędów właściwych w sprawie znaków towarowych z </w:t>
      </w:r>
      <w:r w:rsidRPr="00D15CE8">
        <w:rPr>
          <w:b/>
          <w:bCs/>
          <w:sz w:val="24"/>
          <w:szCs w:val="24"/>
        </w:rPr>
        <w:lastRenderedPageBreak/>
        <w:t>obowiązku przeprowadzenia badania</w:t>
      </w:r>
      <w:r w:rsidRPr="00D15CE8">
        <w:rPr>
          <w:sz w:val="24"/>
          <w:szCs w:val="24"/>
        </w:rPr>
        <w:t xml:space="preserve"> </w:t>
      </w:r>
      <w:r w:rsidRPr="00D15CE8">
        <w:rPr>
          <w:i/>
          <w:iCs/>
          <w:sz w:val="24"/>
          <w:szCs w:val="24"/>
        </w:rPr>
        <w:t>in concreto</w:t>
      </w:r>
      <w:r w:rsidRPr="00D15CE8">
        <w:rPr>
          <w:sz w:val="24"/>
          <w:szCs w:val="24"/>
        </w:rPr>
        <w:t xml:space="preserve"> </w:t>
      </w:r>
      <w:r w:rsidRPr="00D15CE8">
        <w:rPr>
          <w:b/>
          <w:bCs/>
          <w:sz w:val="24"/>
          <w:szCs w:val="24"/>
        </w:rPr>
        <w:t>charakteru odróżniającego takich oznaczeń.</w:t>
      </w:r>
    </w:p>
    <w:p w14:paraId="70A22CC6" w14:textId="77777777" w:rsidR="002B528D" w:rsidRPr="00D15CE8" w:rsidRDefault="002B528D" w:rsidP="002B528D">
      <w:pPr>
        <w:spacing w:after="0"/>
        <w:jc w:val="both"/>
        <w:rPr>
          <w:b/>
          <w:bCs/>
          <w:sz w:val="24"/>
          <w:szCs w:val="24"/>
        </w:rPr>
      </w:pPr>
    </w:p>
    <w:p w14:paraId="189C9973" w14:textId="77777777" w:rsidR="002B528D" w:rsidRPr="00D15CE8" w:rsidRDefault="002B528D" w:rsidP="002B528D">
      <w:pPr>
        <w:spacing w:after="0"/>
        <w:jc w:val="both"/>
        <w:rPr>
          <w:sz w:val="24"/>
          <w:szCs w:val="24"/>
        </w:rPr>
      </w:pPr>
      <w:r w:rsidRPr="00D15CE8">
        <w:rPr>
          <w:sz w:val="24"/>
          <w:szCs w:val="24"/>
        </w:rPr>
        <w:t xml:space="preserve">Co się tyczy w szczególności </w:t>
      </w:r>
      <w:r w:rsidRPr="00D15CE8">
        <w:rPr>
          <w:b/>
          <w:bCs/>
          <w:sz w:val="24"/>
          <w:szCs w:val="24"/>
          <w:u w:val="single"/>
        </w:rPr>
        <w:t>oznaczenia tworzonego przez pojedynczą literę</w:t>
      </w:r>
      <w:r w:rsidRPr="00D15CE8">
        <w:rPr>
          <w:sz w:val="24"/>
          <w:szCs w:val="24"/>
          <w:u w:val="single"/>
        </w:rPr>
        <w:t>, do której nie wprowadzono żadnych zmian graficznych,</w:t>
      </w:r>
      <w:r w:rsidRPr="00D15CE8">
        <w:rPr>
          <w:sz w:val="24"/>
          <w:szCs w:val="24"/>
        </w:rPr>
        <w:t xml:space="preserve"> </w:t>
      </w:r>
      <w:r w:rsidRPr="00D15CE8">
        <w:rPr>
          <w:b/>
          <w:bCs/>
          <w:sz w:val="24"/>
          <w:szCs w:val="24"/>
          <w:u w:val="single"/>
        </w:rPr>
        <w:t>rejestracja oznaczenia jako znaku towarowego nie jest zależna od stwierdzenia określonego poziomu kreatywności lub wyobraźni językowej</w:t>
      </w:r>
      <w:r w:rsidRPr="00D15CE8">
        <w:rPr>
          <w:sz w:val="24"/>
          <w:szCs w:val="24"/>
        </w:rPr>
        <w:t xml:space="preserve"> </w:t>
      </w:r>
      <w:r w:rsidRPr="00D15CE8">
        <w:rPr>
          <w:sz w:val="24"/>
          <w:szCs w:val="24"/>
          <w:u w:val="single"/>
        </w:rPr>
        <w:t>czy artystycznej u właściciela znaku</w:t>
      </w:r>
      <w:r w:rsidRPr="00D15CE8">
        <w:rPr>
          <w:sz w:val="24"/>
          <w:szCs w:val="24"/>
        </w:rPr>
        <w:t>.</w:t>
      </w:r>
    </w:p>
    <w:p w14:paraId="4AB78B72" w14:textId="77777777" w:rsidR="002B528D" w:rsidRPr="00D15CE8" w:rsidRDefault="002B528D" w:rsidP="002B528D">
      <w:pPr>
        <w:spacing w:after="0"/>
        <w:jc w:val="both"/>
        <w:rPr>
          <w:sz w:val="24"/>
          <w:szCs w:val="24"/>
        </w:rPr>
      </w:pPr>
    </w:p>
    <w:p w14:paraId="7E6D76DE" w14:textId="77777777" w:rsidR="002B528D" w:rsidRPr="00D15CE8" w:rsidRDefault="002B528D" w:rsidP="002B528D">
      <w:pPr>
        <w:spacing w:after="0"/>
        <w:jc w:val="both"/>
        <w:rPr>
          <w:sz w:val="24"/>
          <w:szCs w:val="24"/>
        </w:rPr>
      </w:pPr>
      <w:r w:rsidRPr="00D15CE8">
        <w:rPr>
          <w:sz w:val="24"/>
          <w:szCs w:val="24"/>
        </w:rPr>
        <w:t xml:space="preserve">Z powyższego wynika, że właśnie z uwagi na to, iż </w:t>
      </w:r>
      <w:r w:rsidRPr="00D15CE8">
        <w:rPr>
          <w:b/>
          <w:bCs/>
          <w:sz w:val="24"/>
          <w:szCs w:val="24"/>
        </w:rPr>
        <w:t>w przypadku znaku towarowego tworzonego przez pojedynczą literę ustalenie charakteru odróżniającego może okazać się trudniejsze niż w przypadku innych słownych znaków towarowych</w:t>
      </w:r>
      <w:r w:rsidRPr="00D15CE8">
        <w:rPr>
          <w:sz w:val="24"/>
          <w:szCs w:val="24"/>
        </w:rPr>
        <w:t xml:space="preserve">, Urząd Harmonizacji w ramach Rynku Wewnętrznego (znaki towarowe i wzory) </w:t>
      </w:r>
      <w:r w:rsidRPr="00D15CE8">
        <w:rPr>
          <w:b/>
          <w:bCs/>
          <w:sz w:val="24"/>
          <w:szCs w:val="24"/>
        </w:rPr>
        <w:t>jest zobowiązany dokonać oceny zdolności danego oznaczenia do odróżniania poszczególnych towarów lub usług w ramach konkretnej analizy</w:t>
      </w:r>
      <w:r w:rsidRPr="00D15CE8">
        <w:rPr>
          <w:sz w:val="24"/>
          <w:szCs w:val="24"/>
        </w:rPr>
        <w:t xml:space="preserve"> odnoszącej się do tych towarów lub usług. </w:t>
      </w:r>
    </w:p>
    <w:p w14:paraId="4876166A" w14:textId="77777777" w:rsidR="002B528D" w:rsidRPr="00EC4F25" w:rsidRDefault="002B528D" w:rsidP="002B528D">
      <w:pPr>
        <w:spacing w:after="0"/>
        <w:jc w:val="both"/>
        <w:rPr>
          <w:b/>
          <w:bCs/>
        </w:rPr>
      </w:pPr>
      <w:r w:rsidRPr="00D15CE8">
        <w:rPr>
          <w:sz w:val="24"/>
          <w:szCs w:val="24"/>
        </w:rPr>
        <w:t>(por. pkt 36-39)</w:t>
      </w:r>
    </w:p>
    <w:p w14:paraId="0AD7274F" w14:textId="77777777" w:rsidR="005A2B42" w:rsidRDefault="005A2B42">
      <w:pPr>
        <w:rPr>
          <w:rFonts w:cstheme="minorHAnsi"/>
        </w:rPr>
      </w:pPr>
    </w:p>
    <w:p w14:paraId="64517C12" w14:textId="77777777" w:rsidR="005A2B42" w:rsidRDefault="005A2B42" w:rsidP="005A2B42">
      <w:pPr>
        <w:spacing w:after="0"/>
        <w:rPr>
          <w:b/>
          <w:bCs/>
          <w:sz w:val="24"/>
          <w:szCs w:val="24"/>
        </w:rPr>
      </w:pPr>
      <w:r w:rsidRPr="000E493F">
        <w:rPr>
          <w:b/>
          <w:bCs/>
          <w:sz w:val="24"/>
          <w:szCs w:val="24"/>
        </w:rPr>
        <w:t xml:space="preserve">Pojęcia kluczowe: </w:t>
      </w:r>
      <w:r w:rsidRPr="00D15CE8">
        <w:rPr>
          <w:sz w:val="24"/>
          <w:szCs w:val="24"/>
        </w:rPr>
        <w:t>PRAWO WŁASNOŚCI PRZEMYSŁOWEJ</w:t>
      </w:r>
      <w:r>
        <w:rPr>
          <w:sz w:val="24"/>
          <w:szCs w:val="24"/>
        </w:rPr>
        <w:t xml:space="preserve">, </w:t>
      </w:r>
      <w:r w:rsidRPr="00D15CE8">
        <w:rPr>
          <w:sz w:val="24"/>
          <w:szCs w:val="24"/>
        </w:rPr>
        <w:t>ART. 120</w:t>
      </w:r>
    </w:p>
    <w:p w14:paraId="4DFF530B" w14:textId="41C8C127" w:rsidR="005A2B42" w:rsidRPr="005A2B42" w:rsidRDefault="005A2B42" w:rsidP="005A2B42">
      <w:pPr>
        <w:spacing w:after="0"/>
        <w:rPr>
          <w:sz w:val="24"/>
          <w:szCs w:val="24"/>
        </w:rPr>
      </w:pPr>
      <w:r w:rsidRPr="005A2B42">
        <w:rPr>
          <w:sz w:val="24"/>
          <w:szCs w:val="24"/>
        </w:rPr>
        <w:t xml:space="preserve">Zgłoszenie oznaczenia graficznego „α” znak towarowy tworzony przez pojedynczą literę (OHIM przeciwko </w:t>
      </w:r>
      <w:proofErr w:type="spellStart"/>
      <w:r w:rsidRPr="005A2B42">
        <w:rPr>
          <w:sz w:val="24"/>
          <w:szCs w:val="24"/>
        </w:rPr>
        <w:t>Borco</w:t>
      </w:r>
      <w:proofErr w:type="spellEnd"/>
      <w:r w:rsidRPr="005A2B42">
        <w:rPr>
          <w:sz w:val="24"/>
          <w:szCs w:val="24"/>
        </w:rPr>
        <w:t>-</w:t>
      </w:r>
      <w:proofErr w:type="spellStart"/>
      <w:r w:rsidRPr="005A2B42">
        <w:rPr>
          <w:sz w:val="24"/>
          <w:szCs w:val="24"/>
        </w:rPr>
        <w:t>Marken</w:t>
      </w:r>
      <w:proofErr w:type="spellEnd"/>
      <w:r w:rsidRPr="005A2B42">
        <w:rPr>
          <w:sz w:val="24"/>
          <w:szCs w:val="24"/>
        </w:rPr>
        <w:t xml:space="preserve">-Import </w:t>
      </w:r>
      <w:proofErr w:type="spellStart"/>
      <w:r w:rsidRPr="005A2B42">
        <w:rPr>
          <w:sz w:val="24"/>
          <w:szCs w:val="24"/>
        </w:rPr>
        <w:t>Matthiesen</w:t>
      </w:r>
      <w:proofErr w:type="spellEnd"/>
      <w:r w:rsidRPr="005A2B42">
        <w:rPr>
          <w:sz w:val="24"/>
          <w:szCs w:val="24"/>
        </w:rPr>
        <w:t>).</w:t>
      </w:r>
    </w:p>
    <w:p w14:paraId="252525FA" w14:textId="1DB383E2" w:rsidR="002B528D" w:rsidRPr="00EC4F25" w:rsidRDefault="002B528D">
      <w:pPr>
        <w:rPr>
          <w:rFonts w:cstheme="minorHAnsi"/>
        </w:rPr>
      </w:pPr>
      <w:r w:rsidRPr="00EC4F25">
        <w:rPr>
          <w:rFonts w:cstheme="minorHAnsi"/>
        </w:rPr>
        <w:br w:type="page"/>
      </w:r>
    </w:p>
    <w:p w14:paraId="2AE35F40" w14:textId="29D12615" w:rsidR="00A66599" w:rsidRPr="0030504A" w:rsidRDefault="00E76D44" w:rsidP="00E670F5">
      <w:pPr>
        <w:pStyle w:val="USTustnpkodeksu"/>
        <w:spacing w:line="240" w:lineRule="auto"/>
        <w:ind w:firstLine="0"/>
        <w:rPr>
          <w:rStyle w:val="Nagwek2Znak"/>
          <w:rFonts w:asciiTheme="minorHAnsi" w:hAnsiTheme="minorHAnsi"/>
          <w:sz w:val="20"/>
          <w:szCs w:val="20"/>
        </w:rPr>
      </w:pPr>
      <w:bookmarkStart w:id="104" w:name="_Hlk160653181"/>
      <w:r>
        <w:rPr>
          <w:rStyle w:val="Nagwek2Znak"/>
          <w:rFonts w:asciiTheme="minorHAnsi" w:hAnsiTheme="minorHAnsi"/>
        </w:rPr>
        <w:lastRenderedPageBreak/>
        <w:br/>
      </w:r>
      <w:r w:rsidR="00A66599" w:rsidRPr="0030504A">
        <w:rPr>
          <w:rStyle w:val="Nagwek2Znak"/>
          <w:rFonts w:asciiTheme="minorHAnsi" w:hAnsiTheme="minorHAnsi"/>
          <w:noProof/>
          <w:sz w:val="20"/>
          <w:szCs w:val="20"/>
        </w:rPr>
        <w:drawing>
          <wp:anchor distT="0" distB="0" distL="114300" distR="114300" simplePos="0" relativeHeight="251885568" behindDoc="0" locked="0" layoutInCell="1" allowOverlap="1" wp14:anchorId="6EECCA1A" wp14:editId="4259FB00">
            <wp:simplePos x="0" y="0"/>
            <wp:positionH relativeFrom="column">
              <wp:posOffset>27305</wp:posOffset>
            </wp:positionH>
            <wp:positionV relativeFrom="paragraph">
              <wp:posOffset>97155</wp:posOffset>
            </wp:positionV>
            <wp:extent cx="1980000" cy="1080000"/>
            <wp:effectExtent l="0" t="0" r="1270" b="6350"/>
            <wp:wrapThrough wrapText="bothSides">
              <wp:wrapPolygon edited="0">
                <wp:start x="0" y="0"/>
                <wp:lineTo x="0" y="21346"/>
                <wp:lineTo x="21406" y="21346"/>
                <wp:lineTo x="21406" y="0"/>
                <wp:lineTo x="0" y="0"/>
              </wp:wrapPolygon>
            </wp:wrapThrough>
            <wp:docPr id="1321842837" name="Obraz 14" descr="Obraz zawierający owoce, Słodycz, jedzenie, jagody&#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1842837" name="Obraz 14" descr="Obraz zawierający owoce, Słodycz, jedzenie, jagody&#10;&#10;Opis wygenerowany automatyczni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6599" w:rsidRPr="0030504A">
        <w:rPr>
          <w:rStyle w:val="Nagwek2Znak"/>
          <w:rFonts w:asciiTheme="minorHAnsi" w:hAnsiTheme="minorHAnsi"/>
          <w:noProof/>
          <w:sz w:val="20"/>
          <w:szCs w:val="20"/>
        </w:rPr>
        <mc:AlternateContent>
          <mc:Choice Requires="wps">
            <w:drawing>
              <wp:anchor distT="0" distB="0" distL="114300" distR="114300" simplePos="0" relativeHeight="251883520" behindDoc="0" locked="0" layoutInCell="1" allowOverlap="1" wp14:anchorId="6E8697F3" wp14:editId="0CE9A765">
                <wp:simplePos x="0" y="0"/>
                <wp:positionH relativeFrom="margin">
                  <wp:posOffset>-98755</wp:posOffset>
                </wp:positionH>
                <wp:positionV relativeFrom="paragraph">
                  <wp:posOffset>-383540</wp:posOffset>
                </wp:positionV>
                <wp:extent cx="527050" cy="372745"/>
                <wp:effectExtent l="0" t="0" r="6350" b="8255"/>
                <wp:wrapNone/>
                <wp:docPr id="2066172135"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3E75A883" w14:textId="4A9564D9" w:rsidR="00541DD6" w:rsidRPr="00142068" w:rsidRDefault="00E758CD" w:rsidP="0033040A">
                            <w:pPr>
                              <w:pStyle w:val="NumeracjaRozdzial"/>
                            </w:pPr>
                            <w:r>
                              <w:t>4</w:t>
                            </w:r>
                            <w:r w:rsidR="00541DD6" w:rsidRPr="00142068">
                              <w:t>.</w:t>
                            </w:r>
                          </w:p>
                          <w:p w14:paraId="42CE91D1" w14:textId="77777777" w:rsidR="00541DD6" w:rsidRDefault="00541DD6" w:rsidP="00A66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8697F3" id="_x0000_s1041" type="#_x0000_t202" style="position:absolute;left:0;text-align:left;margin-left:-7.8pt;margin-top:-30.2pt;width:41.5pt;height:29.35pt;z-index:251883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" fillcolor="white [3201]" stroked="f" strokeweight=".5pt">
                <v:textbox>
                  <w:txbxContent>
                    <w:p w14:paraId="3E75A883" w14:textId="4A9564D9" w:rsidR="00541DD6" w:rsidRPr="00142068" w:rsidRDefault="00E758CD" w:rsidP="0033040A">
                      <w:pPr>
                        <w:pStyle w:val="NumeracjaRozdzial"/>
                      </w:pPr>
                      <w:r>
                        <w:t>4</w:t>
                      </w:r>
                      <w:r w:rsidR="00541DD6" w:rsidRPr="00142068">
                        <w:t>.</w:t>
                      </w:r>
                    </w:p>
                    <w:p w14:paraId="42CE91D1" w14:textId="77777777" w:rsidR="00541DD6" w:rsidRDefault="00541DD6" w:rsidP="00A66599"/>
                  </w:txbxContent>
                </v:textbox>
                <w10:wrap anchorx="margin"/>
              </v:shape>
            </w:pict>
          </mc:Fallback>
        </mc:AlternateContent>
      </w:r>
    </w:p>
    <w:p w14:paraId="725E618C" w14:textId="77777777" w:rsidR="0030504A" w:rsidRDefault="0030504A" w:rsidP="0030504A">
      <w:pPr>
        <w:pStyle w:val="USTustnpkodeksu"/>
        <w:spacing w:line="240" w:lineRule="auto"/>
        <w:ind w:firstLine="0"/>
        <w:rPr>
          <w:rStyle w:val="Nagwek2Znak"/>
          <w:rFonts w:asciiTheme="minorHAnsi" w:hAnsiTheme="minorHAnsi"/>
        </w:rPr>
      </w:pPr>
      <w:bookmarkStart w:id="105" w:name="_Toc170117983"/>
      <w:r w:rsidRPr="00E76D44">
        <w:rPr>
          <w:rStyle w:val="Nagwek2Znak"/>
          <w:rFonts w:asciiTheme="minorHAnsi" w:hAnsiTheme="minorHAnsi"/>
        </w:rPr>
        <w:t>Prawo z rejestracji przestrzennego znaku towarowego w postaci ciastka delicje R-116211 zostało unieważnione</w:t>
      </w:r>
      <w:r>
        <w:rPr>
          <w:rStyle w:val="Nagwek2Znak"/>
          <w:rFonts w:asciiTheme="minorHAnsi" w:hAnsiTheme="minorHAnsi"/>
        </w:rPr>
        <w:t xml:space="preserve"> </w:t>
      </w:r>
      <w:r w:rsidRPr="00E76D44">
        <w:rPr>
          <w:rStyle w:val="Nagwek2Znak"/>
          <w:rFonts w:asciiTheme="minorHAnsi" w:hAnsiTheme="minorHAnsi"/>
        </w:rPr>
        <w:t>decyzj</w:t>
      </w:r>
      <w:r>
        <w:rPr>
          <w:rStyle w:val="Nagwek2Znak"/>
          <w:rFonts w:asciiTheme="minorHAnsi" w:hAnsiTheme="minorHAnsi"/>
        </w:rPr>
        <w:t>ą</w:t>
      </w:r>
      <w:r w:rsidRPr="00E76D44">
        <w:rPr>
          <w:rStyle w:val="Nagwek2Znak"/>
          <w:rFonts w:asciiTheme="minorHAnsi" w:hAnsiTheme="minorHAnsi"/>
        </w:rPr>
        <w:t xml:space="preserve"> UP RP z dnia 26.03.2003</w:t>
      </w:r>
      <w:r>
        <w:rPr>
          <w:rStyle w:val="Nagwek2Znak"/>
          <w:rFonts w:asciiTheme="minorHAnsi" w:hAnsiTheme="minorHAnsi"/>
        </w:rPr>
        <w:t xml:space="preserve"> r.</w:t>
      </w:r>
      <w:bookmarkEnd w:id="105"/>
    </w:p>
    <w:p w14:paraId="3DAEB4E4" w14:textId="77777777" w:rsidR="0030504A" w:rsidRDefault="0030504A" w:rsidP="00E670F5">
      <w:pPr>
        <w:pStyle w:val="USTustnpkodeksu"/>
        <w:spacing w:line="240" w:lineRule="auto"/>
        <w:ind w:firstLine="0"/>
        <w:rPr>
          <w:rStyle w:val="Nagwek2Znak"/>
          <w:rFonts w:asciiTheme="minorHAnsi" w:hAnsiTheme="minorHAnsi"/>
        </w:rPr>
      </w:pPr>
    </w:p>
    <w:p w14:paraId="43D4BD50" w14:textId="77777777" w:rsidR="0030504A" w:rsidRPr="00E76D44" w:rsidRDefault="0030504A" w:rsidP="00E670F5">
      <w:pPr>
        <w:pStyle w:val="USTustnpkodeksu"/>
        <w:spacing w:line="240" w:lineRule="auto"/>
        <w:ind w:firstLine="0"/>
        <w:rPr>
          <w:rFonts w:cstheme="minorHAnsi"/>
          <w:b/>
          <w:bCs w:val="0"/>
          <w:noProof/>
          <w:szCs w:val="24"/>
        </w:rPr>
      </w:pPr>
    </w:p>
    <w:p w14:paraId="58F232EA" w14:textId="636CFB8C" w:rsidR="00EE7D4F" w:rsidRPr="0030504A" w:rsidRDefault="00EE7D4F" w:rsidP="001121F0">
      <w:pPr>
        <w:spacing w:after="0"/>
        <w:rPr>
          <w:b/>
          <w:bCs/>
          <w:sz w:val="2"/>
          <w:szCs w:val="2"/>
        </w:rPr>
      </w:pPr>
    </w:p>
    <w:p w14:paraId="2C0A31AB" w14:textId="77777777" w:rsidR="0030504A" w:rsidRDefault="0030504A" w:rsidP="001121F0">
      <w:pPr>
        <w:spacing w:after="0"/>
        <w:rPr>
          <w:b/>
          <w:bCs/>
          <w:sz w:val="24"/>
          <w:szCs w:val="24"/>
        </w:rPr>
      </w:pPr>
    </w:p>
    <w:p w14:paraId="536C89C9" w14:textId="77777777" w:rsidR="0030504A" w:rsidRDefault="0030504A" w:rsidP="001121F0">
      <w:pPr>
        <w:spacing w:after="0"/>
        <w:rPr>
          <w:b/>
          <w:bCs/>
          <w:sz w:val="24"/>
          <w:szCs w:val="24"/>
        </w:rPr>
      </w:pPr>
    </w:p>
    <w:p w14:paraId="72F5B69A" w14:textId="7ABAA1A3" w:rsidR="001121F0" w:rsidRPr="0030504A" w:rsidRDefault="001121F0" w:rsidP="0030504A">
      <w:pPr>
        <w:rPr>
          <w:b/>
          <w:bCs/>
          <w:sz w:val="24"/>
          <w:szCs w:val="24"/>
        </w:rPr>
      </w:pPr>
      <w:r w:rsidRPr="0030504A">
        <w:rPr>
          <w:b/>
          <w:bCs/>
          <w:sz w:val="24"/>
          <w:szCs w:val="24"/>
        </w:rPr>
        <w:t xml:space="preserve">URZĄD PATENTOWY </w:t>
      </w:r>
    </w:p>
    <w:p w14:paraId="576B3A17" w14:textId="24F8BE04" w:rsidR="001121F0" w:rsidRPr="0030504A" w:rsidRDefault="001121F0" w:rsidP="00CB15BC">
      <w:pPr>
        <w:tabs>
          <w:tab w:val="left" w:pos="4005"/>
        </w:tabs>
        <w:spacing w:after="0"/>
        <w:rPr>
          <w:b/>
          <w:bCs/>
          <w:sz w:val="24"/>
          <w:szCs w:val="24"/>
        </w:rPr>
      </w:pPr>
      <w:r w:rsidRPr="0030504A">
        <w:rPr>
          <w:b/>
          <w:bCs/>
          <w:sz w:val="24"/>
          <w:szCs w:val="24"/>
        </w:rPr>
        <w:t xml:space="preserve">RZECZYPOSPOLITEJ POLSKIEJ </w:t>
      </w:r>
      <w:r w:rsidR="00CB15BC" w:rsidRPr="0030504A">
        <w:rPr>
          <w:b/>
          <w:bCs/>
          <w:sz w:val="24"/>
          <w:szCs w:val="24"/>
        </w:rPr>
        <w:tab/>
      </w:r>
    </w:p>
    <w:p w14:paraId="47A05FD8" w14:textId="120BC741" w:rsidR="001121F0" w:rsidRPr="0030504A" w:rsidRDefault="001121F0" w:rsidP="001121F0">
      <w:pPr>
        <w:spacing w:after="0"/>
        <w:rPr>
          <w:b/>
          <w:bCs/>
          <w:sz w:val="24"/>
          <w:szCs w:val="24"/>
        </w:rPr>
      </w:pPr>
      <w:r w:rsidRPr="0030504A">
        <w:rPr>
          <w:b/>
          <w:bCs/>
          <w:sz w:val="24"/>
          <w:szCs w:val="24"/>
        </w:rPr>
        <w:t>Wydział Spraw Spornych</w:t>
      </w:r>
    </w:p>
    <w:p w14:paraId="6E89B2FD" w14:textId="1ECBEEC0" w:rsidR="001121F0" w:rsidRPr="0030504A" w:rsidRDefault="001121F0" w:rsidP="001121F0">
      <w:pPr>
        <w:spacing w:after="0"/>
        <w:rPr>
          <w:sz w:val="24"/>
          <w:szCs w:val="24"/>
        </w:rPr>
      </w:pPr>
      <w:r w:rsidRPr="0030504A">
        <w:rPr>
          <w:sz w:val="24"/>
          <w:szCs w:val="24"/>
        </w:rPr>
        <w:t>00-950 Warszawa, Al. Niepodległości 188</w:t>
      </w:r>
    </w:p>
    <w:p w14:paraId="33A485BA" w14:textId="77777777" w:rsidR="001121F0" w:rsidRPr="0030504A" w:rsidRDefault="001121F0" w:rsidP="001121F0">
      <w:pPr>
        <w:spacing w:after="0"/>
        <w:rPr>
          <w:sz w:val="24"/>
          <w:szCs w:val="24"/>
        </w:rPr>
      </w:pPr>
      <w:r w:rsidRPr="0030504A">
        <w:rPr>
          <w:sz w:val="24"/>
          <w:szCs w:val="24"/>
        </w:rPr>
        <w:t>skr. poczt 203</w:t>
      </w:r>
    </w:p>
    <w:p w14:paraId="49AB071D" w14:textId="77777777" w:rsidR="001121F0" w:rsidRPr="002428B7" w:rsidRDefault="001121F0" w:rsidP="001121F0">
      <w:pPr>
        <w:spacing w:after="0"/>
        <w:rPr>
          <w:sz w:val="24"/>
          <w:szCs w:val="24"/>
        </w:rPr>
      </w:pPr>
    </w:p>
    <w:p w14:paraId="413CB582" w14:textId="77777777" w:rsidR="001121F0" w:rsidRPr="002428B7" w:rsidRDefault="001121F0" w:rsidP="001121F0">
      <w:pPr>
        <w:spacing w:after="0"/>
        <w:rPr>
          <w:sz w:val="24"/>
          <w:szCs w:val="24"/>
        </w:rPr>
      </w:pPr>
      <w:r w:rsidRPr="002428B7">
        <w:rPr>
          <w:sz w:val="24"/>
          <w:szCs w:val="24"/>
        </w:rPr>
        <w:t>Sp. 215/01, 20/02, 55/02, 56/02, 75/02</w:t>
      </w:r>
    </w:p>
    <w:p w14:paraId="510C0B20" w14:textId="77777777" w:rsidR="001121F0" w:rsidRPr="002428B7" w:rsidRDefault="001121F0" w:rsidP="001121F0">
      <w:pPr>
        <w:spacing w:after="0"/>
        <w:jc w:val="both"/>
        <w:rPr>
          <w:b/>
          <w:bCs/>
          <w:i/>
          <w:iCs/>
          <w:sz w:val="24"/>
          <w:szCs w:val="24"/>
        </w:rPr>
      </w:pPr>
    </w:p>
    <w:p w14:paraId="5613AEBA" w14:textId="77777777" w:rsidR="001121F0" w:rsidRPr="00EC4F25" w:rsidRDefault="001121F0" w:rsidP="001121F0">
      <w:pPr>
        <w:spacing w:after="0"/>
        <w:jc w:val="center"/>
      </w:pPr>
    </w:p>
    <w:p w14:paraId="4C23092F" w14:textId="77777777" w:rsidR="001121F0" w:rsidRPr="002428B7" w:rsidRDefault="001121F0" w:rsidP="00FF4B86">
      <w:pPr>
        <w:spacing w:after="0"/>
        <w:ind w:left="2835" w:hanging="2835"/>
        <w:jc w:val="center"/>
        <w:rPr>
          <w:sz w:val="24"/>
          <w:szCs w:val="24"/>
        </w:rPr>
      </w:pPr>
      <w:r w:rsidRPr="002428B7">
        <w:rPr>
          <w:sz w:val="24"/>
          <w:szCs w:val="24"/>
        </w:rPr>
        <w:t xml:space="preserve">DECYZJA </w:t>
      </w:r>
    </w:p>
    <w:p w14:paraId="77243453" w14:textId="77777777" w:rsidR="001121F0" w:rsidRPr="002428B7" w:rsidRDefault="001121F0" w:rsidP="00FF4B86">
      <w:pPr>
        <w:spacing w:after="0"/>
        <w:ind w:left="2835" w:hanging="2835"/>
        <w:jc w:val="center"/>
        <w:rPr>
          <w:sz w:val="24"/>
          <w:szCs w:val="24"/>
        </w:rPr>
      </w:pPr>
      <w:r w:rsidRPr="002428B7">
        <w:rPr>
          <w:sz w:val="24"/>
          <w:szCs w:val="24"/>
        </w:rPr>
        <w:t>z dnia 26 marca 2003 r.</w:t>
      </w:r>
    </w:p>
    <w:p w14:paraId="42F855B4" w14:textId="77777777" w:rsidR="001121F0" w:rsidRPr="002428B7" w:rsidRDefault="001121F0" w:rsidP="001121F0">
      <w:pPr>
        <w:spacing w:after="0"/>
        <w:ind w:left="2835"/>
        <w:jc w:val="center"/>
        <w:rPr>
          <w:i/>
          <w:iCs/>
          <w:sz w:val="24"/>
          <w:szCs w:val="24"/>
        </w:rPr>
      </w:pPr>
    </w:p>
    <w:p w14:paraId="4BFCB67A" w14:textId="77777777" w:rsidR="001121F0" w:rsidRPr="002428B7" w:rsidRDefault="001121F0" w:rsidP="001121F0">
      <w:pPr>
        <w:spacing w:after="0"/>
        <w:ind w:firstLine="567"/>
        <w:rPr>
          <w:sz w:val="24"/>
          <w:szCs w:val="24"/>
        </w:rPr>
      </w:pPr>
      <w:r w:rsidRPr="002428B7">
        <w:rPr>
          <w:sz w:val="24"/>
          <w:szCs w:val="24"/>
        </w:rPr>
        <w:t xml:space="preserve">Urząd Patentowy RP działający w trybie postępowania spornego w składzie: </w:t>
      </w:r>
    </w:p>
    <w:p w14:paraId="38F1493A" w14:textId="77777777" w:rsidR="001121F0" w:rsidRPr="002428B7" w:rsidRDefault="001121F0" w:rsidP="001121F0">
      <w:pPr>
        <w:spacing w:after="0"/>
        <w:rPr>
          <w:sz w:val="24"/>
          <w:szCs w:val="24"/>
        </w:rPr>
      </w:pPr>
      <w:r w:rsidRPr="002428B7">
        <w:rPr>
          <w:sz w:val="24"/>
          <w:szCs w:val="24"/>
        </w:rPr>
        <w:t xml:space="preserve">Przewodniczący Kolegium Orzekającego                                Magdalena </w:t>
      </w:r>
      <w:proofErr w:type="spellStart"/>
      <w:r w:rsidRPr="002428B7">
        <w:rPr>
          <w:sz w:val="24"/>
          <w:szCs w:val="24"/>
        </w:rPr>
        <w:t>Zamilska</w:t>
      </w:r>
      <w:proofErr w:type="spellEnd"/>
    </w:p>
    <w:p w14:paraId="1B9306EC" w14:textId="77777777" w:rsidR="001121F0" w:rsidRPr="002428B7" w:rsidRDefault="001121F0" w:rsidP="001121F0">
      <w:pPr>
        <w:spacing w:after="0"/>
        <w:rPr>
          <w:sz w:val="24"/>
          <w:szCs w:val="24"/>
        </w:rPr>
      </w:pPr>
      <w:r w:rsidRPr="002428B7">
        <w:rPr>
          <w:sz w:val="24"/>
          <w:szCs w:val="24"/>
        </w:rPr>
        <w:t xml:space="preserve">Członkowie                                                                                   Sławomir Bogdan </w:t>
      </w:r>
    </w:p>
    <w:p w14:paraId="727D3ED5" w14:textId="77777777" w:rsidR="001121F0" w:rsidRPr="002428B7" w:rsidRDefault="001121F0" w:rsidP="001121F0">
      <w:pPr>
        <w:spacing w:after="0"/>
        <w:rPr>
          <w:sz w:val="24"/>
          <w:szCs w:val="24"/>
        </w:rPr>
      </w:pPr>
      <w:r w:rsidRPr="002428B7">
        <w:rPr>
          <w:sz w:val="24"/>
          <w:szCs w:val="24"/>
        </w:rPr>
        <w:t xml:space="preserve">                                                                                                       Maciej Bednarek</w:t>
      </w:r>
    </w:p>
    <w:p w14:paraId="49E06CEF" w14:textId="77777777" w:rsidR="001121F0" w:rsidRPr="002428B7" w:rsidRDefault="001121F0" w:rsidP="001121F0">
      <w:pPr>
        <w:spacing w:after="0"/>
        <w:rPr>
          <w:sz w:val="24"/>
          <w:szCs w:val="24"/>
        </w:rPr>
      </w:pPr>
      <w:r w:rsidRPr="002428B7">
        <w:rPr>
          <w:sz w:val="24"/>
          <w:szCs w:val="24"/>
        </w:rPr>
        <w:t xml:space="preserve">Protokolant                                                                                  Dorota </w:t>
      </w:r>
      <w:proofErr w:type="spellStart"/>
      <w:r w:rsidRPr="002428B7">
        <w:rPr>
          <w:sz w:val="24"/>
          <w:szCs w:val="24"/>
        </w:rPr>
        <w:t>Krasuska</w:t>
      </w:r>
      <w:proofErr w:type="spellEnd"/>
    </w:p>
    <w:p w14:paraId="41BFFAE5" w14:textId="77777777" w:rsidR="001121F0" w:rsidRPr="002428B7" w:rsidRDefault="001121F0" w:rsidP="001121F0">
      <w:pPr>
        <w:spacing w:after="0"/>
        <w:rPr>
          <w:sz w:val="24"/>
          <w:szCs w:val="24"/>
        </w:rPr>
      </w:pPr>
    </w:p>
    <w:p w14:paraId="7D08F682" w14:textId="0C0D6503" w:rsidR="001121F0" w:rsidRPr="002428B7" w:rsidRDefault="001121F0" w:rsidP="001121F0">
      <w:pPr>
        <w:spacing w:after="0"/>
        <w:jc w:val="both"/>
        <w:rPr>
          <w:sz w:val="24"/>
          <w:szCs w:val="24"/>
        </w:rPr>
      </w:pPr>
      <w:r w:rsidRPr="002428B7">
        <w:rPr>
          <w:sz w:val="24"/>
          <w:szCs w:val="24"/>
        </w:rPr>
        <w:t>po rozpoznaniu na rozprawie w dniu 26 marca 2003 r. sprawy z wniosków: Zakładu Produkcyjno-Handlowo-Usługowego „</w:t>
      </w:r>
      <w:proofErr w:type="spellStart"/>
      <w:r w:rsidRPr="002428B7">
        <w:rPr>
          <w:sz w:val="24"/>
          <w:szCs w:val="24"/>
        </w:rPr>
        <w:t>Delic</w:t>
      </w:r>
      <w:proofErr w:type="spellEnd"/>
      <w:r w:rsidRPr="002428B7">
        <w:rPr>
          <w:sz w:val="24"/>
          <w:szCs w:val="24"/>
        </w:rPr>
        <w:t xml:space="preserve">-Pol" spółka z o.o. Lindów Lipie k/Częstochowy, Przedsiębiorstwo </w:t>
      </w:r>
      <w:proofErr w:type="spellStart"/>
      <w:r w:rsidRPr="002428B7">
        <w:rPr>
          <w:sz w:val="24"/>
          <w:szCs w:val="24"/>
        </w:rPr>
        <w:t>Uslugowo</w:t>
      </w:r>
      <w:proofErr w:type="spellEnd"/>
      <w:r w:rsidRPr="002428B7">
        <w:rPr>
          <w:sz w:val="24"/>
          <w:szCs w:val="24"/>
        </w:rPr>
        <w:t>-Produkcyjno-Handlowe „</w:t>
      </w:r>
      <w:proofErr w:type="spellStart"/>
      <w:r w:rsidRPr="002428B7">
        <w:rPr>
          <w:sz w:val="24"/>
          <w:szCs w:val="24"/>
        </w:rPr>
        <w:t>Cuprod</w:t>
      </w:r>
      <w:proofErr w:type="spellEnd"/>
      <w:r w:rsidRPr="002428B7">
        <w:rPr>
          <w:sz w:val="24"/>
          <w:szCs w:val="24"/>
        </w:rPr>
        <w:t>” Spółka z o.o. z siedzibą w Biskupicach p-ta Byczyna, Spółdzielni Pracy „Cukry Nyskie” z siedzibą w Nysie, „P</w:t>
      </w:r>
      <w:r w:rsidR="00B12E2C" w:rsidRPr="002428B7">
        <w:rPr>
          <w:sz w:val="24"/>
          <w:szCs w:val="24"/>
        </w:rPr>
        <w:t>o</w:t>
      </w:r>
      <w:r w:rsidRPr="002428B7">
        <w:rPr>
          <w:sz w:val="24"/>
          <w:szCs w:val="24"/>
        </w:rPr>
        <w:t>l</w:t>
      </w:r>
      <w:r w:rsidR="00B12E2C" w:rsidRPr="002428B7">
        <w:rPr>
          <w:sz w:val="24"/>
          <w:szCs w:val="24"/>
        </w:rPr>
        <w:t>-</w:t>
      </w:r>
      <w:r w:rsidRPr="002428B7">
        <w:rPr>
          <w:sz w:val="24"/>
          <w:szCs w:val="24"/>
        </w:rPr>
        <w:t xml:space="preserve">Mar" przedsiębiorstwa Produkcyjno-Handlowego „Export-Import CZUBA Spółka Jawna </w:t>
      </w:r>
      <w:r w:rsidR="00B12E2C" w:rsidRPr="002428B7">
        <w:rPr>
          <w:sz w:val="24"/>
          <w:szCs w:val="24"/>
        </w:rPr>
        <w:t>w</w:t>
      </w:r>
      <w:r w:rsidRPr="002428B7">
        <w:rPr>
          <w:sz w:val="24"/>
          <w:szCs w:val="24"/>
        </w:rPr>
        <w:t xml:space="preserve"> </w:t>
      </w:r>
      <w:r w:rsidR="00B12E2C" w:rsidRPr="002428B7">
        <w:rPr>
          <w:sz w:val="24"/>
          <w:szCs w:val="24"/>
        </w:rPr>
        <w:t>Ł</w:t>
      </w:r>
      <w:r w:rsidRPr="002428B7">
        <w:rPr>
          <w:sz w:val="24"/>
          <w:szCs w:val="24"/>
        </w:rPr>
        <w:t>odzi ”</w:t>
      </w:r>
      <w:proofErr w:type="spellStart"/>
      <w:r w:rsidRPr="002428B7">
        <w:rPr>
          <w:sz w:val="24"/>
          <w:szCs w:val="24"/>
        </w:rPr>
        <w:t>Lider's</w:t>
      </w:r>
      <w:proofErr w:type="spellEnd"/>
      <w:r w:rsidR="00B12E2C" w:rsidRPr="002428B7">
        <w:rPr>
          <w:sz w:val="24"/>
          <w:szCs w:val="24"/>
        </w:rPr>
        <w:t xml:space="preserve"> </w:t>
      </w:r>
      <w:r w:rsidRPr="002428B7">
        <w:rPr>
          <w:sz w:val="24"/>
          <w:szCs w:val="24"/>
        </w:rPr>
        <w:t>2000" Sp</w:t>
      </w:r>
      <w:r w:rsidR="00B12E2C" w:rsidRPr="002428B7">
        <w:rPr>
          <w:sz w:val="24"/>
          <w:szCs w:val="24"/>
        </w:rPr>
        <w:t xml:space="preserve">. </w:t>
      </w:r>
      <w:r w:rsidRPr="002428B7">
        <w:rPr>
          <w:sz w:val="24"/>
          <w:szCs w:val="24"/>
        </w:rPr>
        <w:t>z</w:t>
      </w:r>
      <w:r w:rsidR="00B12E2C" w:rsidRPr="002428B7">
        <w:rPr>
          <w:sz w:val="24"/>
          <w:szCs w:val="24"/>
        </w:rPr>
        <w:t xml:space="preserve"> </w:t>
      </w:r>
      <w:r w:rsidRPr="002428B7">
        <w:rPr>
          <w:sz w:val="24"/>
          <w:szCs w:val="24"/>
        </w:rPr>
        <w:t>o</w:t>
      </w:r>
      <w:r w:rsidR="00B12E2C" w:rsidRPr="002428B7">
        <w:rPr>
          <w:sz w:val="24"/>
          <w:szCs w:val="24"/>
        </w:rPr>
        <w:t>.</w:t>
      </w:r>
      <w:r w:rsidRPr="002428B7">
        <w:rPr>
          <w:sz w:val="24"/>
          <w:szCs w:val="24"/>
        </w:rPr>
        <w:t>o</w:t>
      </w:r>
      <w:r w:rsidR="00B12E2C" w:rsidRPr="002428B7">
        <w:rPr>
          <w:sz w:val="24"/>
          <w:szCs w:val="24"/>
        </w:rPr>
        <w:t>.</w:t>
      </w:r>
      <w:r w:rsidRPr="002428B7">
        <w:rPr>
          <w:sz w:val="24"/>
          <w:szCs w:val="24"/>
        </w:rPr>
        <w:t xml:space="preserve"> z siedziba </w:t>
      </w:r>
      <w:r w:rsidR="00B12E2C" w:rsidRPr="002428B7">
        <w:rPr>
          <w:sz w:val="24"/>
          <w:szCs w:val="24"/>
        </w:rPr>
        <w:t>w</w:t>
      </w:r>
      <w:r w:rsidRPr="002428B7">
        <w:rPr>
          <w:sz w:val="24"/>
          <w:szCs w:val="24"/>
        </w:rPr>
        <w:t xml:space="preserve"> L</w:t>
      </w:r>
      <w:r w:rsidR="00B12E2C" w:rsidRPr="002428B7">
        <w:rPr>
          <w:sz w:val="24"/>
          <w:szCs w:val="24"/>
        </w:rPr>
        <w:t>i</w:t>
      </w:r>
      <w:r w:rsidRPr="002428B7">
        <w:rPr>
          <w:sz w:val="24"/>
          <w:szCs w:val="24"/>
        </w:rPr>
        <w:t>p</w:t>
      </w:r>
      <w:r w:rsidR="00B12E2C" w:rsidRPr="002428B7">
        <w:rPr>
          <w:sz w:val="24"/>
          <w:szCs w:val="24"/>
        </w:rPr>
        <w:t>nic</w:t>
      </w:r>
      <w:r w:rsidRPr="002428B7">
        <w:rPr>
          <w:sz w:val="24"/>
          <w:szCs w:val="24"/>
        </w:rPr>
        <w:t xml:space="preserve">ach Starych p-ta Wołomin o unieważnienie prawa z rejestracji znaku towarowego przestrzennego zarejestrowanego za nr R 116211 na rzecz </w:t>
      </w:r>
      <w:r w:rsidR="00B12E2C" w:rsidRPr="002428B7">
        <w:rPr>
          <w:sz w:val="24"/>
          <w:szCs w:val="24"/>
        </w:rPr>
        <w:t>„</w:t>
      </w:r>
      <w:r w:rsidRPr="002428B7">
        <w:rPr>
          <w:sz w:val="24"/>
          <w:szCs w:val="24"/>
        </w:rPr>
        <w:t xml:space="preserve">Lu Polska" </w:t>
      </w:r>
      <w:r w:rsidR="00B12E2C" w:rsidRPr="002428B7">
        <w:rPr>
          <w:sz w:val="24"/>
          <w:szCs w:val="24"/>
        </w:rPr>
        <w:t>s</w:t>
      </w:r>
      <w:r w:rsidRPr="002428B7">
        <w:rPr>
          <w:sz w:val="24"/>
          <w:szCs w:val="24"/>
        </w:rPr>
        <w:t>pó</w:t>
      </w:r>
      <w:r w:rsidR="00B12E2C" w:rsidRPr="002428B7">
        <w:rPr>
          <w:sz w:val="24"/>
          <w:szCs w:val="24"/>
        </w:rPr>
        <w:t>ł</w:t>
      </w:r>
      <w:r w:rsidRPr="002428B7">
        <w:rPr>
          <w:sz w:val="24"/>
          <w:szCs w:val="24"/>
        </w:rPr>
        <w:t>ka Akcyjna siedziba w Warszawie na podstawie art. 7 i 8 pkt 1 ustawy z dnia 31 stycznia 1985 r. o znakach towarowych (Dz. U. nr 5, poz. 17 ze zm.) w związku z art. 315 ust. 1 i 3 ustawy z dnia 30 czerwca 2000 r. Prawo własności przemysłowej (Dz. U. z 2001 r. Nr 49, poz. 508 ze zm.) oraz art. 98 k.p.c. w związku z art. 256 ust 2 ustawy Prawo własności przemysłowej</w:t>
      </w:r>
    </w:p>
    <w:p w14:paraId="5BE5D8D4" w14:textId="77777777" w:rsidR="001121F0" w:rsidRPr="002428B7" w:rsidRDefault="001121F0" w:rsidP="001121F0">
      <w:pPr>
        <w:spacing w:after="0"/>
        <w:rPr>
          <w:b/>
          <w:bCs/>
          <w:sz w:val="24"/>
          <w:szCs w:val="24"/>
        </w:rPr>
      </w:pPr>
    </w:p>
    <w:p w14:paraId="1BBC23BF" w14:textId="77777777" w:rsidR="001121F0" w:rsidRPr="002428B7" w:rsidRDefault="001121F0" w:rsidP="001121F0">
      <w:pPr>
        <w:spacing w:after="0"/>
        <w:jc w:val="center"/>
        <w:rPr>
          <w:b/>
          <w:bCs/>
          <w:sz w:val="24"/>
          <w:szCs w:val="24"/>
        </w:rPr>
      </w:pPr>
      <w:r w:rsidRPr="002428B7">
        <w:rPr>
          <w:b/>
          <w:bCs/>
          <w:sz w:val="24"/>
          <w:szCs w:val="24"/>
        </w:rPr>
        <w:t>orzeka</w:t>
      </w:r>
    </w:p>
    <w:p w14:paraId="1BB40AFD" w14:textId="77777777" w:rsidR="001121F0" w:rsidRPr="002428B7" w:rsidRDefault="001121F0" w:rsidP="001121F0">
      <w:pPr>
        <w:spacing w:after="0"/>
        <w:jc w:val="center"/>
        <w:rPr>
          <w:b/>
          <w:bCs/>
          <w:sz w:val="24"/>
          <w:szCs w:val="24"/>
        </w:rPr>
      </w:pPr>
    </w:p>
    <w:p w14:paraId="65165304" w14:textId="77777777" w:rsidR="001121F0" w:rsidRPr="002428B7" w:rsidRDefault="001121F0" w:rsidP="001121F0">
      <w:pPr>
        <w:spacing w:after="0"/>
        <w:jc w:val="both"/>
        <w:rPr>
          <w:sz w:val="24"/>
          <w:szCs w:val="24"/>
        </w:rPr>
      </w:pPr>
      <w:r w:rsidRPr="002428B7">
        <w:rPr>
          <w:sz w:val="24"/>
          <w:szCs w:val="24"/>
        </w:rPr>
        <w:t>1) Unieważnia prawo z rejestracji znaku towarowego przestrzennego zarejestrowanego za numerem R. 116211</w:t>
      </w:r>
    </w:p>
    <w:p w14:paraId="247BA8C1" w14:textId="77777777" w:rsidR="001121F0" w:rsidRPr="002428B7" w:rsidRDefault="001121F0" w:rsidP="001121F0">
      <w:pPr>
        <w:spacing w:after="0"/>
        <w:jc w:val="both"/>
        <w:rPr>
          <w:b/>
          <w:bCs/>
          <w:sz w:val="24"/>
          <w:szCs w:val="24"/>
        </w:rPr>
      </w:pPr>
    </w:p>
    <w:p w14:paraId="3705C7F5" w14:textId="77777777" w:rsidR="001121F0" w:rsidRPr="002428B7" w:rsidRDefault="001121F0" w:rsidP="001121F0">
      <w:pPr>
        <w:spacing w:after="0"/>
        <w:jc w:val="both"/>
        <w:rPr>
          <w:sz w:val="24"/>
          <w:szCs w:val="24"/>
        </w:rPr>
      </w:pPr>
      <w:r w:rsidRPr="002428B7">
        <w:rPr>
          <w:sz w:val="24"/>
          <w:szCs w:val="24"/>
        </w:rPr>
        <w:lastRenderedPageBreak/>
        <w:t>2) przyznać Zakładowi Produkcyjno-Handlowo-Usługowemu „</w:t>
      </w:r>
      <w:proofErr w:type="spellStart"/>
      <w:r w:rsidRPr="002428B7">
        <w:rPr>
          <w:sz w:val="24"/>
          <w:szCs w:val="24"/>
        </w:rPr>
        <w:t>Delic</w:t>
      </w:r>
      <w:proofErr w:type="spellEnd"/>
      <w:r w:rsidRPr="002428B7">
        <w:rPr>
          <w:sz w:val="24"/>
          <w:szCs w:val="24"/>
        </w:rPr>
        <w:t>-Pol” sp z o.o. z siedzibą w Lindowie, Lipie k/Częstochowy od „Lu Polska Spółka Akcyjna z siedzibą w Warszawie kwotę 1500 zł (słownie: jeden tysiąc pięćset zł) tytułem zwrotu kosztów postępowania w sprawie,</w:t>
      </w:r>
    </w:p>
    <w:p w14:paraId="73D4E5A8" w14:textId="77777777" w:rsidR="001121F0" w:rsidRPr="002428B7" w:rsidRDefault="001121F0" w:rsidP="001121F0">
      <w:pPr>
        <w:spacing w:after="0"/>
        <w:jc w:val="both"/>
        <w:rPr>
          <w:sz w:val="24"/>
          <w:szCs w:val="24"/>
        </w:rPr>
      </w:pPr>
    </w:p>
    <w:p w14:paraId="497B4E33" w14:textId="77777777" w:rsidR="001121F0" w:rsidRPr="002428B7" w:rsidRDefault="001121F0" w:rsidP="001121F0">
      <w:pPr>
        <w:spacing w:after="0"/>
        <w:jc w:val="both"/>
        <w:rPr>
          <w:sz w:val="24"/>
          <w:szCs w:val="24"/>
        </w:rPr>
      </w:pPr>
      <w:r w:rsidRPr="002428B7">
        <w:rPr>
          <w:sz w:val="24"/>
          <w:szCs w:val="24"/>
        </w:rPr>
        <w:t>3) przyznać przedsiębiorstwu Usługowo-Produkcyjno-Handlowemu „</w:t>
      </w:r>
      <w:proofErr w:type="spellStart"/>
      <w:r w:rsidRPr="002428B7">
        <w:rPr>
          <w:sz w:val="24"/>
          <w:szCs w:val="24"/>
        </w:rPr>
        <w:t>Cuprod</w:t>
      </w:r>
      <w:proofErr w:type="spellEnd"/>
      <w:r w:rsidRPr="002428B7">
        <w:rPr>
          <w:sz w:val="24"/>
          <w:szCs w:val="24"/>
        </w:rPr>
        <w:t>" Sp. z 00 Z siedzibą W Biskupicach, p-ta Byczyna od „Lu Polska” Spółka Akcyjna z siedzibą w Warszawie kwotę 1500 zł (słownie: jeden tysiąc pięćset zł) tytułem zwrotu kosztów postępowania w sprawie, w pozostałej części wniosek o zwrot kosztów postępowania oddalić,</w:t>
      </w:r>
    </w:p>
    <w:p w14:paraId="1A73D139" w14:textId="77777777" w:rsidR="001121F0" w:rsidRPr="002428B7" w:rsidRDefault="001121F0" w:rsidP="001121F0">
      <w:pPr>
        <w:spacing w:after="0"/>
        <w:jc w:val="both"/>
        <w:rPr>
          <w:sz w:val="24"/>
          <w:szCs w:val="24"/>
        </w:rPr>
      </w:pPr>
    </w:p>
    <w:p w14:paraId="682E3140" w14:textId="77777777" w:rsidR="001121F0" w:rsidRPr="002428B7" w:rsidRDefault="001121F0" w:rsidP="001121F0">
      <w:pPr>
        <w:spacing w:after="0"/>
        <w:jc w:val="both"/>
        <w:rPr>
          <w:sz w:val="24"/>
          <w:szCs w:val="24"/>
        </w:rPr>
      </w:pPr>
      <w:r w:rsidRPr="002428B7">
        <w:rPr>
          <w:sz w:val="24"/>
          <w:szCs w:val="24"/>
        </w:rPr>
        <w:t>4) przyznać Spółdzielni Pracy „Cukry Nyskie" z siedzibą w Nysie od Lu Polska" Spółka Akcyjna z siedzibą w Warszawie kwotę 1500 zł (słownie jeden tysiąc złotych Zł) tytułem zwrotu kosztów postępowania w sprawie, w pozostałej części wniosek o zwrot kosztów postępowania oddalić,</w:t>
      </w:r>
    </w:p>
    <w:p w14:paraId="4F245145" w14:textId="77777777" w:rsidR="001121F0" w:rsidRPr="002428B7" w:rsidRDefault="001121F0" w:rsidP="001121F0">
      <w:pPr>
        <w:spacing w:after="0"/>
        <w:jc w:val="both"/>
        <w:rPr>
          <w:sz w:val="24"/>
          <w:szCs w:val="24"/>
        </w:rPr>
      </w:pPr>
    </w:p>
    <w:p w14:paraId="3F4EA8EC" w14:textId="78E8DB16" w:rsidR="001121F0" w:rsidRPr="002428B7" w:rsidRDefault="001121F0" w:rsidP="001121F0">
      <w:pPr>
        <w:spacing w:after="0"/>
        <w:jc w:val="both"/>
        <w:rPr>
          <w:sz w:val="24"/>
          <w:szCs w:val="24"/>
        </w:rPr>
      </w:pPr>
      <w:r w:rsidRPr="002428B7">
        <w:rPr>
          <w:sz w:val="24"/>
          <w:szCs w:val="24"/>
        </w:rPr>
        <w:t xml:space="preserve">5) przyznać „Pol-Mar" Przedsiębiorstwu Produkcyjno-Handlowemu „Export-Import" CZUBA Spółka Jawna w Łodzi od Lu Polska" Spółka Akcyjna z siedziba w Warszawie kwotę 1500 zł (słownie: jeden tysiąc </w:t>
      </w:r>
      <w:proofErr w:type="gramStart"/>
      <w:r w:rsidRPr="002428B7">
        <w:rPr>
          <w:sz w:val="24"/>
          <w:szCs w:val="24"/>
        </w:rPr>
        <w:t>pięćset  zł</w:t>
      </w:r>
      <w:proofErr w:type="gramEnd"/>
      <w:r w:rsidRPr="002428B7">
        <w:rPr>
          <w:sz w:val="24"/>
          <w:szCs w:val="24"/>
        </w:rPr>
        <w:t>) tytułem zwrotu kosztów postępowania w sprawie.</w:t>
      </w:r>
    </w:p>
    <w:p w14:paraId="47B32BF1" w14:textId="77777777" w:rsidR="001121F0" w:rsidRPr="002428B7" w:rsidRDefault="001121F0" w:rsidP="001121F0">
      <w:pPr>
        <w:spacing w:after="0"/>
        <w:jc w:val="both"/>
        <w:rPr>
          <w:sz w:val="24"/>
          <w:szCs w:val="24"/>
        </w:rPr>
      </w:pPr>
    </w:p>
    <w:p w14:paraId="3FA99DF5" w14:textId="77777777" w:rsidR="001121F0" w:rsidRPr="002428B7" w:rsidRDefault="001121F0" w:rsidP="001121F0">
      <w:pPr>
        <w:spacing w:after="0"/>
        <w:ind w:firstLine="567"/>
        <w:jc w:val="both"/>
        <w:rPr>
          <w:sz w:val="24"/>
          <w:szCs w:val="24"/>
        </w:rPr>
      </w:pPr>
      <w:r w:rsidRPr="002428B7">
        <w:rPr>
          <w:sz w:val="24"/>
          <w:szCs w:val="24"/>
        </w:rPr>
        <w:t>Decyzja jest ostateczna w administracyjnym toku instancji. Na podstawie art. 257 ustawy Prawo własności przemysłowej stronom przysługuje prawo wniesienia skargi do Naczelnego Sądu Administracyjnego w terminie trzydziestu dni od dnia doręczenia decyzji.</w:t>
      </w:r>
    </w:p>
    <w:p w14:paraId="691D9EF0" w14:textId="77777777" w:rsidR="001121F0" w:rsidRPr="002428B7" w:rsidRDefault="001121F0" w:rsidP="001121F0">
      <w:pPr>
        <w:spacing w:after="0"/>
        <w:ind w:firstLine="567"/>
        <w:jc w:val="center"/>
        <w:rPr>
          <w:b/>
          <w:bCs/>
          <w:sz w:val="24"/>
          <w:szCs w:val="24"/>
        </w:rPr>
      </w:pPr>
    </w:p>
    <w:p w14:paraId="30673C59" w14:textId="77777777" w:rsidR="001121F0" w:rsidRPr="002428B7" w:rsidRDefault="001121F0" w:rsidP="001121F0">
      <w:pPr>
        <w:spacing w:after="0"/>
        <w:ind w:firstLine="567"/>
        <w:jc w:val="center"/>
        <w:rPr>
          <w:b/>
          <w:bCs/>
          <w:sz w:val="24"/>
          <w:szCs w:val="24"/>
        </w:rPr>
      </w:pPr>
      <w:r w:rsidRPr="002428B7">
        <w:rPr>
          <w:b/>
          <w:bCs/>
          <w:sz w:val="24"/>
          <w:szCs w:val="24"/>
        </w:rPr>
        <w:t>Uzasadnienie</w:t>
      </w:r>
    </w:p>
    <w:p w14:paraId="0382F009" w14:textId="77777777" w:rsidR="001121F0" w:rsidRPr="005E0071" w:rsidRDefault="001121F0" w:rsidP="001121F0">
      <w:pPr>
        <w:spacing w:after="0"/>
        <w:ind w:firstLine="567"/>
        <w:jc w:val="center"/>
        <w:rPr>
          <w:b/>
          <w:bCs/>
          <w:sz w:val="10"/>
          <w:szCs w:val="10"/>
        </w:rPr>
      </w:pPr>
    </w:p>
    <w:p w14:paraId="513F4A9B" w14:textId="2255CF1D" w:rsidR="001121F0" w:rsidRPr="002428B7" w:rsidRDefault="001121F0" w:rsidP="001121F0">
      <w:pPr>
        <w:spacing w:after="0"/>
        <w:ind w:firstLine="567"/>
        <w:jc w:val="both"/>
        <w:rPr>
          <w:sz w:val="24"/>
          <w:szCs w:val="24"/>
        </w:rPr>
      </w:pPr>
      <w:r w:rsidRPr="002428B7">
        <w:rPr>
          <w:sz w:val="24"/>
          <w:szCs w:val="24"/>
        </w:rPr>
        <w:t>W dniu 19 grudnia 2001 r. ZPHU „DELIC-</w:t>
      </w:r>
      <w:r w:rsidR="001C51B8">
        <w:rPr>
          <w:sz w:val="24"/>
          <w:szCs w:val="24"/>
        </w:rPr>
        <w:t>P</w:t>
      </w:r>
      <w:r w:rsidRPr="002428B7">
        <w:rPr>
          <w:sz w:val="24"/>
          <w:szCs w:val="24"/>
        </w:rPr>
        <w:t xml:space="preserve">OL" Sp. z o.o., Lindów, </w:t>
      </w:r>
      <w:r w:rsidR="001C51B8">
        <w:rPr>
          <w:sz w:val="24"/>
          <w:szCs w:val="24"/>
        </w:rPr>
        <w:t>L</w:t>
      </w:r>
      <w:r w:rsidRPr="002428B7">
        <w:rPr>
          <w:sz w:val="24"/>
          <w:szCs w:val="24"/>
        </w:rPr>
        <w:t>ipie k</w:t>
      </w:r>
      <w:r w:rsidR="001C51B8">
        <w:rPr>
          <w:sz w:val="24"/>
          <w:szCs w:val="24"/>
        </w:rPr>
        <w:t>.</w:t>
      </w:r>
      <w:r w:rsidRPr="002428B7">
        <w:rPr>
          <w:sz w:val="24"/>
          <w:szCs w:val="24"/>
        </w:rPr>
        <w:t xml:space="preserve">/Częstochowy (dalej zwana wnioskodawcą I) wniosła za nrem 215/01 do Urzędu Patentowego RP działającego w trybie spornym o unieważnienie prawa z rejestracji znaku towarowego przestrzennego R 116211 podnosząc w uzasadnieniu, że rejestracja znaku naruszyła przepisy art. 4 ust 1, art. 7 ust. 1 i 2 i art. 8 pkt 1 </w:t>
      </w:r>
      <w:proofErr w:type="spellStart"/>
      <w:r w:rsidRPr="002428B7">
        <w:rPr>
          <w:sz w:val="24"/>
          <w:szCs w:val="24"/>
        </w:rPr>
        <w:t>uzt</w:t>
      </w:r>
      <w:proofErr w:type="spellEnd"/>
      <w:r w:rsidRPr="002428B7">
        <w:rPr>
          <w:sz w:val="24"/>
          <w:szCs w:val="24"/>
        </w:rPr>
        <w:t xml:space="preserve"> i wywodząc interes prawny o którym mowa w art. 30 ust. 1 </w:t>
      </w:r>
      <w:proofErr w:type="spellStart"/>
      <w:r w:rsidRPr="002428B7">
        <w:rPr>
          <w:sz w:val="24"/>
          <w:szCs w:val="24"/>
        </w:rPr>
        <w:t>uzt</w:t>
      </w:r>
      <w:proofErr w:type="spellEnd"/>
      <w:r w:rsidRPr="002428B7">
        <w:rPr>
          <w:sz w:val="24"/>
          <w:szCs w:val="24"/>
        </w:rPr>
        <w:t xml:space="preserve"> z treści pisma z dnia 4.IX.2001 r. uprawnionej ze znaku oraz z treści postanowienia Sądu Okręgowego w Częstochowie z dnia 6.XII.2001 r. Do wniosku zostały dołączone załączniki - k. 1 </w:t>
      </w:r>
      <w:r w:rsidRPr="002428B7">
        <w:rPr>
          <w:rFonts w:cstheme="minorHAnsi"/>
          <w:sz w:val="24"/>
          <w:szCs w:val="24"/>
        </w:rPr>
        <w:t xml:space="preserve">÷ </w:t>
      </w:r>
      <w:r w:rsidRPr="002428B7">
        <w:rPr>
          <w:sz w:val="24"/>
          <w:szCs w:val="24"/>
        </w:rPr>
        <w:t>61 akt Sp. 215/01.</w:t>
      </w:r>
    </w:p>
    <w:p w14:paraId="041E0523" w14:textId="77777777" w:rsidR="001121F0" w:rsidRPr="002428B7" w:rsidRDefault="001121F0" w:rsidP="001121F0">
      <w:pPr>
        <w:spacing w:after="0"/>
        <w:ind w:firstLine="567"/>
        <w:jc w:val="both"/>
        <w:rPr>
          <w:sz w:val="24"/>
          <w:szCs w:val="24"/>
        </w:rPr>
      </w:pPr>
      <w:r w:rsidRPr="002428B7">
        <w:rPr>
          <w:sz w:val="24"/>
          <w:szCs w:val="24"/>
        </w:rPr>
        <w:t xml:space="preserve">W odpowiedzi z dnia 14.V.2002 r. LU Polska sp. z o.o. w warszawie obecnie LU Polska Spółka Akcyjna w Warszawie zwana dalej uprawnioną wniosła o oddalenie wniosku oraz zwrot kosztów postępowania i zastępstwa procesowego, podnosząc, że rejestracja znaku nie narusza przepisów art. 4, 7 i 8 pkt 1 </w:t>
      </w:r>
      <w:proofErr w:type="spellStart"/>
      <w:r w:rsidRPr="002428B7">
        <w:rPr>
          <w:sz w:val="24"/>
          <w:szCs w:val="24"/>
        </w:rPr>
        <w:t>uzt</w:t>
      </w:r>
      <w:proofErr w:type="spellEnd"/>
      <w:r w:rsidRPr="002428B7">
        <w:rPr>
          <w:sz w:val="24"/>
          <w:szCs w:val="24"/>
        </w:rPr>
        <w:t xml:space="preserve"> oraz przedkładając 6 załączników (k. 78 </w:t>
      </w:r>
      <w:r w:rsidRPr="002428B7">
        <w:rPr>
          <w:rFonts w:cstheme="minorHAnsi"/>
          <w:sz w:val="24"/>
          <w:szCs w:val="24"/>
        </w:rPr>
        <w:t xml:space="preserve">÷ </w:t>
      </w:r>
      <w:r w:rsidRPr="002428B7">
        <w:rPr>
          <w:sz w:val="24"/>
          <w:szCs w:val="24"/>
        </w:rPr>
        <w:t>132 akt Sp. 215/01).</w:t>
      </w:r>
    </w:p>
    <w:p w14:paraId="0EB7C79D" w14:textId="7D95974F" w:rsidR="001121F0" w:rsidRPr="002428B7" w:rsidRDefault="001121F0" w:rsidP="001121F0">
      <w:pPr>
        <w:spacing w:after="0"/>
        <w:ind w:firstLine="567"/>
        <w:jc w:val="both"/>
        <w:rPr>
          <w:sz w:val="24"/>
          <w:szCs w:val="24"/>
        </w:rPr>
      </w:pPr>
      <w:r w:rsidRPr="002428B7">
        <w:rPr>
          <w:sz w:val="24"/>
          <w:szCs w:val="24"/>
        </w:rPr>
        <w:t xml:space="preserve">Pismem z dnia 12.VI.2002 r. wnioskodawca l złożył do Urzędu działającego w trybie spornym drugi wniosek (w ramach Sp. 215/01) na podstawie art. 253 ust. 2 ustawy </w:t>
      </w:r>
      <w:proofErr w:type="spellStart"/>
      <w:r w:rsidRPr="002428B7">
        <w:rPr>
          <w:sz w:val="24"/>
          <w:szCs w:val="24"/>
        </w:rPr>
        <w:t>pwp</w:t>
      </w:r>
      <w:proofErr w:type="spellEnd"/>
      <w:r w:rsidRPr="002428B7">
        <w:rPr>
          <w:sz w:val="24"/>
          <w:szCs w:val="24"/>
        </w:rPr>
        <w:t xml:space="preserve"> o stwierdzenie nieważności decyzji Urzędu z dnia 13.XII.99 r. o rejestracji znaku R 116211, o stwierdzenie nieważności decyzji Komisji Odwoławczej z dnia 19.V.99 r- nr </w:t>
      </w:r>
      <w:proofErr w:type="spellStart"/>
      <w:r w:rsidRPr="002428B7">
        <w:rPr>
          <w:sz w:val="24"/>
          <w:szCs w:val="24"/>
        </w:rPr>
        <w:t>Odw</w:t>
      </w:r>
      <w:proofErr w:type="spellEnd"/>
      <w:r w:rsidRPr="002428B7">
        <w:rPr>
          <w:sz w:val="24"/>
          <w:szCs w:val="24"/>
        </w:rPr>
        <w:t>. 1451/98 uchylającą decyzję Urzędu z dnia 13.XII.99 r. oraz stwierdzenie prawomocności decyzji Urzędu z dnia 12.</w:t>
      </w:r>
      <w:r w:rsidR="00B12E2C" w:rsidRPr="002428B7">
        <w:rPr>
          <w:sz w:val="24"/>
          <w:szCs w:val="24"/>
        </w:rPr>
        <w:t>II</w:t>
      </w:r>
      <w:r w:rsidRPr="002428B7">
        <w:rPr>
          <w:sz w:val="24"/>
          <w:szCs w:val="24"/>
        </w:rPr>
        <w:t xml:space="preserve">.98 r. nr PP - Z132912/WD odmawiającą rejestracji przestrzennego znaku zarejestrowanego później pod nrem 116211. Uzasadnienie wnioskodawca opiera na fakcie, że odwołanie wniesione do Komisji Odwoławczej nie zostało podpisane ani przez prawnego poprzednika uprawnionej ani przez jego pełnomocnika. W odpowiedzi z dnia 22.X.2002 r. </w:t>
      </w:r>
      <w:r w:rsidRPr="002428B7">
        <w:rPr>
          <w:sz w:val="24"/>
          <w:szCs w:val="24"/>
        </w:rPr>
        <w:lastRenderedPageBreak/>
        <w:t>uprawniona polemizuje ze stanowiskiem wnioskodawcy i jednocześnie wnosi o zawieszenie postępowania w sprawie Sp. 215/01 do czasu zakończenia postępowania w sprawie wniosku z dnia 12.VI.2002 r. a dotyczących decyzji wydanych przez Urząd i Komisję Odwoławczą w trybie postępowania administracyjnego.</w:t>
      </w:r>
    </w:p>
    <w:p w14:paraId="3B7198D8" w14:textId="0592D2FD" w:rsidR="001121F0" w:rsidRPr="002428B7" w:rsidRDefault="001121F0" w:rsidP="001121F0">
      <w:pPr>
        <w:spacing w:after="0"/>
        <w:ind w:firstLine="567"/>
        <w:jc w:val="both"/>
        <w:rPr>
          <w:sz w:val="24"/>
          <w:szCs w:val="24"/>
        </w:rPr>
      </w:pPr>
      <w:r w:rsidRPr="002428B7">
        <w:rPr>
          <w:sz w:val="24"/>
          <w:szCs w:val="24"/>
        </w:rPr>
        <w:t>Pismem Z dnia 19.11.2002 r. Przedsiębiorstwo Usługowo-Produkcyjno-Handlowe CUPROD sp.</w:t>
      </w:r>
      <w:r w:rsidR="00CB51B3" w:rsidRPr="002428B7">
        <w:rPr>
          <w:sz w:val="24"/>
          <w:szCs w:val="24"/>
        </w:rPr>
        <w:t xml:space="preserve"> </w:t>
      </w:r>
      <w:r w:rsidRPr="002428B7">
        <w:rPr>
          <w:sz w:val="24"/>
          <w:szCs w:val="24"/>
        </w:rPr>
        <w:t xml:space="preserve">z o.o., Biskupice, p-ta Byczyna zwana dalej wnioskodawcą II wniosła za nrem Sp. 20/02 o unieważnienie prawa z rejestracji znaku towarowego nr R 116211 i zwrot kosztów postępowania oraz zastępstwa procesowego. Zdaniem wnioskodawcy II rejestracja znaku naruszyła przepisy art. 8 pkt 1 i 2 oraz art. 4 ust. 1 i 7 ust. 1 </w:t>
      </w:r>
      <w:proofErr w:type="spellStart"/>
      <w:r w:rsidRPr="002428B7">
        <w:rPr>
          <w:sz w:val="24"/>
          <w:szCs w:val="24"/>
        </w:rPr>
        <w:t>uzt</w:t>
      </w:r>
      <w:proofErr w:type="spellEnd"/>
      <w:r w:rsidRPr="002428B7">
        <w:rPr>
          <w:sz w:val="24"/>
          <w:szCs w:val="24"/>
        </w:rPr>
        <w:t xml:space="preserve"> i stąd wnioskodawca II wywodzi swój interes prawny do złożenia wniosku, załączając przy tym dowody k. 2 </w:t>
      </w:r>
      <w:r w:rsidRPr="002428B7">
        <w:rPr>
          <w:rFonts w:cstheme="minorHAnsi"/>
          <w:sz w:val="24"/>
          <w:szCs w:val="24"/>
        </w:rPr>
        <w:t>÷</w:t>
      </w:r>
      <w:r w:rsidRPr="002428B7">
        <w:rPr>
          <w:sz w:val="24"/>
          <w:szCs w:val="24"/>
        </w:rPr>
        <w:t xml:space="preserve"> 17 akt Sp. 20/02.</w:t>
      </w:r>
    </w:p>
    <w:p w14:paraId="100162E6" w14:textId="77777777" w:rsidR="001121F0" w:rsidRPr="002428B7" w:rsidRDefault="001121F0" w:rsidP="001121F0">
      <w:pPr>
        <w:spacing w:after="0"/>
        <w:ind w:firstLine="567"/>
        <w:jc w:val="both"/>
        <w:rPr>
          <w:sz w:val="24"/>
          <w:szCs w:val="24"/>
        </w:rPr>
      </w:pPr>
      <w:r w:rsidRPr="002428B7">
        <w:rPr>
          <w:sz w:val="24"/>
          <w:szCs w:val="24"/>
        </w:rPr>
        <w:t>W odpowiedzi uprawniona pismem z dnia 13.V.2002 r. wniosła o zawieszenie postępowania w sprawie Sp. 20/02 do czasu rozstrzygnięcia sprawy Sp. 215/01, natomiast wnioskodawca II w pismach z dnia 27.V.2002 r. i z dnia 5.XI.2002 r. sprzeciwił się zawieszeniu postępowania a pismem z dnia 14.X.2002 r. wniósł o łączne rozpoznanie sprawy Sp. 215/01 i Sp. 20/02. Z kolei uprawniona pismem z dnia 22.X.2002 r. wniosła o zawieszenie postępowania w sprawie Sp. 20/02 do czasu rozpatrzenia drugiego wniosku wnioskodawcy I w sprawie Sp. 215/01.</w:t>
      </w:r>
    </w:p>
    <w:p w14:paraId="203BCF86" w14:textId="77777777" w:rsidR="001121F0" w:rsidRPr="002428B7" w:rsidRDefault="001121F0" w:rsidP="001121F0">
      <w:pPr>
        <w:spacing w:after="0"/>
        <w:ind w:firstLine="567"/>
        <w:jc w:val="both"/>
        <w:rPr>
          <w:sz w:val="24"/>
          <w:szCs w:val="24"/>
        </w:rPr>
      </w:pPr>
      <w:r w:rsidRPr="002428B7">
        <w:rPr>
          <w:sz w:val="24"/>
          <w:szCs w:val="24"/>
        </w:rPr>
        <w:t xml:space="preserve">Pismem z dnia 19.IV.2002 r. Spółdzielnia Pracy „Cukry Nyskie" Nysa zwana dalej wnioskodawcą III wniosła za nrem Sp. 55/02 o unieważnienie prawa z rejestracji znaku towarowego przestrzennego nr R. 116211 podnosząc w uzasadnieniu, że rejestracja nastąpiła z naruszeniem przepisów art. 4 ust. 1, art. 7 ust. 1 oraz art. 8 pkt 1 i 2 </w:t>
      </w:r>
      <w:proofErr w:type="spellStart"/>
      <w:r w:rsidRPr="002428B7">
        <w:rPr>
          <w:sz w:val="24"/>
          <w:szCs w:val="24"/>
        </w:rPr>
        <w:t>uzt</w:t>
      </w:r>
      <w:proofErr w:type="spellEnd"/>
      <w:r w:rsidRPr="002428B7">
        <w:rPr>
          <w:sz w:val="24"/>
          <w:szCs w:val="24"/>
        </w:rPr>
        <w:t xml:space="preserve"> i wywodząc interes prawny z pisma uprawnionej z dnia 1 marca 2002 r. Wniosek został uzupełniony 18-toma załącznikami k. 2 </w:t>
      </w:r>
      <w:r w:rsidRPr="002428B7">
        <w:rPr>
          <w:rFonts w:cstheme="minorHAnsi"/>
          <w:sz w:val="24"/>
          <w:szCs w:val="24"/>
        </w:rPr>
        <w:t>÷</w:t>
      </w:r>
      <w:r w:rsidRPr="002428B7">
        <w:rPr>
          <w:sz w:val="24"/>
          <w:szCs w:val="24"/>
        </w:rPr>
        <w:t xml:space="preserve"> 28 Sp. 55/02.</w:t>
      </w:r>
    </w:p>
    <w:p w14:paraId="31950379" w14:textId="77777777" w:rsidR="001121F0" w:rsidRPr="002428B7" w:rsidRDefault="001121F0" w:rsidP="001121F0">
      <w:pPr>
        <w:spacing w:after="0"/>
        <w:ind w:firstLine="567"/>
        <w:jc w:val="both"/>
        <w:rPr>
          <w:sz w:val="24"/>
          <w:szCs w:val="24"/>
        </w:rPr>
      </w:pPr>
      <w:r w:rsidRPr="002428B7">
        <w:rPr>
          <w:sz w:val="24"/>
          <w:szCs w:val="24"/>
        </w:rPr>
        <w:t>Uprawniona pismem z dnia 13.VI.2002 r. wniosła o zawieszenie postępowania w sprawie Sp. 55/02 do czasu zakończenia postępowania w sprawie Sp. 215/01. Pismem z dnia 19.VII.2002 r. wnioskodawca III sprzeciwił się zawieszeniu postępowania a pismem z dnia 14.X.2002 r. wniósł o połączenie spraw Sp. 215/01, Sp. 20/02 i Sp. 55/02 do jednego postępowania.</w:t>
      </w:r>
    </w:p>
    <w:p w14:paraId="3CB310D9" w14:textId="77777777" w:rsidR="001121F0" w:rsidRPr="002428B7" w:rsidRDefault="001121F0" w:rsidP="001121F0">
      <w:pPr>
        <w:spacing w:after="0"/>
        <w:ind w:firstLine="567"/>
        <w:jc w:val="both"/>
        <w:rPr>
          <w:sz w:val="24"/>
          <w:szCs w:val="24"/>
        </w:rPr>
      </w:pPr>
      <w:r w:rsidRPr="002428B7">
        <w:rPr>
          <w:sz w:val="24"/>
          <w:szCs w:val="24"/>
        </w:rPr>
        <w:t xml:space="preserve">Pismem z dnia 22.X.2002 r. uprawniona wniosła o zawieszenie postępowania w sprawie Sp. 55/02 do czasu rozpatrzenia </w:t>
      </w:r>
      <w:proofErr w:type="spellStart"/>
      <w:r w:rsidRPr="002428B7">
        <w:rPr>
          <w:sz w:val="24"/>
          <w:szCs w:val="24"/>
        </w:rPr>
        <w:t>ll</w:t>
      </w:r>
      <w:proofErr w:type="spellEnd"/>
      <w:r w:rsidRPr="002428B7">
        <w:rPr>
          <w:sz w:val="24"/>
          <w:szCs w:val="24"/>
        </w:rPr>
        <w:t>-ego wniosku wnioskodawcy I. Pismem z dnia 6.XI.2002 r. wnioskodawca III sprzeciwił się wnioskowi uprawnionej z dnia 22.X.2002 r.</w:t>
      </w:r>
    </w:p>
    <w:p w14:paraId="3C9A3125" w14:textId="79329455" w:rsidR="001121F0" w:rsidRPr="002428B7" w:rsidRDefault="001121F0" w:rsidP="001121F0">
      <w:pPr>
        <w:spacing w:after="0"/>
        <w:ind w:firstLine="567"/>
        <w:jc w:val="both"/>
        <w:rPr>
          <w:sz w:val="24"/>
          <w:szCs w:val="24"/>
        </w:rPr>
      </w:pPr>
      <w:r w:rsidRPr="002428B7">
        <w:rPr>
          <w:sz w:val="24"/>
          <w:szCs w:val="24"/>
        </w:rPr>
        <w:t>W dniu 29.IV.2002 r. „FOL-MAR" Przedsiębiorstwo Produkcyjno-Handlowe Export-Import CZUBA Spółka Jawna z siedzibą w Łodzi dalej zwana wnioskodawcą IV wniosła za nrem Sp. 56/02 o unieważnienie prawa z rejestracji znaku towarowego przestrzennego nr R. 116211. Interes prawny wnioskodawca IV wywodzi z treści pisma uprawnionej z dnia 27.</w:t>
      </w:r>
      <w:r w:rsidR="00B12E2C" w:rsidRPr="002428B7">
        <w:rPr>
          <w:sz w:val="24"/>
          <w:szCs w:val="24"/>
        </w:rPr>
        <w:t>II</w:t>
      </w:r>
      <w:r w:rsidRPr="002428B7">
        <w:rPr>
          <w:sz w:val="24"/>
          <w:szCs w:val="24"/>
        </w:rPr>
        <w:t xml:space="preserve">.2002 r. - k. 11 </w:t>
      </w:r>
      <w:r w:rsidRPr="002428B7">
        <w:rPr>
          <w:rFonts w:cstheme="minorHAnsi"/>
          <w:sz w:val="24"/>
          <w:szCs w:val="24"/>
        </w:rPr>
        <w:t>÷</w:t>
      </w:r>
      <w:r w:rsidRPr="002428B7">
        <w:rPr>
          <w:sz w:val="24"/>
          <w:szCs w:val="24"/>
        </w:rPr>
        <w:t xml:space="preserve"> 13 akt Sp. 56/2 natomiast znak R116211 został zarejestrowany zdaniem wnioskodawcy IV z naruszeniem art. 7 i 8 pkt. 1 </w:t>
      </w:r>
      <w:proofErr w:type="spellStart"/>
      <w:r w:rsidRPr="002428B7">
        <w:rPr>
          <w:sz w:val="24"/>
          <w:szCs w:val="24"/>
        </w:rPr>
        <w:t>uzt</w:t>
      </w:r>
      <w:proofErr w:type="spellEnd"/>
      <w:r w:rsidRPr="002428B7">
        <w:rPr>
          <w:sz w:val="24"/>
          <w:szCs w:val="24"/>
        </w:rPr>
        <w:t xml:space="preserve">. Wniosek został poparty załącznikami k. 1 </w:t>
      </w:r>
      <w:r w:rsidR="00B12E2C" w:rsidRPr="002428B7">
        <w:rPr>
          <w:rFonts w:cstheme="minorHAnsi"/>
          <w:sz w:val="24"/>
          <w:szCs w:val="24"/>
        </w:rPr>
        <w:t>÷</w:t>
      </w:r>
      <w:r w:rsidRPr="002428B7">
        <w:rPr>
          <w:sz w:val="24"/>
          <w:szCs w:val="24"/>
        </w:rPr>
        <w:t xml:space="preserve"> 35 akt Sp. 56/02. </w:t>
      </w:r>
    </w:p>
    <w:p w14:paraId="025C29E4" w14:textId="77777777" w:rsidR="001121F0" w:rsidRPr="002428B7" w:rsidRDefault="001121F0" w:rsidP="001121F0">
      <w:pPr>
        <w:spacing w:after="0"/>
        <w:ind w:firstLine="567"/>
        <w:jc w:val="both"/>
        <w:rPr>
          <w:sz w:val="24"/>
          <w:szCs w:val="24"/>
        </w:rPr>
      </w:pPr>
      <w:r w:rsidRPr="002428B7">
        <w:rPr>
          <w:sz w:val="24"/>
          <w:szCs w:val="24"/>
        </w:rPr>
        <w:t>Uprawniona pismem z dnia 7.VI.2002 r. wniosła o zawieszenie postępowania do czasu rozpatrzenia sprawy Sp. 215/01. Pismem z dnia 9.VII.2002 r. wnioskodawca IV sprzeciwił się zawieszeniu postępowania i wniósł o łączne rozpoznanie sprawy Sp. 56/02 i spraw wcześniejszych tj. Sp. 215/01, Sp. 20/02, Sp. 55/02 oraz późniejszej Sp. 75/02.</w:t>
      </w:r>
    </w:p>
    <w:p w14:paraId="24BFD451" w14:textId="77777777" w:rsidR="001121F0" w:rsidRPr="002428B7" w:rsidRDefault="001121F0" w:rsidP="001121F0">
      <w:pPr>
        <w:spacing w:after="0"/>
        <w:ind w:firstLine="567"/>
        <w:jc w:val="both"/>
        <w:rPr>
          <w:sz w:val="24"/>
          <w:szCs w:val="24"/>
        </w:rPr>
      </w:pPr>
      <w:r w:rsidRPr="002428B7">
        <w:rPr>
          <w:sz w:val="24"/>
          <w:szCs w:val="24"/>
        </w:rPr>
        <w:t xml:space="preserve">Uprawniona pismem z dnia 22.X.2002 r. wniosła o zawieszenie postępowania w sprawie Sp. 56/02 do czasu załatwienia drugiego wniosku wnioskodawcy I. Pismem z dnia 6.XI.2002 r. </w:t>
      </w:r>
      <w:r w:rsidRPr="002428B7">
        <w:rPr>
          <w:sz w:val="24"/>
          <w:szCs w:val="24"/>
        </w:rPr>
        <w:lastRenderedPageBreak/>
        <w:t>wnioskodawca IV sprzeciwił się zawieszeniu postępowania w sprawie Sp. 56/02 na wniosek uprawnionej z dnia 22.X.2002 r.</w:t>
      </w:r>
    </w:p>
    <w:p w14:paraId="6E40DBA7" w14:textId="77777777" w:rsidR="001121F0" w:rsidRPr="002428B7" w:rsidRDefault="001121F0" w:rsidP="001121F0">
      <w:pPr>
        <w:spacing w:after="0"/>
        <w:ind w:firstLine="567"/>
        <w:jc w:val="both"/>
        <w:rPr>
          <w:sz w:val="24"/>
          <w:szCs w:val="24"/>
        </w:rPr>
      </w:pPr>
      <w:r w:rsidRPr="002428B7">
        <w:rPr>
          <w:sz w:val="24"/>
          <w:szCs w:val="24"/>
        </w:rPr>
        <w:t xml:space="preserve">Pismem z dnia 5.VI.2002 r. „LIDER’S 2000" Sp. z o.o. z siedzibą w Lipinach Starych, p-ta Wołomin zwana dalej wnioskodawcą V złożyła za nrem Sp. 75/02 wniosek o unieważnienie prawa z rejestracji znaku towarowego przestrzennego nr 116211 podnosząc w uzasadnieniu, że w dacie zgłoszenia do rejestracji ten znak nie miał dostatecznych znamion odróżniających w świetle art. 7 </w:t>
      </w:r>
      <w:proofErr w:type="spellStart"/>
      <w:r w:rsidRPr="002428B7">
        <w:rPr>
          <w:sz w:val="24"/>
          <w:szCs w:val="24"/>
        </w:rPr>
        <w:t>uzt</w:t>
      </w:r>
      <w:proofErr w:type="spellEnd"/>
      <w:r w:rsidRPr="002428B7">
        <w:rPr>
          <w:sz w:val="24"/>
          <w:szCs w:val="24"/>
        </w:rPr>
        <w:t>. Do wniosku dołączono 7 załączników. Interes prawny wnioskodawca V wywodzi z pisma uprawnionej z dnia 8.V.2002 r., k. 2 i 3 akt Sp. 75/02.</w:t>
      </w:r>
    </w:p>
    <w:p w14:paraId="4937774D" w14:textId="77777777" w:rsidR="001121F0" w:rsidRPr="002428B7" w:rsidRDefault="001121F0" w:rsidP="001121F0">
      <w:pPr>
        <w:spacing w:after="0"/>
        <w:ind w:firstLine="567"/>
        <w:jc w:val="both"/>
        <w:rPr>
          <w:sz w:val="24"/>
          <w:szCs w:val="24"/>
        </w:rPr>
      </w:pPr>
      <w:r w:rsidRPr="002428B7">
        <w:rPr>
          <w:sz w:val="24"/>
          <w:szCs w:val="24"/>
        </w:rPr>
        <w:t>Pismem z dnia 14.X.2002 r. wnioskodawca V wniósł o rozpoznanie sprawy Sp. 75/02 łącznie z wcześniejszymi tj. Sp. 215/01, Sp. 20/02, Sp. 55/02 i Sp. 56/02. Pismem z dnia 22.X.2002 r. uprawniona wniosła o zawieszenie postępowania w sprawie Sp. 75/02 do czasu załatwienia drugiego wniosku wnioskodawcy I.</w:t>
      </w:r>
    </w:p>
    <w:p w14:paraId="6FE89285" w14:textId="77777777" w:rsidR="001121F0" w:rsidRPr="002428B7" w:rsidRDefault="001121F0" w:rsidP="001121F0">
      <w:pPr>
        <w:spacing w:after="0"/>
        <w:ind w:firstLine="567"/>
        <w:jc w:val="both"/>
        <w:rPr>
          <w:sz w:val="24"/>
          <w:szCs w:val="24"/>
        </w:rPr>
      </w:pPr>
      <w:r w:rsidRPr="002428B7">
        <w:rPr>
          <w:sz w:val="24"/>
          <w:szCs w:val="24"/>
        </w:rPr>
        <w:t xml:space="preserve">Postanowieniem z dnia 25.X.2002 r. Urząd Patentowy RP działający w trybie postępowania spornego połączył do jednego postępowania sprawy Sp. 215/01, Sp. 20/02, Sp. 55/02, Sp. 56/02 i Sp. 75/02 wobec zaistnienia przesłanek określonych w art. 62 kpa w związku z art. 256 ust. 1 ustawy </w:t>
      </w:r>
      <w:proofErr w:type="spellStart"/>
      <w:r w:rsidRPr="002428B7">
        <w:rPr>
          <w:sz w:val="24"/>
          <w:szCs w:val="24"/>
        </w:rPr>
        <w:t>pwp</w:t>
      </w:r>
      <w:proofErr w:type="spellEnd"/>
      <w:r w:rsidRPr="002428B7">
        <w:rPr>
          <w:sz w:val="24"/>
          <w:szCs w:val="24"/>
        </w:rPr>
        <w:t>.</w:t>
      </w:r>
    </w:p>
    <w:p w14:paraId="4849F872" w14:textId="3229CC1A" w:rsidR="001121F0" w:rsidRPr="002428B7" w:rsidRDefault="001121F0" w:rsidP="001121F0">
      <w:pPr>
        <w:spacing w:after="0"/>
        <w:ind w:firstLine="567"/>
        <w:jc w:val="both"/>
        <w:rPr>
          <w:sz w:val="24"/>
          <w:szCs w:val="24"/>
        </w:rPr>
      </w:pPr>
      <w:r w:rsidRPr="002428B7">
        <w:rPr>
          <w:sz w:val="24"/>
          <w:szCs w:val="24"/>
        </w:rPr>
        <w:t xml:space="preserve">Na rozprawie w dniu 28.XI.2002 r. wnioskodawcy I </w:t>
      </w:r>
      <w:r w:rsidR="00B12E2C" w:rsidRPr="002428B7">
        <w:rPr>
          <w:rFonts w:cstheme="minorHAnsi"/>
          <w:sz w:val="24"/>
          <w:szCs w:val="24"/>
        </w:rPr>
        <w:t>÷</w:t>
      </w:r>
      <w:r w:rsidRPr="002428B7">
        <w:rPr>
          <w:sz w:val="24"/>
          <w:szCs w:val="24"/>
        </w:rPr>
        <w:t xml:space="preserve"> V podtrzymali swoje uprzednio prezentowane stanowiska </w:t>
      </w:r>
      <w:proofErr w:type="gramStart"/>
      <w:r w:rsidRPr="002428B7">
        <w:rPr>
          <w:sz w:val="24"/>
          <w:szCs w:val="24"/>
        </w:rPr>
        <w:t>odnośnie</w:t>
      </w:r>
      <w:proofErr w:type="gramEnd"/>
      <w:r w:rsidRPr="002428B7">
        <w:rPr>
          <w:sz w:val="24"/>
          <w:szCs w:val="24"/>
        </w:rPr>
        <w:t xml:space="preserve"> braku zdolności rejestrowej znaku towarowego przestrzennego R 116211 oraz złożyli załączniki do protokołu wraz z dowodami. Wnioskodawca I dołączył do akt 215/01 cz. II pismo z dnia 28.X.2002 r. wraz z załącznikami w tym opinie prof. Urszuli Promińskiej i prof. Ryszarda Skubisza k. 192 </w:t>
      </w:r>
      <w:r w:rsidRPr="002428B7">
        <w:rPr>
          <w:rFonts w:cstheme="minorHAnsi"/>
          <w:sz w:val="24"/>
          <w:szCs w:val="24"/>
        </w:rPr>
        <w:t>÷</w:t>
      </w:r>
      <w:r w:rsidRPr="002428B7">
        <w:rPr>
          <w:sz w:val="24"/>
          <w:szCs w:val="24"/>
        </w:rPr>
        <w:t xml:space="preserve"> 217, wnioskodawca II złożył do akt Sp. 20/02 załącznik k. 67 </w:t>
      </w:r>
      <w:r w:rsidRPr="002428B7">
        <w:rPr>
          <w:rFonts w:cstheme="minorHAnsi"/>
          <w:sz w:val="24"/>
          <w:szCs w:val="24"/>
        </w:rPr>
        <w:t>÷</w:t>
      </w:r>
      <w:r w:rsidRPr="002428B7">
        <w:rPr>
          <w:sz w:val="24"/>
          <w:szCs w:val="24"/>
        </w:rPr>
        <w:t xml:space="preserve"> 69, wnioskodawca III złożył do akt Sp. 55/02 załącznik wraz z dowodami k. 75 </w:t>
      </w:r>
      <w:r w:rsidRPr="002428B7">
        <w:rPr>
          <w:rFonts w:cstheme="minorHAnsi"/>
          <w:sz w:val="24"/>
          <w:szCs w:val="24"/>
        </w:rPr>
        <w:t>÷</w:t>
      </w:r>
      <w:r w:rsidRPr="002428B7">
        <w:rPr>
          <w:sz w:val="24"/>
          <w:szCs w:val="24"/>
        </w:rPr>
        <w:t xml:space="preserve"> 74, wnioskodawca IV dołączył do akt Sp. 56/02 stanowisko k. 73 </w:t>
      </w:r>
      <w:r w:rsidRPr="002428B7">
        <w:rPr>
          <w:rFonts w:cstheme="minorHAnsi"/>
          <w:sz w:val="24"/>
          <w:szCs w:val="24"/>
        </w:rPr>
        <w:t>÷</w:t>
      </w:r>
      <w:r w:rsidRPr="002428B7">
        <w:rPr>
          <w:sz w:val="24"/>
          <w:szCs w:val="24"/>
        </w:rPr>
        <w:t xml:space="preserve"> 74 wraz z dowodami i wnioskodawca V do akt Sp. 75/02 dołączył uzupełnienie pierwotnego wniosku k. 48 </w:t>
      </w:r>
      <w:r w:rsidRPr="002428B7">
        <w:rPr>
          <w:rFonts w:cstheme="minorHAnsi"/>
          <w:sz w:val="24"/>
          <w:szCs w:val="24"/>
        </w:rPr>
        <w:t>÷</w:t>
      </w:r>
      <w:r w:rsidRPr="002428B7">
        <w:rPr>
          <w:sz w:val="24"/>
          <w:szCs w:val="24"/>
        </w:rPr>
        <w:t xml:space="preserve"> 47</w:t>
      </w:r>
    </w:p>
    <w:p w14:paraId="58CCF844" w14:textId="5AE69FE0" w:rsidR="001121F0" w:rsidRPr="002428B7" w:rsidRDefault="001121F0" w:rsidP="001121F0">
      <w:pPr>
        <w:spacing w:after="0"/>
        <w:ind w:firstLine="567"/>
        <w:jc w:val="both"/>
        <w:rPr>
          <w:sz w:val="24"/>
          <w:szCs w:val="24"/>
        </w:rPr>
      </w:pPr>
      <w:r w:rsidRPr="002428B7">
        <w:rPr>
          <w:sz w:val="24"/>
          <w:szCs w:val="24"/>
        </w:rPr>
        <w:t>Uprawniona z rejestracji wniosła o odroczenie rozprawy w trybie art. 10 kpa celem zapoznania się z dokumentami otrzymanymi na rozprawie i przedstawieniu swojego stanowiska a w dniu 16.</w:t>
      </w:r>
      <w:r w:rsidR="00B12E2C" w:rsidRPr="002428B7">
        <w:rPr>
          <w:sz w:val="24"/>
          <w:szCs w:val="24"/>
        </w:rPr>
        <w:t>I</w:t>
      </w:r>
      <w:r w:rsidRPr="002428B7">
        <w:rPr>
          <w:sz w:val="24"/>
          <w:szCs w:val="24"/>
        </w:rPr>
        <w:t xml:space="preserve">.2003 r. przedłożyła m.in. do akt Sp. 215/01 cz. II opinię autorstwa dr hab. Ewy Nowińskiej i prof. Michała </w:t>
      </w:r>
      <w:proofErr w:type="spellStart"/>
      <w:r w:rsidRPr="002428B7">
        <w:rPr>
          <w:sz w:val="24"/>
          <w:szCs w:val="24"/>
        </w:rPr>
        <w:t>du</w:t>
      </w:r>
      <w:proofErr w:type="spellEnd"/>
      <w:r w:rsidRPr="002428B7">
        <w:rPr>
          <w:sz w:val="24"/>
          <w:szCs w:val="24"/>
        </w:rPr>
        <w:t xml:space="preserve"> </w:t>
      </w:r>
      <w:proofErr w:type="spellStart"/>
      <w:r w:rsidRPr="002428B7">
        <w:rPr>
          <w:sz w:val="24"/>
          <w:szCs w:val="24"/>
        </w:rPr>
        <w:t>Vall</w:t>
      </w:r>
      <w:proofErr w:type="spellEnd"/>
      <w:r w:rsidRPr="002428B7">
        <w:rPr>
          <w:sz w:val="24"/>
          <w:szCs w:val="24"/>
        </w:rPr>
        <w:t xml:space="preserve"> zatytułowaną: „Opinia uzupełniająca do opinii...” (k. 227 </w:t>
      </w:r>
      <w:r w:rsidRPr="002428B7">
        <w:rPr>
          <w:rFonts w:cstheme="minorHAnsi"/>
          <w:sz w:val="24"/>
          <w:szCs w:val="24"/>
        </w:rPr>
        <w:t>÷</w:t>
      </w:r>
      <w:r w:rsidRPr="002428B7">
        <w:rPr>
          <w:sz w:val="24"/>
          <w:szCs w:val="24"/>
        </w:rPr>
        <w:t xml:space="preserve"> 242). Opinii pierwotnej wymienionych autorów uprawniona nie przedłożyła.</w:t>
      </w:r>
    </w:p>
    <w:p w14:paraId="4A5D3426" w14:textId="7625D827" w:rsidR="001121F0" w:rsidRPr="002428B7" w:rsidRDefault="001121F0" w:rsidP="001121F0">
      <w:pPr>
        <w:spacing w:after="0"/>
        <w:ind w:firstLine="567"/>
        <w:jc w:val="both"/>
        <w:rPr>
          <w:sz w:val="24"/>
          <w:szCs w:val="24"/>
        </w:rPr>
      </w:pPr>
      <w:r w:rsidRPr="002428B7">
        <w:rPr>
          <w:sz w:val="24"/>
          <w:szCs w:val="24"/>
        </w:rPr>
        <w:t>Pismem z dnia 15.</w:t>
      </w:r>
      <w:r w:rsidR="00B12E2C" w:rsidRPr="002428B7">
        <w:rPr>
          <w:sz w:val="24"/>
          <w:szCs w:val="24"/>
        </w:rPr>
        <w:t>III</w:t>
      </w:r>
      <w:r w:rsidRPr="002428B7">
        <w:rPr>
          <w:sz w:val="24"/>
          <w:szCs w:val="24"/>
        </w:rPr>
        <w:t xml:space="preserve">.2002 r. wnioskodawca I złożył do akt Sp. 215/01 cz. II dodatkowe materiały k. 257 </w:t>
      </w:r>
      <w:r w:rsidRPr="002428B7">
        <w:rPr>
          <w:rFonts w:cstheme="minorHAnsi"/>
          <w:sz w:val="24"/>
          <w:szCs w:val="24"/>
        </w:rPr>
        <w:t>÷</w:t>
      </w:r>
      <w:r w:rsidRPr="002428B7">
        <w:rPr>
          <w:sz w:val="24"/>
          <w:szCs w:val="24"/>
        </w:rPr>
        <w:t xml:space="preserve"> 268 w tym opinię prof. Andrzeja Szewca.</w:t>
      </w:r>
    </w:p>
    <w:p w14:paraId="74A681C6" w14:textId="7C455642" w:rsidR="001121F0" w:rsidRPr="002428B7" w:rsidRDefault="001121F0" w:rsidP="001121F0">
      <w:pPr>
        <w:spacing w:after="0"/>
        <w:ind w:firstLine="567"/>
        <w:jc w:val="both"/>
        <w:rPr>
          <w:sz w:val="24"/>
          <w:szCs w:val="24"/>
        </w:rPr>
      </w:pPr>
      <w:r w:rsidRPr="002428B7">
        <w:rPr>
          <w:sz w:val="24"/>
          <w:szCs w:val="24"/>
        </w:rPr>
        <w:t>W dniu 21.</w:t>
      </w:r>
      <w:r w:rsidR="00B12E2C" w:rsidRPr="002428B7">
        <w:rPr>
          <w:sz w:val="24"/>
          <w:szCs w:val="24"/>
        </w:rPr>
        <w:t>III</w:t>
      </w:r>
      <w:r w:rsidRPr="002428B7">
        <w:rPr>
          <w:sz w:val="24"/>
          <w:szCs w:val="24"/>
        </w:rPr>
        <w:t xml:space="preserve">.2003 r. uprawniona złożyła do akt Sp. 215 cz. III swoje stanowisko wraz z załącznikami k. 269 </w:t>
      </w:r>
      <w:r w:rsidRPr="002428B7">
        <w:rPr>
          <w:rFonts w:cstheme="minorHAnsi"/>
          <w:sz w:val="24"/>
          <w:szCs w:val="24"/>
        </w:rPr>
        <w:t>÷</w:t>
      </w:r>
      <w:r w:rsidRPr="002428B7">
        <w:rPr>
          <w:sz w:val="24"/>
          <w:szCs w:val="24"/>
        </w:rPr>
        <w:t xml:space="preserve"> 428 akt oraz wniosła o przesłuchanie 4-rech świadków.</w:t>
      </w:r>
    </w:p>
    <w:p w14:paraId="32CD7F51" w14:textId="77777777" w:rsidR="001121F0" w:rsidRPr="002428B7" w:rsidRDefault="001121F0" w:rsidP="001121F0">
      <w:pPr>
        <w:spacing w:after="0"/>
        <w:ind w:firstLine="567"/>
        <w:jc w:val="both"/>
        <w:rPr>
          <w:sz w:val="24"/>
          <w:szCs w:val="24"/>
        </w:rPr>
      </w:pPr>
      <w:r w:rsidRPr="002428B7">
        <w:rPr>
          <w:sz w:val="24"/>
          <w:szCs w:val="24"/>
        </w:rPr>
        <w:t xml:space="preserve">Na rozprawie (Sp. 215 cz. IV) w dniu 26.III.2003 r. wnioskodawcy I </w:t>
      </w:r>
      <w:r w:rsidRPr="002428B7">
        <w:rPr>
          <w:rFonts w:cstheme="minorHAnsi"/>
          <w:sz w:val="24"/>
          <w:szCs w:val="24"/>
        </w:rPr>
        <w:t>÷</w:t>
      </w:r>
      <w:r w:rsidRPr="002428B7">
        <w:rPr>
          <w:sz w:val="24"/>
          <w:szCs w:val="24"/>
        </w:rPr>
        <w:t xml:space="preserve"> V podtrzymali swoje stanowiska, natomiast uprawniona nie tylko podtrzymała swoje uprzednie stanowisko jak i wszystkie wcześniejsze wnioski, lecz także złożyła do akt nowe dokumenty i dowody.</w:t>
      </w:r>
    </w:p>
    <w:p w14:paraId="109A1FF8" w14:textId="77777777" w:rsidR="001121F0" w:rsidRPr="002428B7" w:rsidRDefault="001121F0" w:rsidP="001121F0">
      <w:pPr>
        <w:spacing w:after="0"/>
        <w:ind w:firstLine="567"/>
        <w:jc w:val="both"/>
        <w:rPr>
          <w:sz w:val="24"/>
          <w:szCs w:val="24"/>
        </w:rPr>
      </w:pPr>
      <w:r w:rsidRPr="002428B7">
        <w:rPr>
          <w:sz w:val="24"/>
          <w:szCs w:val="24"/>
        </w:rPr>
        <w:t>Zarzuty podniesione przez wnioskodawców:</w:t>
      </w:r>
    </w:p>
    <w:p w14:paraId="03C922E5"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towar nie może być znakiem towarowym;</w:t>
      </w:r>
    </w:p>
    <w:p w14:paraId="564C6EB3"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rejestracja znaku uniemożliwia innym producentom wytwarzanie pewnego typu produktów;</w:t>
      </w:r>
    </w:p>
    <w:p w14:paraId="4D3FBC1E"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ciastka w postaci zarejestrowanego znaku były przed data zgłoszenia produkowane przez inne firmy;</w:t>
      </w:r>
    </w:p>
    <w:p w14:paraId="2120A4BD"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lastRenderedPageBreak/>
        <w:t>ciastko objęte ochroną R. 116211 stało się swego rodzaju „nazwą rodzajową” - określeniem deskryptywnym, podanym nie w formie opisu lecz rysunku i nie ma zdolności odróżniającej;</w:t>
      </w:r>
    </w:p>
    <w:p w14:paraId="7C5CB854"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rejestracja znaku R. 116211 prowadzi do monopolizacji produkcji przez uprawnioną;</w:t>
      </w:r>
    </w:p>
    <w:p w14:paraId="0C186E46"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intencją uprawnionej w chwili zgłoszenia znaku było wyeliminowanie konkurentów z określonego obszaru rynku i przejęcie ich klienteli;</w:t>
      </w:r>
    </w:p>
    <w:p w14:paraId="204B1B5E"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monopolizacja wywołana rejestracją R. 116211 jest szkodliwa dla rynku i sprzeczna z zasadami współżycia społecznego;</w:t>
      </w:r>
    </w:p>
    <w:p w14:paraId="7C65B7DE"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postać spornego znaku jest banalna i powszechnie nadawana ciastkom w tej grupie towarowej przez wielu producentów w Polsce i poza jej granicami;</w:t>
      </w:r>
    </w:p>
    <w:p w14:paraId="654BADDE" w14:textId="0B0B2302"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na rynku dostępne są od lat maszyny do produkcji ciastek o kształcie dokładnie takim, jak kształt przestrzennego znaku R 116211;</w:t>
      </w:r>
    </w:p>
    <w:p w14:paraId="2359FEFB"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forma znaku wynika wyłącznie z właściwości ciasta biszkoptowego, które rozlewa się na formie i zastyga w czasie pieczenia w takiej postaci, jaką przedstawia sporny znak;</w:t>
      </w:r>
    </w:p>
    <w:p w14:paraId="4E97BB26" w14:textId="5D2CA58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stosowanie objętego rejestracją kształtu znaku - ciastka nakazywała uczestnikom obrotu gospodarczego norma branżowa z dnia 20.VIII.1984 r. nr BN-84/8097-17 obowiązująca od 1.</w:t>
      </w:r>
      <w:r w:rsidR="00B12E2C" w:rsidRPr="002428B7">
        <w:rPr>
          <w:sz w:val="24"/>
          <w:szCs w:val="24"/>
        </w:rPr>
        <w:t>I</w:t>
      </w:r>
      <w:r w:rsidRPr="002428B7">
        <w:rPr>
          <w:sz w:val="24"/>
          <w:szCs w:val="24"/>
        </w:rPr>
        <w:t>.1985 r.;</w:t>
      </w:r>
    </w:p>
    <w:p w14:paraId="2DF38416"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podstawy do unieważnienia rejestracji tego rodzaju znaku towarowego (R. 116211) nie można zniweczyć przez wykazanie, że istnieją inne kształty tego typu ciastek;</w:t>
      </w:r>
    </w:p>
    <w:p w14:paraId="721F0D51"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przedmiotowy znak towarowy nie posiada zdolności odróżniającej ponieważ:</w:t>
      </w:r>
    </w:p>
    <w:p w14:paraId="2C4EC7A6" w14:textId="77777777" w:rsidR="001121F0" w:rsidRPr="002428B7" w:rsidRDefault="001121F0" w:rsidP="001F6BE3">
      <w:pPr>
        <w:pStyle w:val="Akapitzlist"/>
        <w:numPr>
          <w:ilvl w:val="1"/>
          <w:numId w:val="24"/>
        </w:numPr>
        <w:spacing w:line="259" w:lineRule="auto"/>
        <w:ind w:left="851"/>
        <w:contextualSpacing/>
        <w:jc w:val="both"/>
        <w:rPr>
          <w:b/>
          <w:bCs/>
          <w:sz w:val="24"/>
          <w:szCs w:val="24"/>
        </w:rPr>
      </w:pPr>
      <w:r w:rsidRPr="002428B7">
        <w:rPr>
          <w:sz w:val="24"/>
          <w:szCs w:val="24"/>
        </w:rPr>
        <w:t>znak ten przedstawia typową podstawową formę oznaczonego nim towaru;</w:t>
      </w:r>
    </w:p>
    <w:p w14:paraId="654E0272" w14:textId="77777777" w:rsidR="001121F0" w:rsidRPr="002428B7" w:rsidRDefault="001121F0" w:rsidP="001F6BE3">
      <w:pPr>
        <w:pStyle w:val="Akapitzlist"/>
        <w:numPr>
          <w:ilvl w:val="1"/>
          <w:numId w:val="24"/>
        </w:numPr>
        <w:spacing w:line="259" w:lineRule="auto"/>
        <w:ind w:left="851"/>
        <w:contextualSpacing/>
        <w:jc w:val="both"/>
        <w:rPr>
          <w:b/>
          <w:bCs/>
          <w:sz w:val="24"/>
          <w:szCs w:val="24"/>
        </w:rPr>
      </w:pPr>
      <w:r w:rsidRPr="002428B7">
        <w:rPr>
          <w:sz w:val="24"/>
          <w:szCs w:val="24"/>
        </w:rPr>
        <w:t>jego kształt nie jest oryginalny i nie umożliwia odbiorcy rozpoznania źródła pochodzenia towaru;</w:t>
      </w:r>
    </w:p>
    <w:p w14:paraId="7CC0B2C4" w14:textId="77777777" w:rsidR="001121F0" w:rsidRPr="002428B7" w:rsidRDefault="001121F0" w:rsidP="001F6BE3">
      <w:pPr>
        <w:pStyle w:val="Akapitzlist"/>
        <w:numPr>
          <w:ilvl w:val="1"/>
          <w:numId w:val="24"/>
        </w:numPr>
        <w:spacing w:line="259" w:lineRule="auto"/>
        <w:ind w:left="851"/>
        <w:contextualSpacing/>
        <w:jc w:val="both"/>
        <w:rPr>
          <w:b/>
          <w:bCs/>
          <w:sz w:val="24"/>
          <w:szCs w:val="24"/>
        </w:rPr>
      </w:pPr>
      <w:r w:rsidRPr="002428B7">
        <w:rPr>
          <w:sz w:val="24"/>
          <w:szCs w:val="24"/>
        </w:rPr>
        <w:t>znak ten nie mógł także nabyć wtórnej zdolności odróżniającej, ponieważ przed datą zgłoszenia do rejestracji powszechnie używały go inne przedsiębiorstwa;</w:t>
      </w:r>
    </w:p>
    <w:p w14:paraId="079703DD" w14:textId="77777777" w:rsidR="001121F0" w:rsidRPr="002428B7" w:rsidRDefault="001121F0" w:rsidP="001F6BE3">
      <w:pPr>
        <w:pStyle w:val="Akapitzlist"/>
        <w:numPr>
          <w:ilvl w:val="1"/>
          <w:numId w:val="24"/>
        </w:numPr>
        <w:spacing w:line="259" w:lineRule="auto"/>
        <w:ind w:left="851"/>
        <w:contextualSpacing/>
        <w:jc w:val="both"/>
        <w:rPr>
          <w:b/>
          <w:bCs/>
          <w:sz w:val="24"/>
          <w:szCs w:val="24"/>
        </w:rPr>
      </w:pPr>
      <w:r w:rsidRPr="002428B7">
        <w:rPr>
          <w:sz w:val="24"/>
          <w:szCs w:val="24"/>
        </w:rPr>
        <w:t>nie można mówić o nabywaniu przez znak wtórnej zdolności odróżniającej w związku z intensywną obecnością na rynku, ponieważ klientom znane są jedynie zewnętrzne oznaczenia opakowań - E. Wedel Delicje Szampańskie;</w:t>
      </w:r>
    </w:p>
    <w:p w14:paraId="477BF619"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 xml:space="preserve">rejestracja znaku towarowego jest sprzeczna z zasadami współżycia społecznego ponieważ: </w:t>
      </w:r>
    </w:p>
    <w:p w14:paraId="799CFB7D"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rejestracja jest wykorzystywana do eliminacji innych uczestników obrotu z tego sektora rynku, w którym są i byli oni obecni znacznie wcześniej przed zgłoszeniem znaku do ochrony;</w:t>
      </w:r>
    </w:p>
    <w:p w14:paraId="1668E585"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rejestracja służy uprawnionej do osiągnięcia celów sprzecznych z funkcją znaku towarowego;</w:t>
      </w:r>
    </w:p>
    <w:p w14:paraId="5139E393"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rejestracja jest wykorzystywana przez uprawnioną w obszarach, w których prawa właściwe do zapewnienia wyłączności produkcji (patent, świadectwo ochronne na wzór zdobniczy) - dawno by już wygasły, gdyby kiedykolwiek przysługiwały uprawnionej;</w:t>
      </w:r>
    </w:p>
    <w:p w14:paraId="34DC6A73"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sporny znak nie może być analizowany w oderwaniu od warunków zewnętrznych, w tym w oderwaniu od sytuacji w innych krajach, w których powszechnie rożne podmioty realizują od lat produkcję dokładnie takich ciastek, jak przedmiotowe, zaś zasadnicze znaczenie w sprawie ma fakt, że</w:t>
      </w:r>
    </w:p>
    <w:p w14:paraId="06EC94C6"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lastRenderedPageBreak/>
        <w:t xml:space="preserve">technologia na produkcję tego rodzaju ciastek została opracowana i jest od ponad 60-ciu lat realizowana w Wielkiej Brytanii przez firmę Jaffa </w:t>
      </w:r>
      <w:proofErr w:type="spellStart"/>
      <w:r w:rsidRPr="002428B7">
        <w:rPr>
          <w:sz w:val="24"/>
          <w:szCs w:val="24"/>
        </w:rPr>
        <w:t>Cakes</w:t>
      </w:r>
      <w:proofErr w:type="spellEnd"/>
      <w:r w:rsidRPr="002428B7">
        <w:rPr>
          <w:sz w:val="24"/>
          <w:szCs w:val="24"/>
        </w:rPr>
        <w:t xml:space="preserve">; </w:t>
      </w:r>
    </w:p>
    <w:p w14:paraId="3D141EFC" w14:textId="77777777" w:rsidR="001121F0" w:rsidRPr="002428B7" w:rsidRDefault="001121F0" w:rsidP="001F6BE3">
      <w:pPr>
        <w:pStyle w:val="Akapitzlist"/>
        <w:numPr>
          <w:ilvl w:val="0"/>
          <w:numId w:val="23"/>
        </w:numPr>
        <w:spacing w:line="259" w:lineRule="auto"/>
        <w:ind w:left="567" w:hanging="567"/>
        <w:contextualSpacing/>
        <w:jc w:val="both"/>
        <w:rPr>
          <w:b/>
          <w:bCs/>
          <w:sz w:val="24"/>
          <w:szCs w:val="24"/>
        </w:rPr>
      </w:pPr>
      <w:r w:rsidRPr="002428B7">
        <w:rPr>
          <w:sz w:val="24"/>
          <w:szCs w:val="24"/>
        </w:rPr>
        <w:t>kształt ciastka jego zewnętrzne cechy oraz kolorystyka wg R 116211 wynikają wyłącznie:</w:t>
      </w:r>
    </w:p>
    <w:p w14:paraId="47F58615"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ze stosowanych do jego produkcji maszyn (urządzeń);</w:t>
      </w:r>
    </w:p>
    <w:p w14:paraId="3125B9FB"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 xml:space="preserve">użytych surowców - ciasta biszkoptowego, galaretki, masy czekoladowej i/lub kakaowej lub </w:t>
      </w:r>
      <w:proofErr w:type="spellStart"/>
      <w:r w:rsidRPr="002428B7">
        <w:rPr>
          <w:sz w:val="24"/>
          <w:szCs w:val="24"/>
        </w:rPr>
        <w:t>tp</w:t>
      </w:r>
      <w:proofErr w:type="spellEnd"/>
      <w:r w:rsidRPr="002428B7">
        <w:rPr>
          <w:sz w:val="24"/>
          <w:szCs w:val="24"/>
        </w:rPr>
        <w:t>.;</w:t>
      </w:r>
    </w:p>
    <w:p w14:paraId="0F5CB0AC"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technologii produkcji polegającej na mechanicznym, za pomocą urządzeń:</w:t>
      </w:r>
    </w:p>
    <w:p w14:paraId="71F26BD5"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punktowym dozowaniu ciasta biszkoptowego, co powoduje okrągły kształt biszkoptu;</w:t>
      </w:r>
    </w:p>
    <w:p w14:paraId="7C1FB0CD"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punktowym dozowaniu galaretki na ciastku, co powoduje powstanie okrągłego wzniesienia o mniejszej średnicy, którego powierzchnia jest wypukła;</w:t>
      </w:r>
    </w:p>
    <w:p w14:paraId="66CEB45D"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mechanicznym jednostronnym powlekaniu masą czekoladową, w trakcie którego powstaje prostokątna kratka, stanowiąca odwzorowanie siatkowej taśmy urządzenia na którym odbywa się ten proces;</w:t>
      </w:r>
    </w:p>
    <w:p w14:paraId="22EA326C"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rejestracja spornego znaku postawiła innych producentów przed dylematem wzajemnej sprzeczności, gdzie z jednej strony zaistniały prawa wyłączne na kształt ciastka, wcześniej wskazany w podręcznikowych technologiach, normach branżowych i zakładowych i będących skutkiem używania linii produkcyjnych kupionych kosztem wielu finansowych wyrzeczeń dla utrzymania rosnących wymogów technologicznych i jakościowych, a z drugiej strony egzystencją tych zakładów i możnością utrzymania dotychczasowej produkcji, dlatego też w wyniku tej kwestionowanej rejestracji zostały zachwiane zasady współżycia społecznego a monopolistyczne dążenia uprawnionej mogą doprowadzić do upadłości innych producentów biszkoptów nadziewanych w polewie kakaowej;</w:t>
      </w:r>
    </w:p>
    <w:p w14:paraId="0D9D1C86"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 xml:space="preserve">rejestracja spornego znaku naruszyła prawa osobiste i majątkowe producentów ciastek typu </w:t>
      </w:r>
      <w:proofErr w:type="spellStart"/>
      <w:r w:rsidRPr="002428B7">
        <w:rPr>
          <w:sz w:val="24"/>
          <w:szCs w:val="24"/>
        </w:rPr>
        <w:t>jaffa</w:t>
      </w:r>
      <w:proofErr w:type="spellEnd"/>
      <w:r w:rsidRPr="002428B7">
        <w:rPr>
          <w:sz w:val="24"/>
          <w:szCs w:val="24"/>
        </w:rPr>
        <w:t>;</w:t>
      </w:r>
    </w:p>
    <w:p w14:paraId="5F5BF880"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 xml:space="preserve">rejestracja spornego znaku naruszyła prawa osobiste i majątkowe producentów urządzeń do wytwarzania ciastek typu </w:t>
      </w:r>
      <w:proofErr w:type="spellStart"/>
      <w:r w:rsidRPr="002428B7">
        <w:rPr>
          <w:sz w:val="24"/>
          <w:szCs w:val="24"/>
        </w:rPr>
        <w:t>jaffa</w:t>
      </w:r>
      <w:proofErr w:type="spellEnd"/>
      <w:r w:rsidRPr="002428B7">
        <w:rPr>
          <w:sz w:val="24"/>
          <w:szCs w:val="24"/>
        </w:rPr>
        <w:t>;</w:t>
      </w:r>
    </w:p>
    <w:p w14:paraId="66592CB3" w14:textId="77777777" w:rsidR="001121F0" w:rsidRPr="002428B7" w:rsidRDefault="001121F0" w:rsidP="001F6BE3">
      <w:pPr>
        <w:pStyle w:val="Akapitzlist"/>
        <w:numPr>
          <w:ilvl w:val="1"/>
          <w:numId w:val="24"/>
        </w:numPr>
        <w:spacing w:line="259" w:lineRule="auto"/>
        <w:ind w:left="851"/>
        <w:contextualSpacing/>
        <w:jc w:val="both"/>
        <w:rPr>
          <w:sz w:val="24"/>
          <w:szCs w:val="24"/>
        </w:rPr>
      </w:pPr>
      <w:r w:rsidRPr="002428B7">
        <w:rPr>
          <w:sz w:val="24"/>
          <w:szCs w:val="24"/>
        </w:rPr>
        <w:t>zgłaszając do rejestracji sporny znak uprawniona wiedziała, że doprowadzi innych producentów ciastek typu Jaffa do upadłości na rynku krajowym i rynkach zagranicznych, zatem można domniemywać, że uprawniona działała w złej wierze.</w:t>
      </w:r>
    </w:p>
    <w:p w14:paraId="0614C5F1" w14:textId="77777777" w:rsidR="001121F0" w:rsidRPr="005E0071" w:rsidRDefault="001121F0" w:rsidP="001121F0">
      <w:pPr>
        <w:pStyle w:val="Akapitzlist"/>
        <w:ind w:left="851"/>
        <w:jc w:val="both"/>
        <w:rPr>
          <w:sz w:val="6"/>
          <w:szCs w:val="6"/>
        </w:rPr>
      </w:pPr>
    </w:p>
    <w:p w14:paraId="65FA6C24" w14:textId="77777777" w:rsidR="001121F0" w:rsidRPr="002428B7" w:rsidRDefault="001121F0" w:rsidP="001121F0">
      <w:pPr>
        <w:spacing w:after="0"/>
        <w:ind w:firstLine="567"/>
        <w:jc w:val="both"/>
        <w:rPr>
          <w:sz w:val="24"/>
          <w:szCs w:val="24"/>
        </w:rPr>
      </w:pPr>
      <w:r w:rsidRPr="002428B7">
        <w:rPr>
          <w:sz w:val="24"/>
          <w:szCs w:val="24"/>
        </w:rPr>
        <w:t>Do wszystkich powyższych zarzutów ustosunkowała się uprawniona:</w:t>
      </w:r>
    </w:p>
    <w:p w14:paraId="531386C1" w14:textId="77777777" w:rsidR="001121F0" w:rsidRPr="002428B7" w:rsidRDefault="001121F0" w:rsidP="001F6BE3">
      <w:pPr>
        <w:pStyle w:val="Akapitzlist"/>
        <w:numPr>
          <w:ilvl w:val="0"/>
          <w:numId w:val="25"/>
        </w:numPr>
        <w:spacing w:line="259" w:lineRule="auto"/>
        <w:ind w:left="567" w:hanging="567"/>
        <w:contextualSpacing/>
        <w:jc w:val="both"/>
        <w:rPr>
          <w:sz w:val="24"/>
          <w:szCs w:val="24"/>
        </w:rPr>
      </w:pPr>
      <w:r w:rsidRPr="002428B7">
        <w:rPr>
          <w:sz w:val="24"/>
          <w:szCs w:val="24"/>
        </w:rPr>
        <w:t xml:space="preserve">w piśmie z dnia 14.V.2002 </w:t>
      </w:r>
      <w:proofErr w:type="gramStart"/>
      <w:r w:rsidRPr="002428B7">
        <w:rPr>
          <w:sz w:val="24"/>
          <w:szCs w:val="24"/>
        </w:rPr>
        <w:t>r„ k.</w:t>
      </w:r>
      <w:proofErr w:type="gramEnd"/>
      <w:r w:rsidRPr="002428B7">
        <w:rPr>
          <w:sz w:val="24"/>
          <w:szCs w:val="24"/>
        </w:rPr>
        <w:t xml:space="preserve"> 137</w:t>
      </w:r>
      <w:r w:rsidRPr="002428B7">
        <w:rPr>
          <w:rFonts w:cstheme="minorHAnsi"/>
          <w:sz w:val="24"/>
          <w:szCs w:val="24"/>
        </w:rPr>
        <w:t>÷</w:t>
      </w:r>
      <w:r w:rsidRPr="002428B7">
        <w:rPr>
          <w:sz w:val="24"/>
          <w:szCs w:val="24"/>
        </w:rPr>
        <w:t xml:space="preserve"> 132 + załączniki k. 131 </w:t>
      </w:r>
      <w:r w:rsidRPr="002428B7">
        <w:rPr>
          <w:rFonts w:cstheme="minorHAnsi"/>
          <w:sz w:val="24"/>
          <w:szCs w:val="24"/>
        </w:rPr>
        <w:t>÷</w:t>
      </w:r>
      <w:r w:rsidRPr="002428B7">
        <w:rPr>
          <w:sz w:val="24"/>
          <w:szCs w:val="24"/>
        </w:rPr>
        <w:t xml:space="preserve"> 72 akt Sp. 215/01, cz. I;</w:t>
      </w:r>
    </w:p>
    <w:p w14:paraId="2F25869C" w14:textId="77777777" w:rsidR="001121F0" w:rsidRPr="002428B7" w:rsidRDefault="001121F0" w:rsidP="001F6BE3">
      <w:pPr>
        <w:pStyle w:val="Akapitzlist"/>
        <w:numPr>
          <w:ilvl w:val="0"/>
          <w:numId w:val="25"/>
        </w:numPr>
        <w:spacing w:line="259" w:lineRule="auto"/>
        <w:ind w:left="567" w:hanging="567"/>
        <w:contextualSpacing/>
        <w:jc w:val="both"/>
        <w:rPr>
          <w:sz w:val="24"/>
          <w:szCs w:val="24"/>
        </w:rPr>
      </w:pPr>
      <w:r w:rsidRPr="002428B7">
        <w:rPr>
          <w:sz w:val="24"/>
          <w:szCs w:val="24"/>
        </w:rPr>
        <w:t xml:space="preserve">w piśmie z dnia 10.III.2003 r., k. 428 </w:t>
      </w:r>
      <w:r w:rsidRPr="002428B7">
        <w:rPr>
          <w:rFonts w:cstheme="minorHAnsi"/>
          <w:sz w:val="24"/>
          <w:szCs w:val="24"/>
        </w:rPr>
        <w:t>÷</w:t>
      </w:r>
      <w:r w:rsidRPr="002428B7">
        <w:rPr>
          <w:sz w:val="24"/>
          <w:szCs w:val="24"/>
        </w:rPr>
        <w:t xml:space="preserve"> 413 + załączniki k. 412 </w:t>
      </w:r>
      <w:r w:rsidRPr="002428B7">
        <w:rPr>
          <w:rFonts w:cstheme="minorHAnsi"/>
          <w:sz w:val="24"/>
          <w:szCs w:val="24"/>
        </w:rPr>
        <w:t>÷</w:t>
      </w:r>
      <w:r w:rsidRPr="002428B7">
        <w:rPr>
          <w:sz w:val="24"/>
          <w:szCs w:val="24"/>
        </w:rPr>
        <w:t xml:space="preserve"> 269 akt Sp. 215/01, cz. III;</w:t>
      </w:r>
    </w:p>
    <w:p w14:paraId="4DA9E91C" w14:textId="77777777" w:rsidR="001121F0" w:rsidRPr="002428B7" w:rsidRDefault="001121F0" w:rsidP="001F6BE3">
      <w:pPr>
        <w:pStyle w:val="Akapitzlist"/>
        <w:numPr>
          <w:ilvl w:val="0"/>
          <w:numId w:val="25"/>
        </w:numPr>
        <w:spacing w:line="259" w:lineRule="auto"/>
        <w:ind w:left="567" w:hanging="567"/>
        <w:contextualSpacing/>
        <w:jc w:val="both"/>
        <w:rPr>
          <w:sz w:val="24"/>
          <w:szCs w:val="24"/>
        </w:rPr>
      </w:pPr>
      <w:r w:rsidRPr="002428B7">
        <w:rPr>
          <w:sz w:val="24"/>
          <w:szCs w:val="24"/>
        </w:rPr>
        <w:t xml:space="preserve">na rozprawie w dniu 26.lll.2003 - protokół z rozprawy k. 612 </w:t>
      </w:r>
      <w:r w:rsidRPr="002428B7">
        <w:rPr>
          <w:rFonts w:cstheme="minorHAnsi"/>
          <w:sz w:val="24"/>
          <w:szCs w:val="24"/>
        </w:rPr>
        <w:t>÷</w:t>
      </w:r>
      <w:r w:rsidRPr="002428B7">
        <w:rPr>
          <w:sz w:val="24"/>
          <w:szCs w:val="24"/>
        </w:rPr>
        <w:t xml:space="preserve"> 586 + załączniki akta Sp. 215/01 cz. IV.</w:t>
      </w:r>
    </w:p>
    <w:p w14:paraId="0A60BA3B" w14:textId="77777777" w:rsidR="001121F0" w:rsidRPr="002428B7" w:rsidRDefault="001121F0" w:rsidP="001121F0">
      <w:pPr>
        <w:spacing w:after="0"/>
        <w:ind w:firstLine="567"/>
        <w:jc w:val="both"/>
        <w:rPr>
          <w:sz w:val="24"/>
          <w:szCs w:val="24"/>
        </w:rPr>
      </w:pPr>
      <w:r w:rsidRPr="002428B7">
        <w:rPr>
          <w:sz w:val="24"/>
          <w:szCs w:val="24"/>
        </w:rPr>
        <w:t xml:space="preserve">Uprawniona oddzielnym pismem z dnia 22.X.2002 r. (k. 171 </w:t>
      </w:r>
      <w:r w:rsidRPr="002428B7">
        <w:rPr>
          <w:rFonts w:cstheme="minorHAnsi"/>
          <w:sz w:val="24"/>
          <w:szCs w:val="24"/>
        </w:rPr>
        <w:t>÷</w:t>
      </w:r>
      <w:r w:rsidRPr="002428B7">
        <w:rPr>
          <w:sz w:val="24"/>
          <w:szCs w:val="24"/>
        </w:rPr>
        <w:t xml:space="preserve"> 165 + załączniki k. 164 </w:t>
      </w:r>
      <w:r w:rsidRPr="002428B7">
        <w:rPr>
          <w:rFonts w:cstheme="minorHAnsi"/>
          <w:sz w:val="24"/>
          <w:szCs w:val="24"/>
        </w:rPr>
        <w:t>÷</w:t>
      </w:r>
      <w:r w:rsidRPr="002428B7">
        <w:rPr>
          <w:sz w:val="24"/>
          <w:szCs w:val="24"/>
        </w:rPr>
        <w:t xml:space="preserve"> 156 akt Sp. 215/01 cz. I) ustosunkowała się do drugiego wniosku wnioskodawcy I o stwierdzenie nieważności decyzji - Komisji Odwoławczej z dnia 19.V.1999 nr </w:t>
      </w:r>
      <w:proofErr w:type="spellStart"/>
      <w:r w:rsidRPr="002428B7">
        <w:rPr>
          <w:sz w:val="24"/>
          <w:szCs w:val="24"/>
        </w:rPr>
        <w:t>odw</w:t>
      </w:r>
      <w:proofErr w:type="spellEnd"/>
      <w:r w:rsidRPr="002428B7">
        <w:rPr>
          <w:sz w:val="24"/>
          <w:szCs w:val="24"/>
        </w:rPr>
        <w:t>. — 1451/98, stwierdzenie prawomocności decyzji Urzędu z dnia 12.II.1998 r. odmawiającej rejestracji znaku towarowego nr zgłoszenia Z 132912 oraz o stwierdzenie nieważności decyzji Urzędu z dnia 13.VII.1999 r. o rejestracji znaku R 116211.</w:t>
      </w:r>
    </w:p>
    <w:p w14:paraId="3BD521DB" w14:textId="77777777" w:rsidR="001121F0" w:rsidRPr="002428B7" w:rsidRDefault="001121F0" w:rsidP="001121F0">
      <w:pPr>
        <w:spacing w:after="0"/>
        <w:ind w:firstLine="567"/>
        <w:jc w:val="both"/>
        <w:rPr>
          <w:sz w:val="24"/>
          <w:szCs w:val="24"/>
        </w:rPr>
      </w:pPr>
      <w:r w:rsidRPr="002428B7">
        <w:rPr>
          <w:sz w:val="24"/>
          <w:szCs w:val="24"/>
        </w:rPr>
        <w:t>Urząd Patentowy RP działający w trybie spornym po wysłuchaniu na rozprawie w dniu 28.XI.2002 r. i 26.111.2003 r. pełnomocników stron zważył jak niżej.</w:t>
      </w:r>
    </w:p>
    <w:p w14:paraId="7A809FC7" w14:textId="77777777" w:rsidR="001121F0" w:rsidRPr="002428B7" w:rsidRDefault="001121F0" w:rsidP="001121F0">
      <w:pPr>
        <w:spacing w:after="0"/>
        <w:ind w:firstLine="567"/>
        <w:jc w:val="both"/>
        <w:rPr>
          <w:sz w:val="24"/>
          <w:szCs w:val="24"/>
        </w:rPr>
      </w:pPr>
    </w:p>
    <w:p w14:paraId="337E919A"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Obowiązujące przepisy, wnioski stron</w:t>
      </w:r>
    </w:p>
    <w:p w14:paraId="19A4819C" w14:textId="77777777" w:rsidR="001121F0" w:rsidRPr="005E0071" w:rsidRDefault="001121F0" w:rsidP="001121F0">
      <w:pPr>
        <w:pStyle w:val="Akapitzlist"/>
        <w:ind w:left="1080"/>
        <w:jc w:val="both"/>
        <w:rPr>
          <w:sz w:val="6"/>
          <w:szCs w:val="6"/>
        </w:rPr>
      </w:pPr>
    </w:p>
    <w:p w14:paraId="570D0E25" w14:textId="77777777" w:rsidR="001121F0" w:rsidRPr="002428B7" w:rsidRDefault="001121F0" w:rsidP="001121F0">
      <w:pPr>
        <w:pStyle w:val="Akapitzlist"/>
        <w:ind w:left="0" w:firstLine="567"/>
        <w:jc w:val="both"/>
        <w:rPr>
          <w:sz w:val="24"/>
          <w:szCs w:val="24"/>
        </w:rPr>
      </w:pPr>
      <w:r w:rsidRPr="002428B7">
        <w:rPr>
          <w:sz w:val="24"/>
          <w:szCs w:val="24"/>
        </w:rPr>
        <w:t xml:space="preserve">W niniejszej sprawie mają zastosowanie przepisy ustawy o znakach towarowych z 1985 r., ponieważ prawo z rejestracji nr R 116215 na przestrzenny znak towarowy zostało udzielone pod rządami tej ustawy a zgłoszenie w celu rejestracji zostało dokonane również pod rządami tej ustawy; przepisy art. 315 ust. 1 i 3 ustawy </w:t>
      </w:r>
      <w:proofErr w:type="spellStart"/>
      <w:r w:rsidRPr="002428B7">
        <w:rPr>
          <w:sz w:val="24"/>
          <w:szCs w:val="24"/>
        </w:rPr>
        <w:t>pwp</w:t>
      </w:r>
      <w:proofErr w:type="spellEnd"/>
      <w:r w:rsidRPr="002428B7">
        <w:rPr>
          <w:sz w:val="24"/>
          <w:szCs w:val="24"/>
        </w:rPr>
        <w:t xml:space="preserve"> jednoznacznie stanowią że do oceny ustawowych warunków wymaganych do rejestracji stosuje się we wskazanych wyżej okolicznościach przepisy </w:t>
      </w:r>
      <w:proofErr w:type="spellStart"/>
      <w:r w:rsidRPr="002428B7">
        <w:rPr>
          <w:sz w:val="24"/>
          <w:szCs w:val="24"/>
        </w:rPr>
        <w:t>uzt</w:t>
      </w:r>
      <w:proofErr w:type="spellEnd"/>
      <w:r w:rsidRPr="002428B7">
        <w:rPr>
          <w:sz w:val="24"/>
          <w:szCs w:val="24"/>
        </w:rPr>
        <w:t>.</w:t>
      </w:r>
    </w:p>
    <w:p w14:paraId="2AE47E6E" w14:textId="77777777" w:rsidR="001121F0" w:rsidRPr="002428B7" w:rsidRDefault="001121F0" w:rsidP="001121F0">
      <w:pPr>
        <w:pStyle w:val="Akapitzlist"/>
        <w:ind w:left="0" w:firstLine="567"/>
        <w:jc w:val="both"/>
        <w:rPr>
          <w:sz w:val="24"/>
          <w:szCs w:val="24"/>
        </w:rPr>
      </w:pPr>
      <w:r w:rsidRPr="002428B7">
        <w:rPr>
          <w:sz w:val="24"/>
          <w:szCs w:val="24"/>
        </w:rPr>
        <w:t xml:space="preserve">Wnioskodawca I obok wniosku pierwszego złożył drugi wniosek w oparciu o art. 253 ust. 2 </w:t>
      </w:r>
      <w:proofErr w:type="spellStart"/>
      <w:r w:rsidRPr="002428B7">
        <w:rPr>
          <w:sz w:val="24"/>
          <w:szCs w:val="24"/>
        </w:rPr>
        <w:t>pwp</w:t>
      </w:r>
      <w:proofErr w:type="spellEnd"/>
      <w:r w:rsidRPr="002428B7">
        <w:rPr>
          <w:sz w:val="24"/>
          <w:szCs w:val="24"/>
        </w:rPr>
        <w:t xml:space="preserve"> w którym podniósł, że w trakcie postępowania rejestracyjnego przed Urzędem działającym w trybie administracyjnym i przed Komisją Odwoławczą doszło do uchybienia proceduralnego - mianowicie odwołanie od decyzji Urzędu odmawiającej rejestracji znaku nie zostało podpisane ani przez poprzednika prawnego uprawnionej ani przez jego pełnomocnika co zdaniem wnioskodawcy I powinno skutkować nieważnością decyzji o rejestracji znaku.</w:t>
      </w:r>
    </w:p>
    <w:p w14:paraId="1AD30566" w14:textId="77777777" w:rsidR="001121F0" w:rsidRPr="002428B7" w:rsidRDefault="001121F0" w:rsidP="001121F0">
      <w:pPr>
        <w:pStyle w:val="Akapitzlist"/>
        <w:ind w:left="0" w:firstLine="567"/>
        <w:jc w:val="both"/>
        <w:rPr>
          <w:sz w:val="24"/>
          <w:szCs w:val="24"/>
        </w:rPr>
      </w:pPr>
      <w:r w:rsidRPr="002428B7">
        <w:rPr>
          <w:sz w:val="24"/>
          <w:szCs w:val="24"/>
        </w:rPr>
        <w:t xml:space="preserve">Art. 29 </w:t>
      </w:r>
      <w:proofErr w:type="spellStart"/>
      <w:r w:rsidRPr="002428B7">
        <w:rPr>
          <w:sz w:val="24"/>
          <w:szCs w:val="24"/>
        </w:rPr>
        <w:t>uzt</w:t>
      </w:r>
      <w:proofErr w:type="spellEnd"/>
      <w:r w:rsidRPr="002428B7">
        <w:rPr>
          <w:sz w:val="24"/>
          <w:szCs w:val="24"/>
        </w:rPr>
        <w:t xml:space="preserve"> stanowi, że prawo z rejestracji znaku towarowego może być unieważnione w całości lub części, jeżeli nie były spełnione ustawowe warunki wymagane do rejestracji, określone w przepisach art. 4,6 </w:t>
      </w:r>
      <w:r w:rsidRPr="002428B7">
        <w:rPr>
          <w:rFonts w:cstheme="minorHAnsi"/>
          <w:sz w:val="24"/>
          <w:szCs w:val="24"/>
        </w:rPr>
        <w:t>÷</w:t>
      </w:r>
      <w:r w:rsidRPr="002428B7">
        <w:rPr>
          <w:sz w:val="24"/>
          <w:szCs w:val="24"/>
        </w:rPr>
        <w:t xml:space="preserve"> 9 i 32 </w:t>
      </w:r>
      <w:proofErr w:type="spellStart"/>
      <w:r w:rsidRPr="002428B7">
        <w:rPr>
          <w:sz w:val="24"/>
          <w:szCs w:val="24"/>
        </w:rPr>
        <w:t>uzt</w:t>
      </w:r>
      <w:proofErr w:type="spellEnd"/>
      <w:r w:rsidRPr="002428B7">
        <w:rPr>
          <w:sz w:val="24"/>
          <w:szCs w:val="24"/>
        </w:rPr>
        <w:t xml:space="preserve">. Ponieważ do ustawowych warunków nie należą uchybienia proceduralne typu brak podpisu na odwołaniu, drugi wniosek wnioskodawcy I nie mógł zostać rozpatrzony w ramach niniejszego postępowania toczącego się na podstawie art. 29 </w:t>
      </w:r>
      <w:proofErr w:type="spellStart"/>
      <w:r w:rsidRPr="002428B7">
        <w:rPr>
          <w:sz w:val="24"/>
          <w:szCs w:val="24"/>
        </w:rPr>
        <w:t>uzt</w:t>
      </w:r>
      <w:proofErr w:type="spellEnd"/>
      <w:r w:rsidRPr="002428B7">
        <w:rPr>
          <w:sz w:val="24"/>
          <w:szCs w:val="24"/>
        </w:rPr>
        <w:t>. W tym stanie sprawy wniosek uprawnionej o zawieszenie postępowania w sprawie Sp. 215/01 do czasu rozpatrzenia drugiego wniosku wnioskodawcy I stał się bezprzedmiotowy.</w:t>
      </w:r>
    </w:p>
    <w:p w14:paraId="2C82DFD0" w14:textId="77777777" w:rsidR="001121F0" w:rsidRPr="002428B7" w:rsidRDefault="001121F0" w:rsidP="001121F0">
      <w:pPr>
        <w:pStyle w:val="Akapitzlist"/>
        <w:ind w:left="0" w:firstLine="567"/>
        <w:jc w:val="both"/>
        <w:rPr>
          <w:sz w:val="24"/>
          <w:szCs w:val="24"/>
        </w:rPr>
      </w:pPr>
      <w:r w:rsidRPr="002428B7">
        <w:rPr>
          <w:sz w:val="24"/>
          <w:szCs w:val="24"/>
        </w:rPr>
        <w:t xml:space="preserve">Wnioski o połączenie w jedno postępowanie spraw Sp. 215/01, Sp. 20/02, Sp. 55/02, Sp.56/02 i Sp. 75/02 były zasadne w świetle art. 62 kpa i mając na uwadze przepis art. 12 § 1 </w:t>
      </w:r>
      <w:proofErr w:type="gramStart"/>
      <w:r w:rsidRPr="002428B7">
        <w:rPr>
          <w:sz w:val="24"/>
          <w:szCs w:val="24"/>
        </w:rPr>
        <w:t>kpa..</w:t>
      </w:r>
      <w:proofErr w:type="gramEnd"/>
    </w:p>
    <w:p w14:paraId="33D10C86" w14:textId="77777777" w:rsidR="001121F0" w:rsidRPr="002428B7" w:rsidRDefault="001121F0" w:rsidP="001121F0">
      <w:pPr>
        <w:pStyle w:val="Akapitzlist"/>
        <w:ind w:left="0" w:firstLine="567"/>
        <w:jc w:val="both"/>
        <w:rPr>
          <w:sz w:val="24"/>
          <w:szCs w:val="24"/>
        </w:rPr>
      </w:pPr>
    </w:p>
    <w:p w14:paraId="75DA41F9"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Przebieg rejestracji przestrzennego znaku towarowego R 116211</w:t>
      </w:r>
    </w:p>
    <w:p w14:paraId="5121F0BB" w14:textId="77777777" w:rsidR="001121F0" w:rsidRPr="005E0071" w:rsidRDefault="001121F0" w:rsidP="001121F0">
      <w:pPr>
        <w:spacing w:after="0"/>
        <w:jc w:val="both"/>
        <w:rPr>
          <w:sz w:val="6"/>
          <w:szCs w:val="6"/>
        </w:rPr>
      </w:pPr>
    </w:p>
    <w:p w14:paraId="1E1D18C4" w14:textId="77777777" w:rsidR="001121F0" w:rsidRPr="002428B7" w:rsidRDefault="001121F0" w:rsidP="001121F0">
      <w:pPr>
        <w:spacing w:after="0"/>
        <w:ind w:firstLine="567"/>
        <w:jc w:val="both"/>
        <w:rPr>
          <w:sz w:val="24"/>
          <w:szCs w:val="24"/>
        </w:rPr>
      </w:pPr>
      <w:r w:rsidRPr="002428B7">
        <w:rPr>
          <w:sz w:val="24"/>
          <w:szCs w:val="24"/>
        </w:rPr>
        <w:t>W dniu 5 maja 1994 r. do Urzędu wpłynęło za nrem Z-132912 podanie Spółki Akcyjnej E. Wedel Zakłady Przemysłu Cukierniczego w Warszawie o rejestrację znaku przestrzennego uwidocznionego na fotografii z dołączonym opisem o treści:</w:t>
      </w:r>
    </w:p>
    <w:p w14:paraId="5D4BE115" w14:textId="77777777" w:rsidR="001121F0" w:rsidRPr="002428B7" w:rsidRDefault="001121F0" w:rsidP="001121F0">
      <w:pPr>
        <w:spacing w:after="0"/>
        <w:ind w:left="567"/>
        <w:jc w:val="both"/>
        <w:rPr>
          <w:sz w:val="24"/>
          <w:szCs w:val="24"/>
        </w:rPr>
      </w:pPr>
      <w:r w:rsidRPr="002428B7">
        <w:rPr>
          <w:sz w:val="24"/>
          <w:szCs w:val="24"/>
        </w:rPr>
        <w:t>„płaskie okrągłe ciastko, którego dolna część stanowiąca krążek z zaokrąglonymi brzegami jest w kolorze jasno żółtym; na wierzchu ciastko posiada okrągłe wzniesienie o mniejszej średnicy, powierzchnią którego jest wypukła prostokątna kratka; cała górna powierzchnia jest w kolorze ciemnego czekoladowego brązu”</w:t>
      </w:r>
    </w:p>
    <w:p w14:paraId="4306C037" w14:textId="77777777" w:rsidR="001121F0" w:rsidRPr="002428B7" w:rsidRDefault="001121F0" w:rsidP="001121F0">
      <w:pPr>
        <w:spacing w:after="0"/>
        <w:ind w:firstLine="567"/>
        <w:jc w:val="both"/>
        <w:rPr>
          <w:sz w:val="24"/>
          <w:szCs w:val="24"/>
        </w:rPr>
      </w:pPr>
      <w:r w:rsidRPr="002428B7">
        <w:rPr>
          <w:sz w:val="24"/>
          <w:szCs w:val="24"/>
        </w:rPr>
        <w:t xml:space="preserve">Decyzją z dnia 12.II.1998. znak PP-Z-132912/WD Urząd Patentowy odmówił rejestracji na podstawie art. 4 i 7 </w:t>
      </w:r>
      <w:proofErr w:type="spellStart"/>
      <w:r w:rsidRPr="002428B7">
        <w:rPr>
          <w:sz w:val="24"/>
          <w:szCs w:val="24"/>
        </w:rPr>
        <w:t>uzt</w:t>
      </w:r>
      <w:proofErr w:type="spellEnd"/>
      <w:r w:rsidRPr="002428B7">
        <w:rPr>
          <w:sz w:val="24"/>
          <w:szCs w:val="24"/>
        </w:rPr>
        <w:t xml:space="preserve"> podnosząc w uzasadnieniu m.in. co następuje:</w:t>
      </w:r>
    </w:p>
    <w:p w14:paraId="7508D2CC" w14:textId="77777777" w:rsidR="001121F0" w:rsidRPr="002428B7" w:rsidRDefault="001121F0" w:rsidP="001121F0">
      <w:pPr>
        <w:spacing w:after="0"/>
        <w:ind w:left="567"/>
        <w:jc w:val="both"/>
        <w:rPr>
          <w:sz w:val="24"/>
          <w:szCs w:val="24"/>
        </w:rPr>
      </w:pPr>
      <w:r w:rsidRPr="002428B7">
        <w:rPr>
          <w:sz w:val="24"/>
          <w:szCs w:val="24"/>
        </w:rPr>
        <w:t xml:space="preserve">„przedmiotowe oznaczenie przestrzenne jest dokładnym wizerunkiem ciasteczek do oznaczania których ma służyć. W myśl art. 7 </w:t>
      </w:r>
      <w:proofErr w:type="spellStart"/>
      <w:r w:rsidRPr="002428B7">
        <w:rPr>
          <w:sz w:val="24"/>
          <w:szCs w:val="24"/>
        </w:rPr>
        <w:t>uzt</w:t>
      </w:r>
      <w:proofErr w:type="spellEnd"/>
      <w:r w:rsidRPr="002428B7">
        <w:rPr>
          <w:sz w:val="24"/>
          <w:szCs w:val="24"/>
        </w:rPr>
        <w:t xml:space="preserve"> oznaczenie takie nie posiada walorów odróżniających. Aktualnie na rynku jest wiele ciasteczek o identycznym bądź podobnym kształcie do znaku zgłoszonego. Jednak to nie ich kształt (w przypadku zwłaszcza sprzedaży na wagę - bez firmowego opakowania) decyduje o tym, że odbiorca bezbłędnie jest w stanie określić z jakiego źródła pochodzi towar. Aby mógł to stwierdzić, musi zasięgnąć od sprzedawcy informacji o producencie. zatem w tym przepadku, sam kształt towaru nie informuje o źródle jego pochodzenia”.</w:t>
      </w:r>
    </w:p>
    <w:p w14:paraId="6E8BCDA0" w14:textId="77777777" w:rsidR="001121F0" w:rsidRPr="002428B7" w:rsidRDefault="001121F0" w:rsidP="001121F0">
      <w:pPr>
        <w:spacing w:after="0"/>
        <w:ind w:firstLine="567"/>
        <w:jc w:val="both"/>
        <w:rPr>
          <w:sz w:val="24"/>
          <w:szCs w:val="24"/>
        </w:rPr>
      </w:pPr>
      <w:r w:rsidRPr="002428B7">
        <w:rPr>
          <w:sz w:val="24"/>
          <w:szCs w:val="24"/>
        </w:rPr>
        <w:t>Komisja Odwoławcza decyzją z dnia 19.V.</w:t>
      </w:r>
      <w:proofErr w:type="gramStart"/>
      <w:r w:rsidRPr="002428B7">
        <w:rPr>
          <w:sz w:val="24"/>
          <w:szCs w:val="24"/>
        </w:rPr>
        <w:t>1999r.</w:t>
      </w:r>
      <w:proofErr w:type="gramEnd"/>
      <w:r w:rsidRPr="002428B7">
        <w:rPr>
          <w:sz w:val="24"/>
          <w:szCs w:val="24"/>
        </w:rPr>
        <w:t xml:space="preserve"> nr </w:t>
      </w:r>
      <w:proofErr w:type="spellStart"/>
      <w:r w:rsidRPr="002428B7">
        <w:rPr>
          <w:sz w:val="24"/>
          <w:szCs w:val="24"/>
        </w:rPr>
        <w:t>Odw</w:t>
      </w:r>
      <w:proofErr w:type="spellEnd"/>
      <w:r w:rsidRPr="002428B7">
        <w:rPr>
          <w:sz w:val="24"/>
          <w:szCs w:val="24"/>
        </w:rPr>
        <w:t xml:space="preserve"> 1451/98 uchyliła decyzję Urzędu podnosząc w uzasadnieniu m.in., co następuje:</w:t>
      </w:r>
    </w:p>
    <w:p w14:paraId="045C5429" w14:textId="77777777" w:rsidR="001121F0" w:rsidRPr="002428B7" w:rsidRDefault="001121F0" w:rsidP="001121F0">
      <w:pPr>
        <w:spacing w:after="0"/>
        <w:ind w:left="567"/>
        <w:jc w:val="both"/>
        <w:rPr>
          <w:sz w:val="24"/>
          <w:szCs w:val="24"/>
        </w:rPr>
      </w:pPr>
      <w:r w:rsidRPr="002428B7">
        <w:rPr>
          <w:sz w:val="24"/>
          <w:szCs w:val="24"/>
        </w:rPr>
        <w:lastRenderedPageBreak/>
        <w:t>„zgłoszony znak przestrzenny Z-132912 oprócz istnienia znamion odróżniających jak oryginalny kształt, faktura, kolorystyka mógł nabyć też wtórnej zdolności rejestrowej gdyby zachodziły okoliczności powołane przez zgłaszającego dotyczące długotrwałego bo ponad dwudziestoletniego okresu intensywnego używania przedmiotowego znaku przestrzennego w obrocie gospodarczym oraz prowadzeniu znaczącej reklamy, która promowała i utrwalała w pamięci odbiorców świadomość silnego związku między produktem i producentem. Jest to zresztą dość typowa sytuacja kiedy utożsamienie danego towaru ze znakiem, którym towar jest opatrzony następuje pod wpływem szerokiej reklamy”.</w:t>
      </w:r>
    </w:p>
    <w:p w14:paraId="6515650F" w14:textId="77777777" w:rsidR="001121F0" w:rsidRPr="002428B7" w:rsidRDefault="001121F0" w:rsidP="001121F0">
      <w:pPr>
        <w:spacing w:after="0"/>
        <w:ind w:firstLine="567"/>
        <w:jc w:val="both"/>
        <w:rPr>
          <w:sz w:val="24"/>
          <w:szCs w:val="24"/>
        </w:rPr>
      </w:pPr>
      <w:r w:rsidRPr="002428B7">
        <w:rPr>
          <w:sz w:val="24"/>
          <w:szCs w:val="24"/>
        </w:rPr>
        <w:t>Decyzją z dnia 13.XII.1999 r Urząd Patentowy zarejestrował zgłoszony za nrem Z-132912 znak towarowy przestrzenny pod nrem R 116211 do oznaczania pieczywa cukierniczego w kl. 30 w kolorach żółtym i brązowym na rzecz prawnej poprzedniczki obecnej uprawnionej.</w:t>
      </w:r>
    </w:p>
    <w:p w14:paraId="00D2EB30" w14:textId="77777777" w:rsidR="001121F0" w:rsidRPr="002428B7" w:rsidRDefault="001121F0" w:rsidP="001121F0">
      <w:pPr>
        <w:spacing w:after="0"/>
        <w:ind w:firstLine="567"/>
        <w:jc w:val="both"/>
        <w:rPr>
          <w:sz w:val="24"/>
          <w:szCs w:val="24"/>
        </w:rPr>
      </w:pPr>
    </w:p>
    <w:p w14:paraId="369531C8"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 xml:space="preserve">Biszkopty/ciastka typu </w:t>
      </w:r>
      <w:proofErr w:type="spellStart"/>
      <w:r w:rsidRPr="00EB1DB3">
        <w:rPr>
          <w:b/>
          <w:bCs/>
          <w:sz w:val="24"/>
          <w:szCs w:val="24"/>
        </w:rPr>
        <w:t>jaffa</w:t>
      </w:r>
      <w:proofErr w:type="spellEnd"/>
    </w:p>
    <w:p w14:paraId="14A398FB" w14:textId="77777777" w:rsidR="001121F0" w:rsidRPr="005E0071" w:rsidRDefault="001121F0" w:rsidP="001121F0">
      <w:pPr>
        <w:spacing w:after="0"/>
        <w:jc w:val="both"/>
        <w:rPr>
          <w:sz w:val="6"/>
          <w:szCs w:val="6"/>
        </w:rPr>
      </w:pPr>
    </w:p>
    <w:p w14:paraId="63309386" w14:textId="77777777" w:rsidR="001121F0" w:rsidRPr="002428B7" w:rsidRDefault="001121F0" w:rsidP="001121F0">
      <w:pPr>
        <w:spacing w:after="0"/>
        <w:ind w:firstLine="567"/>
        <w:jc w:val="both"/>
        <w:rPr>
          <w:sz w:val="24"/>
          <w:szCs w:val="24"/>
        </w:rPr>
      </w:pPr>
      <w:r w:rsidRPr="002428B7">
        <w:rPr>
          <w:sz w:val="24"/>
          <w:szCs w:val="24"/>
        </w:rPr>
        <w:t xml:space="preserve">Zostały wprowadzone na rynek ponad 60 lat temu w Wielkiej Brytanii przez firmę </w:t>
      </w:r>
      <w:proofErr w:type="spellStart"/>
      <w:r w:rsidRPr="002428B7">
        <w:rPr>
          <w:sz w:val="24"/>
          <w:szCs w:val="24"/>
        </w:rPr>
        <w:t>Mc</w:t>
      </w:r>
      <w:proofErr w:type="spellEnd"/>
      <w:r w:rsidRPr="002428B7">
        <w:rPr>
          <w:sz w:val="24"/>
          <w:szCs w:val="24"/>
        </w:rPr>
        <w:t xml:space="preserve"> </w:t>
      </w:r>
      <w:proofErr w:type="spellStart"/>
      <w:r w:rsidRPr="002428B7">
        <w:rPr>
          <w:sz w:val="24"/>
          <w:szCs w:val="24"/>
        </w:rPr>
        <w:t>Vitie's</w:t>
      </w:r>
      <w:proofErr w:type="spellEnd"/>
      <w:r w:rsidRPr="002428B7">
        <w:rPr>
          <w:sz w:val="24"/>
          <w:szCs w:val="24"/>
        </w:rPr>
        <w:t xml:space="preserve">. Ciastko składa się z okrągłego biszkopta, krążka galaretki oraz polewy czekoladowej- k. 268 </w:t>
      </w:r>
      <w:r w:rsidRPr="002428B7">
        <w:rPr>
          <w:rFonts w:cstheme="minorHAnsi"/>
          <w:sz w:val="24"/>
          <w:szCs w:val="24"/>
        </w:rPr>
        <w:t>÷</w:t>
      </w:r>
      <w:r w:rsidRPr="002428B7">
        <w:rPr>
          <w:sz w:val="24"/>
          <w:szCs w:val="24"/>
        </w:rPr>
        <w:t xml:space="preserve"> 263 Sp. 215/01 cz. II.</w:t>
      </w:r>
    </w:p>
    <w:p w14:paraId="59985A50" w14:textId="77777777" w:rsidR="001121F0" w:rsidRPr="002428B7" w:rsidRDefault="001121F0" w:rsidP="001121F0">
      <w:pPr>
        <w:spacing w:after="0"/>
        <w:ind w:firstLine="567"/>
        <w:jc w:val="both"/>
        <w:rPr>
          <w:sz w:val="24"/>
          <w:szCs w:val="24"/>
        </w:rPr>
      </w:pPr>
      <w:r w:rsidRPr="002428B7">
        <w:rPr>
          <w:sz w:val="24"/>
          <w:szCs w:val="24"/>
        </w:rPr>
        <w:t xml:space="preserve">Wygląd ciastek typu </w:t>
      </w:r>
      <w:proofErr w:type="spellStart"/>
      <w:r w:rsidRPr="002428B7">
        <w:rPr>
          <w:sz w:val="24"/>
          <w:szCs w:val="24"/>
        </w:rPr>
        <w:t>jaffa</w:t>
      </w:r>
      <w:proofErr w:type="spellEnd"/>
      <w:r w:rsidRPr="002428B7">
        <w:rPr>
          <w:sz w:val="24"/>
          <w:szCs w:val="24"/>
        </w:rPr>
        <w:t xml:space="preserve"> produkowanych obecnie przez wiele firm w Polsce i za granicą jest przedstawiony na fotografiach - k. 203, 203a Sp. 215/01 cz. II i k. 43 </w:t>
      </w:r>
      <w:r w:rsidRPr="002428B7">
        <w:rPr>
          <w:rFonts w:cstheme="minorHAnsi"/>
          <w:sz w:val="24"/>
          <w:szCs w:val="24"/>
        </w:rPr>
        <w:t>÷</w:t>
      </w:r>
      <w:r w:rsidRPr="002428B7">
        <w:rPr>
          <w:sz w:val="24"/>
          <w:szCs w:val="24"/>
        </w:rPr>
        <w:t xml:space="preserve"> 7 Sp. 215/01 cz. I.</w:t>
      </w:r>
    </w:p>
    <w:p w14:paraId="44CD98B6" w14:textId="77777777" w:rsidR="001121F0" w:rsidRPr="002428B7" w:rsidRDefault="001121F0" w:rsidP="001121F0">
      <w:pPr>
        <w:spacing w:after="0"/>
        <w:ind w:firstLine="567"/>
        <w:jc w:val="both"/>
        <w:rPr>
          <w:sz w:val="24"/>
          <w:szCs w:val="24"/>
        </w:rPr>
      </w:pPr>
      <w:r w:rsidRPr="002428B7">
        <w:rPr>
          <w:sz w:val="24"/>
          <w:szCs w:val="24"/>
        </w:rPr>
        <w:t xml:space="preserve">Jedynym producentem ciastek Jaffa w Polsce w latach 1977-1989 była firma ZPC im. 22 Lipca (d. E. Wedel w Płońsku), po przekształceniach własnościowych ZPC E. Wedel SA - k. 11 </w:t>
      </w:r>
      <w:r w:rsidRPr="002428B7">
        <w:rPr>
          <w:rFonts w:cstheme="minorHAnsi"/>
          <w:sz w:val="24"/>
          <w:szCs w:val="24"/>
        </w:rPr>
        <w:t>÷</w:t>
      </w:r>
      <w:r w:rsidRPr="002428B7">
        <w:rPr>
          <w:sz w:val="24"/>
          <w:szCs w:val="24"/>
        </w:rPr>
        <w:t xml:space="preserve"> 7 Sp. 75/02. Ciastka były wprowadzana na rynek pod nazwą „delicje szampańskie". W normie branżowej BN-84/8097-17 biszkopty w polewie kakaowej przykładowo oznaczono nazwą „delicje deserowe” - k. 6 </w:t>
      </w:r>
      <w:r w:rsidRPr="002428B7">
        <w:rPr>
          <w:rFonts w:cstheme="minorHAnsi"/>
          <w:sz w:val="24"/>
          <w:szCs w:val="24"/>
        </w:rPr>
        <w:t>÷</w:t>
      </w:r>
      <w:r w:rsidRPr="002428B7">
        <w:rPr>
          <w:sz w:val="24"/>
          <w:szCs w:val="24"/>
        </w:rPr>
        <w:t xml:space="preserve"> 3 Sp. 20/02.</w:t>
      </w:r>
    </w:p>
    <w:p w14:paraId="1E685C4E" w14:textId="77777777" w:rsidR="001121F0" w:rsidRPr="002428B7" w:rsidRDefault="001121F0" w:rsidP="001121F0">
      <w:pPr>
        <w:spacing w:after="0"/>
        <w:ind w:firstLine="567"/>
        <w:jc w:val="both"/>
        <w:rPr>
          <w:sz w:val="24"/>
          <w:szCs w:val="24"/>
        </w:rPr>
      </w:pPr>
      <w:r w:rsidRPr="002428B7">
        <w:rPr>
          <w:sz w:val="24"/>
          <w:szCs w:val="24"/>
        </w:rPr>
        <w:t xml:space="preserve">Sławomir </w:t>
      </w:r>
      <w:proofErr w:type="spellStart"/>
      <w:r w:rsidRPr="002428B7">
        <w:rPr>
          <w:sz w:val="24"/>
          <w:szCs w:val="24"/>
        </w:rPr>
        <w:t>Wyczyński</w:t>
      </w:r>
      <w:proofErr w:type="spellEnd"/>
      <w:r w:rsidRPr="002428B7">
        <w:rPr>
          <w:sz w:val="24"/>
          <w:szCs w:val="24"/>
        </w:rPr>
        <w:t xml:space="preserve"> w książce </w:t>
      </w:r>
      <w:proofErr w:type="spellStart"/>
      <w:r w:rsidRPr="002428B7">
        <w:rPr>
          <w:sz w:val="24"/>
          <w:szCs w:val="24"/>
        </w:rPr>
        <w:t>pt</w:t>
      </w:r>
      <w:proofErr w:type="spellEnd"/>
      <w:r w:rsidRPr="002428B7">
        <w:rPr>
          <w:sz w:val="24"/>
          <w:szCs w:val="24"/>
        </w:rPr>
        <w:t xml:space="preserve">: „Cukiernictwo” - Wyd. Szkolne i Pedagogiczne, </w:t>
      </w:r>
      <w:proofErr w:type="spellStart"/>
      <w:r w:rsidRPr="002428B7">
        <w:rPr>
          <w:sz w:val="24"/>
          <w:szCs w:val="24"/>
        </w:rPr>
        <w:t>Wa-wa</w:t>
      </w:r>
      <w:proofErr w:type="spellEnd"/>
      <w:r w:rsidRPr="002428B7">
        <w:rPr>
          <w:sz w:val="24"/>
          <w:szCs w:val="24"/>
        </w:rPr>
        <w:t xml:space="preserve"> 1987 r. na str. 410 </w:t>
      </w:r>
      <w:r w:rsidRPr="002428B7">
        <w:rPr>
          <w:rFonts w:cstheme="minorHAnsi"/>
          <w:sz w:val="24"/>
          <w:szCs w:val="24"/>
        </w:rPr>
        <w:t>÷</w:t>
      </w:r>
      <w:r w:rsidRPr="002428B7">
        <w:rPr>
          <w:sz w:val="24"/>
          <w:szCs w:val="24"/>
        </w:rPr>
        <w:t xml:space="preserve"> 411 opisuje technologię wytwarzania biszkoptów typu </w:t>
      </w:r>
      <w:proofErr w:type="spellStart"/>
      <w:r w:rsidRPr="002428B7">
        <w:rPr>
          <w:sz w:val="24"/>
          <w:szCs w:val="24"/>
        </w:rPr>
        <w:t>jaffa</w:t>
      </w:r>
      <w:proofErr w:type="spellEnd"/>
      <w:r w:rsidRPr="002428B7">
        <w:rPr>
          <w:sz w:val="24"/>
          <w:szCs w:val="24"/>
        </w:rPr>
        <w:t xml:space="preserve"> NZPC im. 22 Lipca w Płońsku - k. 2 Sp. 20/02. Ten sam autor w wyd. IX na str. 400 </w:t>
      </w:r>
      <w:r w:rsidRPr="002428B7">
        <w:rPr>
          <w:rFonts w:cstheme="minorHAnsi"/>
          <w:sz w:val="24"/>
          <w:szCs w:val="24"/>
        </w:rPr>
        <w:t>÷</w:t>
      </w:r>
      <w:r w:rsidRPr="002428B7">
        <w:rPr>
          <w:sz w:val="24"/>
          <w:szCs w:val="24"/>
        </w:rPr>
        <w:t xml:space="preserve"> 401 k. 17 Sp. 55/02 (uwzględniając przekształcenie własnościowe) pisze: „biszkopty typu </w:t>
      </w:r>
      <w:proofErr w:type="spellStart"/>
      <w:r w:rsidRPr="002428B7">
        <w:rPr>
          <w:sz w:val="24"/>
          <w:szCs w:val="24"/>
        </w:rPr>
        <w:t>jaffa</w:t>
      </w:r>
      <w:proofErr w:type="spellEnd"/>
      <w:r w:rsidRPr="002428B7">
        <w:rPr>
          <w:sz w:val="24"/>
          <w:szCs w:val="24"/>
        </w:rPr>
        <w:t xml:space="preserve"> produkowane np. w zakładach E. Wedel SA w Płońsku są to wyroby </w:t>
      </w:r>
      <w:proofErr w:type="spellStart"/>
      <w:r w:rsidRPr="002428B7">
        <w:rPr>
          <w:sz w:val="24"/>
          <w:szCs w:val="24"/>
        </w:rPr>
        <w:t>czekoladowane</w:t>
      </w:r>
      <w:proofErr w:type="spellEnd"/>
      <w:r w:rsidRPr="002428B7">
        <w:rPr>
          <w:sz w:val="24"/>
          <w:szCs w:val="24"/>
        </w:rPr>
        <w:t xml:space="preserve"> o rdzeniu z biszkopta z galaretką".</w:t>
      </w:r>
    </w:p>
    <w:p w14:paraId="24A9DC2D" w14:textId="77777777" w:rsidR="001121F0" w:rsidRPr="002428B7" w:rsidRDefault="001121F0" w:rsidP="001121F0">
      <w:pPr>
        <w:spacing w:after="0"/>
        <w:ind w:firstLine="567"/>
        <w:jc w:val="both"/>
        <w:rPr>
          <w:sz w:val="24"/>
          <w:szCs w:val="24"/>
        </w:rPr>
      </w:pPr>
      <w:r w:rsidRPr="002428B7">
        <w:rPr>
          <w:sz w:val="24"/>
          <w:szCs w:val="24"/>
        </w:rPr>
        <w:t xml:space="preserve">Użyty w opisie technologii produkcji biszkoptów </w:t>
      </w:r>
      <w:proofErr w:type="spellStart"/>
      <w:r w:rsidRPr="002428B7">
        <w:rPr>
          <w:sz w:val="24"/>
          <w:szCs w:val="24"/>
        </w:rPr>
        <w:t>jaffa</w:t>
      </w:r>
      <w:proofErr w:type="spellEnd"/>
      <w:r w:rsidRPr="002428B7">
        <w:rPr>
          <w:sz w:val="24"/>
          <w:szCs w:val="24"/>
        </w:rPr>
        <w:t xml:space="preserve"> termin „trasuje się” wymaga wyjaśnienia. Według Leksykonu naukowo - technicznego, Wyd. IV poprawione, WNT, </w:t>
      </w:r>
      <w:proofErr w:type="spellStart"/>
      <w:r w:rsidRPr="002428B7">
        <w:rPr>
          <w:sz w:val="24"/>
          <w:szCs w:val="24"/>
        </w:rPr>
        <w:t>Wa-wa</w:t>
      </w:r>
      <w:proofErr w:type="spellEnd"/>
      <w:r w:rsidRPr="002428B7">
        <w:rPr>
          <w:sz w:val="24"/>
          <w:szCs w:val="24"/>
        </w:rPr>
        <w:t xml:space="preserve"> 1983 r., str. 1016: trasowanie ciasta - formowanie półciekłego ciasta na herbatniki przez wyciskanie (ręczne lub mechaniczne) z tutki; kształt końcówki tutki i ruch nadawany jej przy wyciskaniu decydują o kształcie pieczywa.</w:t>
      </w:r>
    </w:p>
    <w:p w14:paraId="23707AE6" w14:textId="77777777" w:rsidR="001121F0" w:rsidRPr="002428B7" w:rsidRDefault="001121F0" w:rsidP="001121F0">
      <w:pPr>
        <w:spacing w:after="0"/>
        <w:ind w:firstLine="567"/>
        <w:jc w:val="both"/>
        <w:rPr>
          <w:sz w:val="24"/>
          <w:szCs w:val="24"/>
        </w:rPr>
      </w:pPr>
      <w:r w:rsidRPr="002428B7">
        <w:rPr>
          <w:sz w:val="24"/>
          <w:szCs w:val="24"/>
        </w:rPr>
        <w:t xml:space="preserve">W opisanej przez Wyczańskiego technologii wytwarzania biszkoptów </w:t>
      </w:r>
      <w:proofErr w:type="spellStart"/>
      <w:r w:rsidRPr="002428B7">
        <w:rPr>
          <w:sz w:val="24"/>
          <w:szCs w:val="24"/>
        </w:rPr>
        <w:t>jaffa</w:t>
      </w:r>
      <w:proofErr w:type="spellEnd"/>
      <w:r w:rsidRPr="002428B7">
        <w:rPr>
          <w:sz w:val="24"/>
          <w:szCs w:val="24"/>
        </w:rPr>
        <w:t xml:space="preserve">, końcówki głowic trasujących zarówno ciasto jak i galaretkę mają kołowy/okrągły kształt i w momencie trasowania pozostają w bezruchu, stąd okrągły kształt biszkoptu i okrągły kształt (o mniejszej od biszkopta średnicy) galaretki. Z kolei charakterystyczna kratka na powierzchni polewy czekoladowej - stanowi odcisk kwadratowych oczek siatki podtrzymującej biszkopty z nałożoną galaretką w trakcie oblewania ich od spodu polewą. Jest oczywiste, że stosując inne niż okrągłe/kołowe kształty głowic trasujących (ciasto i galaretkę) i/lub nadając tym skierowanym do dołu głowicom w trakcie trasowania określony ruch w płaszczyźnie poziomej można uzyskać </w:t>
      </w:r>
      <w:r w:rsidRPr="002428B7">
        <w:rPr>
          <w:sz w:val="24"/>
          <w:szCs w:val="24"/>
        </w:rPr>
        <w:lastRenderedPageBreak/>
        <w:t xml:space="preserve">inne niż okrągły, kształty biszkopta i nadzienia w postaci galaretki, jednak nie byłyby to klasyczne ciastka/biszkopty typu </w:t>
      </w:r>
      <w:proofErr w:type="spellStart"/>
      <w:r w:rsidRPr="002428B7">
        <w:rPr>
          <w:sz w:val="24"/>
          <w:szCs w:val="24"/>
        </w:rPr>
        <w:t>jaffa</w:t>
      </w:r>
      <w:proofErr w:type="spellEnd"/>
      <w:r w:rsidRPr="002428B7">
        <w:rPr>
          <w:sz w:val="24"/>
          <w:szCs w:val="24"/>
        </w:rPr>
        <w:t>.</w:t>
      </w:r>
    </w:p>
    <w:p w14:paraId="2D278726" w14:textId="77777777" w:rsidR="001121F0" w:rsidRPr="002428B7" w:rsidRDefault="001121F0" w:rsidP="001121F0">
      <w:pPr>
        <w:spacing w:after="0"/>
        <w:ind w:firstLine="567"/>
        <w:jc w:val="both"/>
        <w:rPr>
          <w:sz w:val="24"/>
          <w:szCs w:val="24"/>
        </w:rPr>
      </w:pPr>
      <w:r w:rsidRPr="002428B7">
        <w:rPr>
          <w:sz w:val="24"/>
          <w:szCs w:val="24"/>
        </w:rPr>
        <w:t xml:space="preserve">Po 1989 r. monopol ZPC E. Wedel SA na produkcję ciastek </w:t>
      </w:r>
      <w:proofErr w:type="spellStart"/>
      <w:r w:rsidRPr="002428B7">
        <w:rPr>
          <w:sz w:val="24"/>
          <w:szCs w:val="24"/>
        </w:rPr>
        <w:t>jaffa</w:t>
      </w:r>
      <w:proofErr w:type="spellEnd"/>
      <w:r w:rsidRPr="002428B7">
        <w:rPr>
          <w:sz w:val="24"/>
          <w:szCs w:val="24"/>
        </w:rPr>
        <w:t xml:space="preserve"> w Polsce został przełamany (zaczął działać wolny rynek). W 1990 r. w Spółdzielni Pracy „Cukry Nyskie" w Nysie została opracowana norma zakładowa ZN-90/CN-18 w której zostały określone zarówno kształt jak i barwa ciastka biszkoptowego z galaretką owocową w polewie kakaowej - k. 4 </w:t>
      </w:r>
      <w:r w:rsidRPr="002428B7">
        <w:rPr>
          <w:rFonts w:cstheme="minorHAnsi"/>
          <w:sz w:val="24"/>
          <w:szCs w:val="24"/>
        </w:rPr>
        <w:t>÷</w:t>
      </w:r>
      <w:r w:rsidRPr="002428B7">
        <w:rPr>
          <w:sz w:val="24"/>
          <w:szCs w:val="24"/>
        </w:rPr>
        <w:t xml:space="preserve"> 6 akt Sp. 55/02 i w oparciu o tę normę ruszyła produkcja ciastek typu </w:t>
      </w:r>
      <w:proofErr w:type="spellStart"/>
      <w:r w:rsidRPr="002428B7">
        <w:rPr>
          <w:sz w:val="24"/>
          <w:szCs w:val="24"/>
        </w:rPr>
        <w:t>jaffa</w:t>
      </w:r>
      <w:proofErr w:type="spellEnd"/>
      <w:r w:rsidRPr="002428B7">
        <w:rPr>
          <w:sz w:val="24"/>
          <w:szCs w:val="24"/>
        </w:rPr>
        <w:t xml:space="preserve"> - k. 25 Sp. 55/02.</w:t>
      </w:r>
    </w:p>
    <w:p w14:paraId="60787C1E" w14:textId="77777777" w:rsidR="001121F0" w:rsidRPr="002428B7" w:rsidRDefault="001121F0" w:rsidP="001121F0">
      <w:pPr>
        <w:spacing w:after="0"/>
        <w:ind w:firstLine="567"/>
        <w:jc w:val="both"/>
        <w:rPr>
          <w:sz w:val="24"/>
          <w:szCs w:val="24"/>
        </w:rPr>
      </w:pPr>
      <w:r w:rsidRPr="002428B7">
        <w:rPr>
          <w:sz w:val="24"/>
          <w:szCs w:val="24"/>
        </w:rPr>
        <w:t xml:space="preserve">Z rachunków i oświadczeń k. 33 + 14 Sp. 56/02 wynika, że w 1992 r. poprzednik prawny wnioskodawcy IV zaczął wprowadzać na rynek ciastka typu </w:t>
      </w:r>
      <w:proofErr w:type="spellStart"/>
      <w:r w:rsidRPr="002428B7">
        <w:rPr>
          <w:sz w:val="24"/>
          <w:szCs w:val="24"/>
        </w:rPr>
        <w:t>jaffa</w:t>
      </w:r>
      <w:proofErr w:type="spellEnd"/>
      <w:r w:rsidRPr="002428B7">
        <w:rPr>
          <w:sz w:val="24"/>
          <w:szCs w:val="24"/>
        </w:rPr>
        <w:t>.</w:t>
      </w:r>
    </w:p>
    <w:p w14:paraId="093E7766" w14:textId="77777777" w:rsidR="001121F0" w:rsidRPr="002428B7" w:rsidRDefault="001121F0" w:rsidP="001121F0">
      <w:pPr>
        <w:spacing w:after="0"/>
        <w:ind w:firstLine="567"/>
        <w:jc w:val="both"/>
        <w:rPr>
          <w:sz w:val="24"/>
          <w:szCs w:val="24"/>
        </w:rPr>
      </w:pPr>
      <w:r w:rsidRPr="002428B7">
        <w:rPr>
          <w:sz w:val="24"/>
          <w:szCs w:val="24"/>
        </w:rPr>
        <w:t xml:space="preserve">U wnioskodawcy IV w 1989 r. została opracowana norma zakładowa nr 1/89 dotycząca wytwarzania ciastek </w:t>
      </w:r>
      <w:proofErr w:type="spellStart"/>
      <w:r w:rsidRPr="002428B7">
        <w:rPr>
          <w:sz w:val="24"/>
          <w:szCs w:val="24"/>
        </w:rPr>
        <w:t>jaffa</w:t>
      </w:r>
      <w:proofErr w:type="spellEnd"/>
      <w:r w:rsidRPr="002428B7">
        <w:rPr>
          <w:sz w:val="24"/>
          <w:szCs w:val="24"/>
        </w:rPr>
        <w:t xml:space="preserve"> Kształt i barwę tych ciastek potwierdzają badania stacji sanitarno-epidemiologicznej. Ciastka zostały wprowadzone na rynek w listopadzie 1989 r. - k. 15 </w:t>
      </w:r>
      <w:r w:rsidRPr="002428B7">
        <w:rPr>
          <w:rFonts w:cstheme="minorHAnsi"/>
          <w:sz w:val="24"/>
          <w:szCs w:val="24"/>
        </w:rPr>
        <w:t>÷</w:t>
      </w:r>
      <w:r w:rsidRPr="002428B7">
        <w:rPr>
          <w:sz w:val="24"/>
          <w:szCs w:val="24"/>
        </w:rPr>
        <w:t xml:space="preserve"> 7 akt Sp. 20/02.</w:t>
      </w:r>
    </w:p>
    <w:p w14:paraId="3C773821" w14:textId="77777777" w:rsidR="001121F0" w:rsidRPr="002428B7" w:rsidRDefault="001121F0" w:rsidP="001121F0">
      <w:pPr>
        <w:spacing w:after="0"/>
        <w:ind w:firstLine="567"/>
        <w:jc w:val="both"/>
        <w:rPr>
          <w:sz w:val="24"/>
          <w:szCs w:val="24"/>
        </w:rPr>
      </w:pPr>
      <w:r w:rsidRPr="002428B7">
        <w:rPr>
          <w:sz w:val="24"/>
          <w:szCs w:val="24"/>
        </w:rPr>
        <w:t xml:space="preserve">Wnioskodawca I wprowadzał na rynek ciasta </w:t>
      </w:r>
      <w:proofErr w:type="spellStart"/>
      <w:r w:rsidRPr="002428B7">
        <w:rPr>
          <w:sz w:val="24"/>
          <w:szCs w:val="24"/>
        </w:rPr>
        <w:t>jaffa</w:t>
      </w:r>
      <w:proofErr w:type="spellEnd"/>
      <w:r w:rsidRPr="002428B7">
        <w:rPr>
          <w:sz w:val="24"/>
          <w:szCs w:val="24"/>
        </w:rPr>
        <w:t xml:space="preserve"> w latach 1992 + 2001 w opakowaniach jednostkowych jak i zbiorczych k. 57 </w:t>
      </w:r>
      <w:r w:rsidRPr="002428B7">
        <w:rPr>
          <w:rFonts w:cstheme="minorHAnsi"/>
          <w:sz w:val="24"/>
          <w:szCs w:val="24"/>
        </w:rPr>
        <w:t>÷</w:t>
      </w:r>
      <w:r w:rsidRPr="002428B7">
        <w:rPr>
          <w:sz w:val="24"/>
          <w:szCs w:val="24"/>
        </w:rPr>
        <w:t xml:space="preserve"> 45 akt Sp. 215/01 cz. I. Pod pojęciem opakowanie zbiorcze należy rozumieć opakowanie np. kartonowe zawierające kilka kg ciastek, zatem w handlu detalicznym ciastka </w:t>
      </w:r>
      <w:proofErr w:type="spellStart"/>
      <w:r w:rsidRPr="002428B7">
        <w:rPr>
          <w:sz w:val="24"/>
          <w:szCs w:val="24"/>
        </w:rPr>
        <w:t>jaffa</w:t>
      </w:r>
      <w:proofErr w:type="spellEnd"/>
      <w:r w:rsidRPr="002428B7">
        <w:rPr>
          <w:sz w:val="24"/>
          <w:szCs w:val="24"/>
        </w:rPr>
        <w:t xml:space="preserve"> były również sprzedawane na wagę.</w:t>
      </w:r>
    </w:p>
    <w:p w14:paraId="44B12D0B" w14:textId="77777777" w:rsidR="001121F0" w:rsidRPr="002428B7" w:rsidRDefault="001121F0" w:rsidP="001121F0">
      <w:pPr>
        <w:spacing w:after="0"/>
        <w:ind w:firstLine="567"/>
        <w:jc w:val="both"/>
        <w:rPr>
          <w:sz w:val="24"/>
          <w:szCs w:val="24"/>
        </w:rPr>
      </w:pPr>
      <w:r w:rsidRPr="002428B7">
        <w:rPr>
          <w:sz w:val="24"/>
          <w:szCs w:val="24"/>
        </w:rPr>
        <w:t xml:space="preserve">Mimo, że po 1989 r. monopolistyczna pozycja firmy E. Wedel SA w produkcji w Polsce ciastek typu </w:t>
      </w:r>
      <w:proofErr w:type="spellStart"/>
      <w:r w:rsidRPr="002428B7">
        <w:rPr>
          <w:sz w:val="24"/>
          <w:szCs w:val="24"/>
        </w:rPr>
        <w:t>jaffa</w:t>
      </w:r>
      <w:proofErr w:type="spellEnd"/>
      <w:r w:rsidRPr="002428B7">
        <w:rPr>
          <w:sz w:val="24"/>
          <w:szCs w:val="24"/>
        </w:rPr>
        <w:t xml:space="preserve"> została przełamana najpierw przez kilka a obecnie przez kilkunastu innych producentów, to należy jednocześnie stwierdzić, że na rynku ciastek </w:t>
      </w:r>
      <w:proofErr w:type="spellStart"/>
      <w:r w:rsidRPr="002428B7">
        <w:rPr>
          <w:sz w:val="24"/>
          <w:szCs w:val="24"/>
        </w:rPr>
        <w:t>jaffa</w:t>
      </w:r>
      <w:proofErr w:type="spellEnd"/>
      <w:r w:rsidRPr="002428B7">
        <w:rPr>
          <w:sz w:val="24"/>
          <w:szCs w:val="24"/>
        </w:rPr>
        <w:t xml:space="preserve"> w dalszym ciągu dominują produkty uprawnionej wprowadzane na rynek pod znakami: E. Wedel/Delicje Szampańskie lub E. Wedel/Delicje Impresje. Nazwa uprawnionej jest „wstydliwie” ukrywana na odwrocie opakowania przy użyciu mikroskopijnej czcionki k. 585 Sp. 215/01 cz. IV. Tę dominującą pozycję uprawnionej w produkcji ciastek </w:t>
      </w:r>
      <w:proofErr w:type="spellStart"/>
      <w:r w:rsidRPr="002428B7">
        <w:rPr>
          <w:sz w:val="24"/>
          <w:szCs w:val="24"/>
        </w:rPr>
        <w:t>jaffa</w:t>
      </w:r>
      <w:proofErr w:type="spellEnd"/>
      <w:r w:rsidRPr="002428B7">
        <w:rPr>
          <w:sz w:val="24"/>
          <w:szCs w:val="24"/>
        </w:rPr>
        <w:t xml:space="preserve"> w Polsce i jednoczesne kojarzenie przez większość konsumentów ciastek typu </w:t>
      </w:r>
      <w:proofErr w:type="spellStart"/>
      <w:r w:rsidRPr="002428B7">
        <w:rPr>
          <w:sz w:val="24"/>
          <w:szCs w:val="24"/>
        </w:rPr>
        <w:t>jaffa</w:t>
      </w:r>
      <w:proofErr w:type="spellEnd"/>
      <w:r w:rsidRPr="002428B7">
        <w:rPr>
          <w:sz w:val="24"/>
          <w:szCs w:val="24"/>
        </w:rPr>
        <w:t xml:space="preserve"> z delicjami szampańskimi E. Wedel potwierdzają przedłożone przez uprawnioną wyniki badań k. 108 </w:t>
      </w:r>
      <w:r w:rsidRPr="002428B7">
        <w:rPr>
          <w:rFonts w:cstheme="minorHAnsi"/>
          <w:sz w:val="24"/>
          <w:szCs w:val="24"/>
        </w:rPr>
        <w:t>÷</w:t>
      </w:r>
      <w:r w:rsidRPr="002428B7">
        <w:rPr>
          <w:sz w:val="24"/>
          <w:szCs w:val="24"/>
        </w:rPr>
        <w:t xml:space="preserve"> 78 Sp. 215/01 (powtórnie złożone do akt Sp. 215/01 cz. III k. 108 </w:t>
      </w:r>
      <w:r w:rsidRPr="002428B7">
        <w:rPr>
          <w:rFonts w:cstheme="minorHAnsi"/>
          <w:sz w:val="24"/>
          <w:szCs w:val="24"/>
        </w:rPr>
        <w:t>÷</w:t>
      </w:r>
      <w:r w:rsidRPr="002428B7">
        <w:rPr>
          <w:sz w:val="24"/>
          <w:szCs w:val="24"/>
        </w:rPr>
        <w:t xml:space="preserve"> 138) oraz raport k. 27 </w:t>
      </w:r>
      <w:r w:rsidRPr="002428B7">
        <w:rPr>
          <w:rFonts w:cstheme="minorHAnsi"/>
          <w:sz w:val="24"/>
          <w:szCs w:val="24"/>
        </w:rPr>
        <w:t>÷</w:t>
      </w:r>
      <w:r w:rsidRPr="002428B7">
        <w:rPr>
          <w:sz w:val="24"/>
          <w:szCs w:val="24"/>
        </w:rPr>
        <w:t xml:space="preserve"> 61 Sp. 215/01 cz. III, i k. 407 </w:t>
      </w:r>
      <w:r w:rsidRPr="002428B7">
        <w:rPr>
          <w:rFonts w:cstheme="minorHAnsi"/>
          <w:sz w:val="24"/>
          <w:szCs w:val="24"/>
        </w:rPr>
        <w:t>÷</w:t>
      </w:r>
      <w:r w:rsidRPr="002428B7">
        <w:rPr>
          <w:sz w:val="24"/>
          <w:szCs w:val="24"/>
        </w:rPr>
        <w:t xml:space="preserve"> 412 Sp. 215/01 cz. IV. Dużą rolę w promowaniu ciastek pod nazwą E. Wedel </w:t>
      </w:r>
      <w:proofErr w:type="spellStart"/>
      <w:r w:rsidRPr="002428B7">
        <w:rPr>
          <w:sz w:val="24"/>
          <w:szCs w:val="24"/>
        </w:rPr>
        <w:t>Delicie</w:t>
      </w:r>
      <w:proofErr w:type="spellEnd"/>
      <w:r w:rsidRPr="002428B7">
        <w:rPr>
          <w:sz w:val="24"/>
          <w:szCs w:val="24"/>
        </w:rPr>
        <w:t xml:space="preserve"> Szampańskie odgrywa także reklama telewizyjna.</w:t>
      </w:r>
    </w:p>
    <w:p w14:paraId="5C19DDC7" w14:textId="77777777" w:rsidR="001121F0" w:rsidRPr="002428B7" w:rsidRDefault="001121F0" w:rsidP="001121F0">
      <w:pPr>
        <w:spacing w:after="0"/>
        <w:ind w:firstLine="567"/>
        <w:jc w:val="both"/>
        <w:rPr>
          <w:sz w:val="24"/>
          <w:szCs w:val="24"/>
        </w:rPr>
      </w:pPr>
      <w:r w:rsidRPr="002428B7">
        <w:rPr>
          <w:sz w:val="24"/>
          <w:szCs w:val="24"/>
        </w:rPr>
        <w:t xml:space="preserve">Jednak ciastka </w:t>
      </w:r>
      <w:proofErr w:type="spellStart"/>
      <w:r w:rsidRPr="002428B7">
        <w:rPr>
          <w:sz w:val="24"/>
          <w:szCs w:val="24"/>
        </w:rPr>
        <w:t>jaffa</w:t>
      </w:r>
      <w:proofErr w:type="spellEnd"/>
      <w:r w:rsidRPr="002428B7">
        <w:rPr>
          <w:sz w:val="24"/>
          <w:szCs w:val="24"/>
        </w:rPr>
        <w:t xml:space="preserve"> różnych producentów ułożone obok siebie są wzajemnie nierozróżnialne ze względu na stosowanie podobnej technologii, którą rozpowszechniła przed 60-ciu laty firma z Wlk. Brytanii </w:t>
      </w:r>
      <w:proofErr w:type="spellStart"/>
      <w:r w:rsidRPr="002428B7">
        <w:rPr>
          <w:sz w:val="24"/>
          <w:szCs w:val="24"/>
        </w:rPr>
        <w:t>Mc</w:t>
      </w:r>
      <w:proofErr w:type="spellEnd"/>
      <w:r w:rsidRPr="002428B7">
        <w:rPr>
          <w:sz w:val="24"/>
          <w:szCs w:val="24"/>
        </w:rPr>
        <w:t xml:space="preserve"> </w:t>
      </w:r>
      <w:proofErr w:type="spellStart"/>
      <w:r w:rsidRPr="002428B7">
        <w:rPr>
          <w:sz w:val="24"/>
          <w:szCs w:val="24"/>
        </w:rPr>
        <w:t>Vitie's</w:t>
      </w:r>
      <w:proofErr w:type="spellEnd"/>
      <w:r w:rsidRPr="002428B7">
        <w:rPr>
          <w:sz w:val="24"/>
          <w:szCs w:val="24"/>
        </w:rPr>
        <w:t xml:space="preserve">. Wzajemne łudzące podobieństwo ciastek typu </w:t>
      </w:r>
      <w:proofErr w:type="spellStart"/>
      <w:r w:rsidRPr="002428B7">
        <w:rPr>
          <w:sz w:val="24"/>
          <w:szCs w:val="24"/>
        </w:rPr>
        <w:t>jaffa</w:t>
      </w:r>
      <w:proofErr w:type="spellEnd"/>
      <w:r w:rsidRPr="002428B7">
        <w:rPr>
          <w:sz w:val="24"/>
          <w:szCs w:val="24"/>
        </w:rPr>
        <w:t xml:space="preserve"> różnych producentów jest zobrazowane na fotografiach k. 43 </w:t>
      </w:r>
      <w:r w:rsidRPr="002428B7">
        <w:rPr>
          <w:rFonts w:cstheme="minorHAnsi"/>
          <w:sz w:val="24"/>
          <w:szCs w:val="24"/>
        </w:rPr>
        <w:t>÷</w:t>
      </w:r>
      <w:r w:rsidRPr="002428B7">
        <w:rPr>
          <w:sz w:val="24"/>
          <w:szCs w:val="24"/>
        </w:rPr>
        <w:t xml:space="preserve"> 7 Sp. 215/01 cz. I </w:t>
      </w:r>
      <w:proofErr w:type="spellStart"/>
      <w:r w:rsidRPr="002428B7">
        <w:rPr>
          <w:sz w:val="24"/>
          <w:szCs w:val="24"/>
        </w:rPr>
        <w:t>i</w:t>
      </w:r>
      <w:proofErr w:type="spellEnd"/>
      <w:r w:rsidRPr="002428B7">
        <w:rPr>
          <w:sz w:val="24"/>
          <w:szCs w:val="24"/>
        </w:rPr>
        <w:t xml:space="preserve"> k. 203a </w:t>
      </w:r>
      <w:r w:rsidRPr="002428B7">
        <w:rPr>
          <w:rFonts w:cstheme="minorHAnsi"/>
          <w:sz w:val="24"/>
          <w:szCs w:val="24"/>
        </w:rPr>
        <w:t>÷</w:t>
      </w:r>
      <w:r w:rsidRPr="002428B7">
        <w:rPr>
          <w:sz w:val="24"/>
          <w:szCs w:val="24"/>
        </w:rPr>
        <w:t xml:space="preserve"> 203 Sp. 215/01 cz. II. Z tych fotografii wynika, że konsument nawet dobrze zorientowany i uważny nie jest w stanie po samym wyglądzie ciastek wskazać na źródło pochodzenia.</w:t>
      </w:r>
    </w:p>
    <w:p w14:paraId="675E12E0" w14:textId="77777777" w:rsidR="001121F0" w:rsidRPr="002428B7" w:rsidRDefault="001121F0" w:rsidP="001121F0">
      <w:pPr>
        <w:spacing w:after="0"/>
        <w:ind w:firstLine="567"/>
        <w:jc w:val="both"/>
        <w:rPr>
          <w:sz w:val="24"/>
          <w:szCs w:val="24"/>
        </w:rPr>
      </w:pPr>
    </w:p>
    <w:p w14:paraId="1F0717AF" w14:textId="084C9C3E"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 xml:space="preserve">Zdolność rejestracyjna znaku R 116211 w świetle Pierwszej Dyrektywy Rady Wspólnot Europejskich nr 89/104/EWG o harmonizacji przepisów prawa Państw Członkowskich (publikacja: m in. - R. Skubisz Komentarz - Wyd. II str. 335 </w:t>
      </w:r>
      <w:r w:rsidRPr="00EB1DB3">
        <w:rPr>
          <w:rFonts w:cstheme="minorHAnsi"/>
          <w:b/>
          <w:bCs/>
          <w:sz w:val="24"/>
          <w:szCs w:val="24"/>
        </w:rPr>
        <w:t>÷</w:t>
      </w:r>
      <w:r w:rsidRPr="00EB1DB3">
        <w:rPr>
          <w:b/>
          <w:bCs/>
          <w:sz w:val="24"/>
          <w:szCs w:val="24"/>
        </w:rPr>
        <w:t xml:space="preserve"> 350)</w:t>
      </w:r>
      <w:r w:rsidR="00EB1DB3">
        <w:rPr>
          <w:b/>
          <w:bCs/>
          <w:sz w:val="24"/>
          <w:szCs w:val="24"/>
        </w:rPr>
        <w:t>.</w:t>
      </w:r>
    </w:p>
    <w:p w14:paraId="6E245529" w14:textId="77777777" w:rsidR="001121F0" w:rsidRPr="005E0071" w:rsidRDefault="001121F0" w:rsidP="001121F0">
      <w:pPr>
        <w:spacing w:after="0"/>
        <w:jc w:val="both"/>
        <w:rPr>
          <w:sz w:val="6"/>
          <w:szCs w:val="6"/>
        </w:rPr>
      </w:pPr>
    </w:p>
    <w:p w14:paraId="7E581B05" w14:textId="68EEA11A" w:rsidR="001121F0" w:rsidRPr="002428B7" w:rsidRDefault="005E0071" w:rsidP="005E0071">
      <w:pPr>
        <w:tabs>
          <w:tab w:val="left" w:pos="567"/>
        </w:tabs>
        <w:spacing w:after="0"/>
        <w:jc w:val="both"/>
        <w:rPr>
          <w:sz w:val="24"/>
          <w:szCs w:val="24"/>
        </w:rPr>
      </w:pPr>
      <w:r>
        <w:rPr>
          <w:sz w:val="24"/>
          <w:szCs w:val="24"/>
        </w:rPr>
        <w:t xml:space="preserve"> </w:t>
      </w:r>
      <w:r>
        <w:rPr>
          <w:sz w:val="24"/>
          <w:szCs w:val="24"/>
        </w:rPr>
        <w:tab/>
      </w:r>
      <w:r w:rsidR="001121F0" w:rsidRPr="002428B7">
        <w:rPr>
          <w:sz w:val="24"/>
          <w:szCs w:val="24"/>
        </w:rPr>
        <w:t>Art. 3 Przeszkody rejestracji i powody unieważnienia znaku towarowego</w:t>
      </w:r>
      <w:r>
        <w:rPr>
          <w:sz w:val="24"/>
          <w:szCs w:val="24"/>
        </w:rPr>
        <w:t xml:space="preserve"> </w:t>
      </w:r>
      <w:r w:rsidR="001121F0" w:rsidRPr="002428B7">
        <w:rPr>
          <w:sz w:val="24"/>
          <w:szCs w:val="24"/>
        </w:rPr>
        <w:t>ust. 1 Z rejestracji wyłączone są lub w przypadku ich zarejestrowania podlegają unieważnieniu następujące oznaczenia lub znaki towarowe:</w:t>
      </w:r>
    </w:p>
    <w:p w14:paraId="15117F37" w14:textId="77777777" w:rsidR="001121F0" w:rsidRPr="002428B7" w:rsidRDefault="001121F0" w:rsidP="001121F0">
      <w:pPr>
        <w:spacing w:after="0"/>
        <w:ind w:left="567" w:hanging="283"/>
        <w:jc w:val="both"/>
        <w:rPr>
          <w:sz w:val="24"/>
          <w:szCs w:val="24"/>
        </w:rPr>
      </w:pPr>
      <w:r w:rsidRPr="002428B7">
        <w:rPr>
          <w:sz w:val="24"/>
          <w:szCs w:val="24"/>
        </w:rPr>
        <w:t>e) oznaczenia składające się wyłącznie z:</w:t>
      </w:r>
    </w:p>
    <w:p w14:paraId="5B4A16DA" w14:textId="77777777" w:rsidR="001121F0" w:rsidRPr="002428B7" w:rsidRDefault="001121F0" w:rsidP="001121F0">
      <w:pPr>
        <w:spacing w:after="0"/>
        <w:ind w:left="567"/>
        <w:jc w:val="both"/>
        <w:rPr>
          <w:sz w:val="24"/>
          <w:szCs w:val="24"/>
        </w:rPr>
      </w:pPr>
      <w:r w:rsidRPr="002428B7">
        <w:rPr>
          <w:sz w:val="24"/>
          <w:szCs w:val="24"/>
        </w:rPr>
        <w:t xml:space="preserve">i) kształtu, który uwarunkowany jest samym rodzajem towaru; </w:t>
      </w:r>
    </w:p>
    <w:p w14:paraId="445B9A0A" w14:textId="77777777" w:rsidR="001121F0" w:rsidRPr="002428B7" w:rsidRDefault="001121F0" w:rsidP="001121F0">
      <w:pPr>
        <w:spacing w:after="0"/>
        <w:ind w:left="567"/>
        <w:jc w:val="both"/>
        <w:rPr>
          <w:sz w:val="24"/>
          <w:szCs w:val="24"/>
        </w:rPr>
      </w:pPr>
      <w:r w:rsidRPr="002428B7">
        <w:rPr>
          <w:sz w:val="24"/>
          <w:szCs w:val="24"/>
        </w:rPr>
        <w:lastRenderedPageBreak/>
        <w:t xml:space="preserve">ii) kształtu, który jest niezbędny dla uzyskania właściwości technicznych towaru; </w:t>
      </w:r>
    </w:p>
    <w:p w14:paraId="09313A3E" w14:textId="77777777" w:rsidR="001121F0" w:rsidRPr="002428B7" w:rsidRDefault="001121F0" w:rsidP="001121F0">
      <w:pPr>
        <w:spacing w:after="0"/>
        <w:ind w:left="567"/>
        <w:jc w:val="both"/>
        <w:rPr>
          <w:sz w:val="24"/>
          <w:szCs w:val="24"/>
        </w:rPr>
      </w:pPr>
      <w:r w:rsidRPr="002428B7">
        <w:rPr>
          <w:sz w:val="24"/>
          <w:szCs w:val="24"/>
        </w:rPr>
        <w:t>iii) kształtu, który nadaje towarom istotną wartość.</w:t>
      </w:r>
    </w:p>
    <w:p w14:paraId="40941060" w14:textId="77777777" w:rsidR="001121F0" w:rsidRPr="002428B7" w:rsidRDefault="001121F0" w:rsidP="001121F0">
      <w:pPr>
        <w:spacing w:after="0"/>
        <w:ind w:left="567" w:hanging="283"/>
        <w:jc w:val="both"/>
        <w:rPr>
          <w:sz w:val="24"/>
          <w:szCs w:val="24"/>
        </w:rPr>
      </w:pPr>
      <w:r w:rsidRPr="002428B7">
        <w:rPr>
          <w:sz w:val="24"/>
          <w:szCs w:val="24"/>
        </w:rPr>
        <w:t>ust. 3 Znak towarowy nie podlega wyłączeniu z rejestracji lub unieważnieniu zgodnie z ust. 1 lit. b, c lub d, jeżeli przed zgłoszeniem uzyskał zdolność odróżniającą w wyniku jego używania....</w:t>
      </w:r>
    </w:p>
    <w:p w14:paraId="0B450107" w14:textId="77777777" w:rsidR="001121F0" w:rsidRPr="002428B7" w:rsidRDefault="001121F0" w:rsidP="001121F0">
      <w:pPr>
        <w:spacing w:after="0"/>
        <w:jc w:val="both"/>
        <w:rPr>
          <w:sz w:val="24"/>
          <w:szCs w:val="24"/>
        </w:rPr>
      </w:pPr>
      <w:r w:rsidRPr="002428B7">
        <w:rPr>
          <w:sz w:val="24"/>
          <w:szCs w:val="24"/>
        </w:rPr>
        <w:t xml:space="preserve">Ponieważ w treści cyt. ust. 3 nie są wymienione oznaczenia pod literami: </w:t>
      </w:r>
    </w:p>
    <w:p w14:paraId="71452E53" w14:textId="77777777" w:rsidR="001121F0" w:rsidRPr="002428B7" w:rsidRDefault="001121F0" w:rsidP="001121F0">
      <w:pPr>
        <w:spacing w:after="0"/>
        <w:ind w:left="567"/>
        <w:jc w:val="both"/>
        <w:rPr>
          <w:sz w:val="24"/>
          <w:szCs w:val="24"/>
        </w:rPr>
      </w:pPr>
      <w:r w:rsidRPr="002428B7">
        <w:rPr>
          <w:sz w:val="24"/>
          <w:szCs w:val="24"/>
        </w:rPr>
        <w:t xml:space="preserve">e - i) </w:t>
      </w:r>
    </w:p>
    <w:p w14:paraId="060F1C9E" w14:textId="77777777" w:rsidR="001121F0" w:rsidRPr="002428B7" w:rsidRDefault="001121F0" w:rsidP="001121F0">
      <w:pPr>
        <w:spacing w:after="0"/>
        <w:ind w:left="567"/>
        <w:jc w:val="both"/>
        <w:rPr>
          <w:sz w:val="24"/>
          <w:szCs w:val="24"/>
        </w:rPr>
      </w:pPr>
      <w:r w:rsidRPr="002428B7">
        <w:rPr>
          <w:sz w:val="24"/>
          <w:szCs w:val="24"/>
        </w:rPr>
        <w:t>e - ii)</w:t>
      </w:r>
    </w:p>
    <w:p w14:paraId="0CC9939F" w14:textId="77777777" w:rsidR="001121F0" w:rsidRPr="002428B7" w:rsidRDefault="001121F0" w:rsidP="001121F0">
      <w:pPr>
        <w:spacing w:after="0"/>
        <w:jc w:val="both"/>
        <w:rPr>
          <w:sz w:val="24"/>
          <w:szCs w:val="24"/>
        </w:rPr>
      </w:pPr>
      <w:r w:rsidRPr="002428B7">
        <w:rPr>
          <w:sz w:val="24"/>
          <w:szCs w:val="24"/>
        </w:rPr>
        <w:t>oraz   e - iii)</w:t>
      </w:r>
    </w:p>
    <w:p w14:paraId="2C30F369" w14:textId="77777777" w:rsidR="001121F0" w:rsidRPr="002428B7" w:rsidRDefault="001121F0" w:rsidP="001121F0">
      <w:pPr>
        <w:spacing w:after="0"/>
        <w:jc w:val="both"/>
        <w:rPr>
          <w:sz w:val="24"/>
          <w:szCs w:val="24"/>
        </w:rPr>
      </w:pPr>
      <w:r w:rsidRPr="002428B7">
        <w:rPr>
          <w:sz w:val="24"/>
          <w:szCs w:val="24"/>
        </w:rPr>
        <w:t>można stąd wysnuć wniosek, że oznaczania składające się wyłącznie z kształtów o którym mowa w art. 3 ust. 1 lit. e nie mogą uzyskać zdolności odróżniającej w wyniku używania, więc do tych oznaczeń stosuje się ostrzejsze kryteria rejestracyjne niż do pozostałych.</w:t>
      </w:r>
    </w:p>
    <w:p w14:paraId="6CF6C2E8" w14:textId="77777777" w:rsidR="001121F0" w:rsidRPr="002428B7" w:rsidRDefault="001121F0" w:rsidP="001121F0">
      <w:pPr>
        <w:spacing w:after="0"/>
        <w:ind w:firstLine="567"/>
        <w:jc w:val="both"/>
        <w:rPr>
          <w:sz w:val="24"/>
          <w:szCs w:val="24"/>
        </w:rPr>
      </w:pPr>
      <w:r w:rsidRPr="002428B7">
        <w:rPr>
          <w:sz w:val="24"/>
          <w:szCs w:val="24"/>
        </w:rPr>
        <w:t xml:space="preserve">Kształt i kolorystyka ciastka opisana w znaku R 116211 są uwarunkowane samym rodzajem towaru, którym jest ciastko </w:t>
      </w:r>
      <w:proofErr w:type="spellStart"/>
      <w:r w:rsidRPr="002428B7">
        <w:rPr>
          <w:sz w:val="24"/>
          <w:szCs w:val="24"/>
        </w:rPr>
        <w:t>jaffa</w:t>
      </w:r>
      <w:proofErr w:type="spellEnd"/>
      <w:r w:rsidRPr="002428B7">
        <w:rPr>
          <w:sz w:val="24"/>
          <w:szCs w:val="24"/>
        </w:rPr>
        <w:t xml:space="preserve"> zatem zgodnie z art. 3 ust. 1 lit. e-i ten kształt i kolorystyka nie podlegają ochronie i nie mogły uzyskać według art. 3 ust. 3 wtórnej zdolności odróżniającej.</w:t>
      </w:r>
    </w:p>
    <w:p w14:paraId="51A02E39" w14:textId="77777777" w:rsidR="001121F0" w:rsidRPr="002428B7" w:rsidRDefault="001121F0" w:rsidP="001121F0">
      <w:pPr>
        <w:spacing w:after="0"/>
        <w:ind w:firstLine="567"/>
        <w:jc w:val="both"/>
        <w:rPr>
          <w:sz w:val="24"/>
          <w:szCs w:val="24"/>
        </w:rPr>
      </w:pPr>
    </w:p>
    <w:p w14:paraId="091A28F0"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 xml:space="preserve">Zdolność rejestracyjna znaku R 116211 w świetle wyroku Europejskiego Trybunału Sprawiedliwości (ETS) z dnia 18.VI.2002 r. </w:t>
      </w:r>
      <w:proofErr w:type="spellStart"/>
      <w:r w:rsidRPr="00EB1DB3">
        <w:rPr>
          <w:b/>
          <w:bCs/>
          <w:sz w:val="24"/>
          <w:szCs w:val="24"/>
        </w:rPr>
        <w:t>phps</w:t>
      </w:r>
      <w:proofErr w:type="spellEnd"/>
      <w:r w:rsidRPr="00EB1DB3">
        <w:rPr>
          <w:b/>
          <w:bCs/>
          <w:sz w:val="24"/>
          <w:szCs w:val="24"/>
        </w:rPr>
        <w:t xml:space="preserve"> v Remington - sprawa C-299/99 Publikacja - m.in.: „Rzecznik Patentowy, Problemy Ochrony Własności Przemysłowej nr4/35) październik-grudzień 2002 r. str. 82 </w:t>
      </w:r>
      <w:r w:rsidRPr="00EB1DB3">
        <w:rPr>
          <w:rFonts w:cstheme="minorBidi"/>
          <w:b/>
          <w:bCs/>
          <w:sz w:val="24"/>
          <w:szCs w:val="24"/>
        </w:rPr>
        <w:t>÷</w:t>
      </w:r>
      <w:r w:rsidRPr="00EB1DB3">
        <w:rPr>
          <w:b/>
          <w:bCs/>
          <w:sz w:val="24"/>
          <w:szCs w:val="24"/>
        </w:rPr>
        <w:t xml:space="preserve"> 107.</w:t>
      </w:r>
    </w:p>
    <w:p w14:paraId="4BA125B3" w14:textId="77777777" w:rsidR="001121F0" w:rsidRPr="002428B7" w:rsidRDefault="001121F0" w:rsidP="001121F0">
      <w:pPr>
        <w:spacing w:after="0"/>
        <w:jc w:val="both"/>
        <w:rPr>
          <w:sz w:val="24"/>
          <w:szCs w:val="24"/>
        </w:rPr>
      </w:pPr>
    </w:p>
    <w:p w14:paraId="00302BCF" w14:textId="77777777" w:rsidR="001121F0" w:rsidRPr="002428B7" w:rsidRDefault="001121F0" w:rsidP="001121F0">
      <w:pPr>
        <w:spacing w:after="0"/>
        <w:jc w:val="both"/>
        <w:rPr>
          <w:sz w:val="24"/>
          <w:szCs w:val="24"/>
        </w:rPr>
      </w:pPr>
      <w:r w:rsidRPr="002428B7">
        <w:rPr>
          <w:sz w:val="24"/>
          <w:szCs w:val="24"/>
        </w:rPr>
        <w:t xml:space="preserve">ETS podkreślił, co wynika wyraźnie z omówionej wyżej dyrektywy, że forma podlegająca bezwzględnie włączeniu od rejestracji (art. 3 ust. 1 lit. e) nie podlega rejestracji, nawet gdyby była intensywnie używana. Nie może ona bowiem nigdy nabyć według art. 3 ust. 1 lit. e zdolności odróżnienia na podstawie używania, zatem ciastko </w:t>
      </w:r>
      <w:proofErr w:type="spellStart"/>
      <w:r w:rsidRPr="002428B7">
        <w:rPr>
          <w:sz w:val="24"/>
          <w:szCs w:val="24"/>
        </w:rPr>
        <w:t>jaffa</w:t>
      </w:r>
      <w:proofErr w:type="spellEnd"/>
      <w:r w:rsidRPr="002428B7">
        <w:rPr>
          <w:sz w:val="24"/>
          <w:szCs w:val="24"/>
        </w:rPr>
        <w:t xml:space="preserve"> nie podlega rejestracji zgodnie z lit. e - i dyrektywy podobnie jak golarka Philips zgodnie z lit. e -ii tej dyrektywy i podobnie jak Philips w wyniku wyroku ETS-u utracił „wieczny monopol” na swoją golarkę, podobnie uprawniona ze znaku R 116211 nie może mieć „wiecznego monopolu na wytwarzanie ciastek </w:t>
      </w:r>
      <w:proofErr w:type="spellStart"/>
      <w:r w:rsidRPr="002428B7">
        <w:rPr>
          <w:sz w:val="24"/>
          <w:szCs w:val="24"/>
        </w:rPr>
        <w:t>jaffa</w:t>
      </w:r>
      <w:proofErr w:type="spellEnd"/>
      <w:r w:rsidRPr="002428B7">
        <w:rPr>
          <w:sz w:val="24"/>
          <w:szCs w:val="24"/>
        </w:rPr>
        <w:t xml:space="preserve">. Można tu dodać, że ciastka </w:t>
      </w:r>
      <w:proofErr w:type="spellStart"/>
      <w:r w:rsidRPr="002428B7">
        <w:rPr>
          <w:sz w:val="24"/>
          <w:szCs w:val="24"/>
        </w:rPr>
        <w:t>jaffa</w:t>
      </w:r>
      <w:proofErr w:type="spellEnd"/>
      <w:r w:rsidRPr="002428B7">
        <w:rPr>
          <w:sz w:val="24"/>
          <w:szCs w:val="24"/>
        </w:rPr>
        <w:t xml:space="preserve"> należy oceniać według lit. e - i dyrektywy a golarkę Philipsa według lit. e - ii dyrektywy, ponieważ kształt golarki jest niezbędny do uzyskania określonego rezultatu technicznego, natomiast kształt ciastka według R 116211 jest uwarunkowany samym rodzajem towaru jakim jest ciastko j </w:t>
      </w:r>
      <w:proofErr w:type="spellStart"/>
      <w:r w:rsidRPr="002428B7">
        <w:rPr>
          <w:sz w:val="24"/>
          <w:szCs w:val="24"/>
        </w:rPr>
        <w:t>affa</w:t>
      </w:r>
      <w:proofErr w:type="spellEnd"/>
      <w:r w:rsidRPr="002428B7">
        <w:rPr>
          <w:sz w:val="24"/>
          <w:szCs w:val="24"/>
        </w:rPr>
        <w:t>.</w:t>
      </w:r>
    </w:p>
    <w:p w14:paraId="530D4744" w14:textId="77777777" w:rsidR="001121F0" w:rsidRPr="002428B7" w:rsidRDefault="001121F0" w:rsidP="001121F0">
      <w:pPr>
        <w:spacing w:after="0"/>
        <w:jc w:val="both"/>
        <w:rPr>
          <w:sz w:val="24"/>
          <w:szCs w:val="24"/>
        </w:rPr>
      </w:pPr>
    </w:p>
    <w:p w14:paraId="3F73D5D8"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 xml:space="preserve">Zdolność rejestracyjna znaku R 116211 w świetle opinii uzupełniającej do opinii... autorstwa prof. Ewy Nowińskiej i prof. Michała </w:t>
      </w:r>
      <w:proofErr w:type="spellStart"/>
      <w:r w:rsidRPr="00EB1DB3">
        <w:rPr>
          <w:b/>
          <w:bCs/>
          <w:sz w:val="24"/>
          <w:szCs w:val="24"/>
        </w:rPr>
        <w:t>du</w:t>
      </w:r>
      <w:proofErr w:type="spellEnd"/>
      <w:r w:rsidRPr="00EB1DB3">
        <w:rPr>
          <w:b/>
          <w:bCs/>
          <w:sz w:val="24"/>
          <w:szCs w:val="24"/>
        </w:rPr>
        <w:t xml:space="preserve"> </w:t>
      </w:r>
      <w:proofErr w:type="spellStart"/>
      <w:r w:rsidRPr="00EB1DB3">
        <w:rPr>
          <w:b/>
          <w:bCs/>
          <w:sz w:val="24"/>
          <w:szCs w:val="24"/>
        </w:rPr>
        <w:t>Vall</w:t>
      </w:r>
      <w:proofErr w:type="spellEnd"/>
      <w:r w:rsidRPr="00EB1DB3">
        <w:rPr>
          <w:b/>
          <w:bCs/>
          <w:sz w:val="24"/>
          <w:szCs w:val="24"/>
        </w:rPr>
        <w:t xml:space="preserve"> (str. 227 </w:t>
      </w:r>
      <w:r w:rsidRPr="00EB1DB3">
        <w:rPr>
          <w:rFonts w:cstheme="minorBidi"/>
          <w:b/>
          <w:bCs/>
          <w:sz w:val="24"/>
          <w:szCs w:val="24"/>
        </w:rPr>
        <w:t>÷</w:t>
      </w:r>
      <w:r w:rsidRPr="00EB1DB3">
        <w:rPr>
          <w:b/>
          <w:bCs/>
          <w:sz w:val="24"/>
          <w:szCs w:val="24"/>
        </w:rPr>
        <w:t xml:space="preserve"> 242 Sp. 215/01 cz. II).</w:t>
      </w:r>
    </w:p>
    <w:p w14:paraId="59DF9509" w14:textId="77777777" w:rsidR="001121F0" w:rsidRPr="005E0071" w:rsidRDefault="001121F0" w:rsidP="001121F0">
      <w:pPr>
        <w:spacing w:after="0"/>
        <w:jc w:val="both"/>
        <w:rPr>
          <w:sz w:val="6"/>
          <w:szCs w:val="6"/>
        </w:rPr>
      </w:pPr>
    </w:p>
    <w:p w14:paraId="716564BD" w14:textId="77777777" w:rsidR="001121F0" w:rsidRPr="002428B7" w:rsidRDefault="001121F0" w:rsidP="001121F0">
      <w:pPr>
        <w:spacing w:after="0"/>
        <w:ind w:firstLine="567"/>
        <w:jc w:val="both"/>
        <w:rPr>
          <w:sz w:val="24"/>
          <w:szCs w:val="24"/>
        </w:rPr>
      </w:pPr>
      <w:r w:rsidRPr="002428B7">
        <w:rPr>
          <w:sz w:val="24"/>
          <w:szCs w:val="24"/>
        </w:rPr>
        <w:t xml:space="preserve">Zdaniem autorów ciastko według R 116211 posiada zdolność rejestracyjną w świetle wyroku ETS Philips v Remington jednak pominęli oni w swoich rozważaniach okoliczność, że golarka Philips była oceniana w świetle art. 3 ust. 1 lit. e - ii w związku z ust. 3 dyrektywy, natomiast kształt ciastka według R 116211 powinien być oceniany według art. 3 ust. 1 lit. e - i w związku z art. 3 ust. 3 tejże dyrektywy. Zarówno w dacie rozpoczęcia produkcji ciastek - </w:t>
      </w:r>
      <w:proofErr w:type="gramStart"/>
      <w:r w:rsidRPr="002428B7">
        <w:rPr>
          <w:sz w:val="24"/>
          <w:szCs w:val="24"/>
        </w:rPr>
        <w:t>delicji :</w:t>
      </w:r>
      <w:proofErr w:type="gramEnd"/>
      <w:r w:rsidRPr="002428B7">
        <w:rPr>
          <w:sz w:val="24"/>
          <w:szCs w:val="24"/>
        </w:rPr>
        <w:t xml:space="preserve"> szampańskich w ZPC im. 22 Lipca w Płońsku w 1977 r jak i w dacie zgłoszenia znaku do rejestracji 1994 r. kształt i kolorystyka ciastka/znaku były uwarunkowane samym rodzajem </w:t>
      </w:r>
      <w:r w:rsidRPr="002428B7">
        <w:rPr>
          <w:sz w:val="24"/>
          <w:szCs w:val="24"/>
        </w:rPr>
        <w:lastRenderedPageBreak/>
        <w:t xml:space="preserve">towaru jakim jest ciastko </w:t>
      </w:r>
      <w:proofErr w:type="spellStart"/>
      <w:r w:rsidRPr="002428B7">
        <w:rPr>
          <w:sz w:val="24"/>
          <w:szCs w:val="24"/>
        </w:rPr>
        <w:t>jaffa</w:t>
      </w:r>
      <w:proofErr w:type="spellEnd"/>
      <w:r w:rsidRPr="002428B7">
        <w:rPr>
          <w:sz w:val="24"/>
          <w:szCs w:val="24"/>
        </w:rPr>
        <w:t xml:space="preserve"> ten kształt i kolorystyka nie mogą być zarejestrowane w świetle art. 3 ust. 1 lit. e -i w związku z art. 3 ust. 3 dyrektywy.</w:t>
      </w:r>
    </w:p>
    <w:p w14:paraId="59D6AB22" w14:textId="77777777" w:rsidR="001121F0" w:rsidRPr="002428B7" w:rsidRDefault="001121F0" w:rsidP="001121F0">
      <w:pPr>
        <w:spacing w:after="0"/>
        <w:ind w:firstLine="567"/>
        <w:jc w:val="both"/>
        <w:rPr>
          <w:sz w:val="24"/>
          <w:szCs w:val="24"/>
        </w:rPr>
      </w:pPr>
    </w:p>
    <w:p w14:paraId="1B701697"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Zdolność rejestracyjna znaku R 116211 w świetle opinii prof. Ryszarda Skubisza - k 210 (21 stron) Sp. 215/01 cz. II.</w:t>
      </w:r>
    </w:p>
    <w:p w14:paraId="361F4D29" w14:textId="77777777" w:rsidR="001121F0" w:rsidRPr="005E0071" w:rsidRDefault="001121F0" w:rsidP="001121F0">
      <w:pPr>
        <w:spacing w:after="0"/>
        <w:jc w:val="both"/>
        <w:rPr>
          <w:sz w:val="6"/>
          <w:szCs w:val="6"/>
        </w:rPr>
      </w:pPr>
    </w:p>
    <w:p w14:paraId="69E00179" w14:textId="1FE81E58" w:rsidR="001121F0" w:rsidRPr="002428B7" w:rsidRDefault="005E0071" w:rsidP="007A4ECB">
      <w:pPr>
        <w:tabs>
          <w:tab w:val="left" w:pos="567"/>
        </w:tabs>
        <w:spacing w:after="0"/>
        <w:jc w:val="both"/>
        <w:rPr>
          <w:sz w:val="24"/>
          <w:szCs w:val="24"/>
        </w:rPr>
      </w:pPr>
      <w:r>
        <w:rPr>
          <w:sz w:val="24"/>
          <w:szCs w:val="24"/>
        </w:rPr>
        <w:t xml:space="preserve"> </w:t>
      </w:r>
      <w:r>
        <w:rPr>
          <w:sz w:val="24"/>
          <w:szCs w:val="24"/>
        </w:rPr>
        <w:tab/>
      </w:r>
      <w:r w:rsidR="001121F0" w:rsidRPr="002428B7">
        <w:rPr>
          <w:sz w:val="24"/>
          <w:szCs w:val="24"/>
        </w:rPr>
        <w:t>Na str. 12 opinii R. Skubisz - pisze:</w:t>
      </w:r>
    </w:p>
    <w:p w14:paraId="51A56828" w14:textId="77777777" w:rsidR="001121F0" w:rsidRPr="002428B7" w:rsidRDefault="001121F0" w:rsidP="001121F0">
      <w:pPr>
        <w:spacing w:after="0"/>
        <w:jc w:val="both"/>
        <w:rPr>
          <w:sz w:val="24"/>
          <w:szCs w:val="24"/>
        </w:rPr>
      </w:pPr>
      <w:r w:rsidRPr="002428B7">
        <w:rPr>
          <w:sz w:val="24"/>
          <w:szCs w:val="24"/>
        </w:rPr>
        <w:t>„Znak przestrzenny, który nie przedstawia formy oznaczanego nim towaru, jest zaliczany do kategorii znaków przestrzennych w rozumieniu szerokim. Taki znak zasadniczo nie musi posiadać szczególnej cechy. Natomiast znak przestrzenny, który jak w przedmiotowej sprawie -jest odzwierciedleniem samej formy towaru do którego oznaczenia służy, jest zaliczany do kategorii znaków przestrzennych w rozumieniu wąskim. Taki znak zawsze musi spełniać wymóg odznaczania się szczególnymi cechami.” Te cechy są wymienione na str. 13 + 16 opinii a następnie jest omówiona zasada swobodnego dostępu polegająca na tym, że wszyscy przedsiębiorcy w danej branży maja prawo swobodnego korzystania w swojej działalności z form towarów typowych dla tej branży. W konkluzji autor stwierdza, że znak nie ma zdolności odróżniającej.</w:t>
      </w:r>
    </w:p>
    <w:p w14:paraId="5199A145" w14:textId="77777777" w:rsidR="001121F0" w:rsidRPr="00EB1DB3" w:rsidRDefault="001121F0" w:rsidP="001121F0">
      <w:pPr>
        <w:spacing w:after="0"/>
        <w:jc w:val="both"/>
        <w:rPr>
          <w:b/>
          <w:bCs/>
          <w:sz w:val="24"/>
          <w:szCs w:val="24"/>
        </w:rPr>
      </w:pPr>
    </w:p>
    <w:p w14:paraId="0DCCACA3" w14:textId="5CF3C318" w:rsidR="001121F0" w:rsidRPr="002428B7" w:rsidRDefault="001121F0" w:rsidP="001F6BE3">
      <w:pPr>
        <w:pStyle w:val="Akapitzlist"/>
        <w:numPr>
          <w:ilvl w:val="0"/>
          <w:numId w:val="26"/>
        </w:numPr>
        <w:spacing w:line="259" w:lineRule="auto"/>
        <w:ind w:left="567" w:hanging="567"/>
        <w:contextualSpacing/>
        <w:jc w:val="both"/>
        <w:rPr>
          <w:sz w:val="24"/>
          <w:szCs w:val="24"/>
        </w:rPr>
      </w:pPr>
      <w:r w:rsidRPr="00EB1DB3">
        <w:rPr>
          <w:b/>
          <w:bCs/>
          <w:sz w:val="24"/>
          <w:szCs w:val="24"/>
        </w:rPr>
        <w:t xml:space="preserve">Zdolność rejestracyjna znaku R 116211 w świetle opinii prof. Urszuli </w:t>
      </w:r>
      <w:r w:rsidR="00EB1DB3">
        <w:rPr>
          <w:b/>
          <w:bCs/>
          <w:sz w:val="24"/>
          <w:szCs w:val="24"/>
        </w:rPr>
        <w:t>P</w:t>
      </w:r>
      <w:r w:rsidRPr="00EB1DB3">
        <w:rPr>
          <w:b/>
          <w:bCs/>
          <w:sz w:val="24"/>
          <w:szCs w:val="24"/>
        </w:rPr>
        <w:t xml:space="preserve">romińskiej </w:t>
      </w:r>
      <w:r w:rsidR="00EB1DB3">
        <w:rPr>
          <w:b/>
          <w:bCs/>
          <w:sz w:val="24"/>
          <w:szCs w:val="24"/>
        </w:rPr>
        <w:t>-</w:t>
      </w:r>
      <w:r w:rsidRPr="00EB1DB3">
        <w:rPr>
          <w:b/>
          <w:bCs/>
          <w:sz w:val="24"/>
          <w:szCs w:val="24"/>
        </w:rPr>
        <w:t xml:space="preserve"> k 209 (17 stron) Sp. 215/01 cz. Il</w:t>
      </w:r>
    </w:p>
    <w:p w14:paraId="00079128" w14:textId="77777777" w:rsidR="001121F0" w:rsidRPr="005E0071" w:rsidRDefault="001121F0" w:rsidP="001121F0">
      <w:pPr>
        <w:spacing w:after="0"/>
        <w:jc w:val="both"/>
        <w:rPr>
          <w:sz w:val="6"/>
          <w:szCs w:val="6"/>
        </w:rPr>
      </w:pPr>
    </w:p>
    <w:p w14:paraId="3D5857E4" w14:textId="77777777" w:rsidR="001121F0" w:rsidRPr="002428B7" w:rsidRDefault="001121F0" w:rsidP="001121F0">
      <w:pPr>
        <w:spacing w:after="0"/>
        <w:ind w:firstLine="567"/>
        <w:jc w:val="both"/>
        <w:rPr>
          <w:sz w:val="24"/>
          <w:szCs w:val="24"/>
        </w:rPr>
      </w:pPr>
      <w:r w:rsidRPr="002428B7">
        <w:rPr>
          <w:sz w:val="24"/>
          <w:szCs w:val="24"/>
        </w:rPr>
        <w:t>Z opinii wynika, że znak E 116211 nie ma dostatecznych znamion odróżniających tkwiących w kształcie i kolorystyce, a więc w całości postrzeganej formy.</w:t>
      </w:r>
    </w:p>
    <w:p w14:paraId="01308DB1" w14:textId="77777777" w:rsidR="001121F0" w:rsidRPr="002428B7" w:rsidRDefault="001121F0" w:rsidP="001121F0">
      <w:pPr>
        <w:spacing w:after="0"/>
        <w:ind w:firstLine="567"/>
        <w:jc w:val="both"/>
        <w:rPr>
          <w:sz w:val="24"/>
          <w:szCs w:val="24"/>
        </w:rPr>
      </w:pPr>
      <w:r w:rsidRPr="002428B7">
        <w:rPr>
          <w:sz w:val="24"/>
          <w:szCs w:val="24"/>
        </w:rPr>
        <w:t xml:space="preserve">W pkt. 4 opinii autorka ustosunkowuje się krytycznie do decyzji byłej Komisji Odwoławczej z dnia 19.V.91 r. nr </w:t>
      </w:r>
      <w:proofErr w:type="spellStart"/>
      <w:r w:rsidRPr="002428B7">
        <w:rPr>
          <w:sz w:val="24"/>
          <w:szCs w:val="24"/>
        </w:rPr>
        <w:t>Odw</w:t>
      </w:r>
      <w:proofErr w:type="spellEnd"/>
      <w:r w:rsidRPr="002428B7">
        <w:rPr>
          <w:sz w:val="24"/>
          <w:szCs w:val="24"/>
        </w:rPr>
        <w:t>. 1451/98 (omówiona w cz. II), która legła u podstaw zarejestrowania znaku R 116211 a którą to krytyczną opinię podziela Urząd rozpatrując niniejszą sprawę.</w:t>
      </w:r>
    </w:p>
    <w:p w14:paraId="3EB86178" w14:textId="77777777" w:rsidR="001121F0" w:rsidRPr="002428B7" w:rsidRDefault="001121F0" w:rsidP="001121F0">
      <w:pPr>
        <w:spacing w:after="0"/>
        <w:ind w:firstLine="567"/>
        <w:jc w:val="both"/>
        <w:rPr>
          <w:sz w:val="24"/>
          <w:szCs w:val="24"/>
        </w:rPr>
      </w:pPr>
    </w:p>
    <w:p w14:paraId="42800BD7"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Zdolność rejestracyjna znaku R 116211 w świetle art. 7 ustawy o znakach towarowych z 1985 r. ze zm.</w:t>
      </w:r>
    </w:p>
    <w:p w14:paraId="455314D7" w14:textId="38EAAA2B" w:rsidR="001121F0" w:rsidRPr="005E0071" w:rsidRDefault="001121F0" w:rsidP="001121F0">
      <w:pPr>
        <w:spacing w:after="0"/>
        <w:jc w:val="both"/>
        <w:rPr>
          <w:sz w:val="6"/>
          <w:szCs w:val="6"/>
        </w:rPr>
      </w:pPr>
    </w:p>
    <w:p w14:paraId="1F535EDD" w14:textId="77777777" w:rsidR="001121F0" w:rsidRPr="002428B7" w:rsidRDefault="001121F0" w:rsidP="005E0071">
      <w:pPr>
        <w:spacing w:after="0"/>
        <w:ind w:left="567" w:hanging="567"/>
        <w:jc w:val="both"/>
        <w:rPr>
          <w:sz w:val="24"/>
          <w:szCs w:val="24"/>
        </w:rPr>
      </w:pPr>
      <w:r w:rsidRPr="002428B7">
        <w:rPr>
          <w:sz w:val="24"/>
          <w:szCs w:val="24"/>
        </w:rPr>
        <w:t>Art. 7 ust. 1: Jako znak towarowy może być zarejestrowany tylko znak, który ma dostateczne znamiona odróżniające w zwykłych warunkach obrotu gospodarczego;</w:t>
      </w:r>
    </w:p>
    <w:p w14:paraId="5C6B0732" w14:textId="77777777" w:rsidR="001121F0" w:rsidRPr="002428B7" w:rsidRDefault="001121F0" w:rsidP="005E0071">
      <w:pPr>
        <w:spacing w:after="0"/>
        <w:ind w:left="567" w:hanging="567"/>
        <w:jc w:val="both"/>
        <w:rPr>
          <w:sz w:val="24"/>
          <w:szCs w:val="24"/>
        </w:rPr>
      </w:pPr>
      <w:r w:rsidRPr="002428B7">
        <w:rPr>
          <w:sz w:val="24"/>
          <w:szCs w:val="24"/>
        </w:rPr>
        <w:t xml:space="preserve">Art. 7 ust. 2: Nie ma dostatecznych znamion odróżniających znak, który stanowi tylko nazwę rodzajową towaru lub informuje jedynie o właściwości, jakości, liczbie, ilości, masie, cenie, przeznaczeniu, sposobie, czasie lub miejscu wytworzenia składzie, funkcji lub przydatności towaru, bądź podobne oznaczenie nie dające wystarczających podstaw odróżniających pochodzenie towaru. </w:t>
      </w:r>
    </w:p>
    <w:p w14:paraId="10FFEAE0" w14:textId="77777777" w:rsidR="001121F0" w:rsidRPr="002428B7" w:rsidRDefault="001121F0" w:rsidP="001121F0">
      <w:pPr>
        <w:spacing w:after="0"/>
        <w:ind w:firstLine="567"/>
        <w:jc w:val="both"/>
        <w:rPr>
          <w:sz w:val="24"/>
          <w:szCs w:val="24"/>
        </w:rPr>
      </w:pPr>
      <w:r w:rsidRPr="002428B7">
        <w:rPr>
          <w:sz w:val="24"/>
          <w:szCs w:val="24"/>
        </w:rPr>
        <w:t xml:space="preserve">Z przyczyn oczywistych przepisy </w:t>
      </w:r>
      <w:proofErr w:type="spellStart"/>
      <w:r w:rsidRPr="002428B7">
        <w:rPr>
          <w:sz w:val="24"/>
          <w:szCs w:val="24"/>
        </w:rPr>
        <w:t>uzt</w:t>
      </w:r>
      <w:proofErr w:type="spellEnd"/>
      <w:r w:rsidRPr="002428B7">
        <w:rPr>
          <w:sz w:val="24"/>
          <w:szCs w:val="24"/>
        </w:rPr>
        <w:t xml:space="preserve"> nie zawierają wyłączeń o których mowa w art. 3 ust. 1 lit. e w związku z ust. 3 pierwszej dyrektywy omówionych w cz. IV niniejszego uzasadnienia, jednak w piśmiennictwie i orzecznictwie np. </w:t>
      </w:r>
      <w:proofErr w:type="spellStart"/>
      <w:r w:rsidRPr="002428B7">
        <w:rPr>
          <w:sz w:val="24"/>
          <w:szCs w:val="24"/>
        </w:rPr>
        <w:t>dec</w:t>
      </w:r>
      <w:proofErr w:type="spellEnd"/>
      <w:r w:rsidRPr="002428B7">
        <w:rPr>
          <w:sz w:val="24"/>
          <w:szCs w:val="24"/>
        </w:rPr>
        <w:t xml:space="preserve">. KO nr 1018/99 k. 463 </w:t>
      </w:r>
      <w:r w:rsidRPr="002428B7">
        <w:rPr>
          <w:rFonts w:cstheme="minorHAnsi"/>
          <w:sz w:val="24"/>
          <w:szCs w:val="24"/>
        </w:rPr>
        <w:t>÷</w:t>
      </w:r>
      <w:r w:rsidRPr="002428B7">
        <w:rPr>
          <w:sz w:val="24"/>
          <w:szCs w:val="24"/>
        </w:rPr>
        <w:t xml:space="preserve"> 484 Sp. 215/01 cz. IV przepisy art. 4 lub 7 </w:t>
      </w:r>
      <w:proofErr w:type="spellStart"/>
      <w:r w:rsidRPr="002428B7">
        <w:rPr>
          <w:sz w:val="24"/>
          <w:szCs w:val="24"/>
        </w:rPr>
        <w:t>uzt</w:t>
      </w:r>
      <w:proofErr w:type="spellEnd"/>
      <w:r w:rsidRPr="002428B7">
        <w:rPr>
          <w:sz w:val="24"/>
          <w:szCs w:val="24"/>
        </w:rPr>
        <w:t xml:space="preserve"> interpretowano przy uwzględnieniu tych wyłączeń. I tak R. Skubisz w Komentarzu Wyd. II na str. </w:t>
      </w:r>
      <w:proofErr w:type="gramStart"/>
      <w:r w:rsidRPr="002428B7">
        <w:rPr>
          <w:sz w:val="24"/>
          <w:szCs w:val="24"/>
        </w:rPr>
        <w:t>37:...</w:t>
      </w:r>
      <w:proofErr w:type="gramEnd"/>
      <w:r w:rsidRPr="002428B7">
        <w:rPr>
          <w:sz w:val="24"/>
          <w:szCs w:val="24"/>
        </w:rPr>
        <w:t xml:space="preserve"> nie mogą być natomiast zarejestrowane oznaczenia mające kształt towaru, jeżeli ten kształt jest określony charakterem towaru, jeżeli jest konieczny dla uzyskania jego własności technicznych, lub jeżeli nadaje towarowi istotną wartość”.</w:t>
      </w:r>
    </w:p>
    <w:p w14:paraId="44E24175" w14:textId="77777777" w:rsidR="001121F0" w:rsidRPr="002428B7" w:rsidRDefault="001121F0" w:rsidP="001121F0">
      <w:pPr>
        <w:spacing w:after="0"/>
        <w:ind w:firstLine="567"/>
        <w:jc w:val="both"/>
        <w:rPr>
          <w:sz w:val="24"/>
          <w:szCs w:val="24"/>
        </w:rPr>
      </w:pPr>
      <w:r w:rsidRPr="002428B7">
        <w:rPr>
          <w:sz w:val="24"/>
          <w:szCs w:val="24"/>
        </w:rPr>
        <w:t>W komentarzu do art. 7 R. Skubisz pisze (str. 57):</w:t>
      </w:r>
    </w:p>
    <w:p w14:paraId="36F5F42E" w14:textId="77777777" w:rsidR="001121F0" w:rsidRPr="002428B7" w:rsidRDefault="001121F0" w:rsidP="001121F0">
      <w:pPr>
        <w:spacing w:after="0"/>
        <w:ind w:firstLine="567"/>
        <w:jc w:val="both"/>
        <w:rPr>
          <w:sz w:val="24"/>
          <w:szCs w:val="24"/>
        </w:rPr>
      </w:pPr>
      <w:r w:rsidRPr="002428B7">
        <w:rPr>
          <w:sz w:val="24"/>
          <w:szCs w:val="24"/>
        </w:rPr>
        <w:lastRenderedPageBreak/>
        <w:t>„Zgodnie z literalnym brzmieniem ust. 2 wymienione w nim w sposób przykładowy oznaczenia są pozbawione dostatecznych znamion odróżniających. Jak już wskazano oznaczenia pozbawione pierwotnie zdolności odróżniania mogą ją nabyć przez używanie. W toku ustalania przez Urząd Patentowy, czy zgłoszone oznaczenie ma wtórną zdolność odróżnienia, należy mieć na uwadze również interes wszystkich podmiotów prowadzących działalność gospodarczą w swobodnym dostępie do oznaczeń ogólnoinformacyjnych. „Zawłaszczenie" takiego oznaczenia przez jedną osobę mogłoby doprowadzić do istotnych utrudnień w obrocie gospodarczym. Dlatego też trzeba uznać, że część oznaczeń wymienionych w ust. 2 może nabyć wtórną zdolność odróżnienia i zostać zarejestrowana, natomiast w przypadku innych, ze względu na ich użyteczność informacyjną w obrocie, należy wykluczyć możliwość nabycia nawet poprzez używanie dostatecznych znamion odróżniających. Oznaczenia ogólnoinformacyjne nie mają pierwotnej zdolności odróżniającej i nie mogą NIGDY nabyć wtórnej zdolności odróżniania. Oczywiście do organów stosujących prawo (Urząd Patentowy i Komisja Odwoławcza) należy rozstrzygnięcie w konkretnym przypadku, do której, kategorii należy dane oznaczenie, czy dane oznaczenie nie ma dostatecznych znamion odróżniających, ponieważ nie uzyskało jej ze względu na brak używania w obrocie czy też ze względu na zawartość informacyjną nie może nigdy nabyć takiej właściwości”.</w:t>
      </w:r>
    </w:p>
    <w:p w14:paraId="14A557EA" w14:textId="77777777" w:rsidR="001121F0" w:rsidRPr="002428B7" w:rsidRDefault="001121F0" w:rsidP="001121F0">
      <w:pPr>
        <w:spacing w:after="0"/>
        <w:ind w:firstLine="567"/>
        <w:jc w:val="both"/>
        <w:rPr>
          <w:sz w:val="24"/>
          <w:szCs w:val="24"/>
        </w:rPr>
      </w:pPr>
      <w:r w:rsidRPr="002428B7">
        <w:rPr>
          <w:sz w:val="24"/>
          <w:szCs w:val="24"/>
        </w:rPr>
        <w:t xml:space="preserve">Kształt i kolorystyka ciastka opisanego i pokazanego w podaniu o rejestrację znaku R 116211 należą według art. 3 ust. 1 lit. e -i pierwszej dyrektywy do kształtów uwarunkowanych samym rodzajem towaru (ciastko </w:t>
      </w:r>
      <w:proofErr w:type="spellStart"/>
      <w:r w:rsidRPr="002428B7">
        <w:rPr>
          <w:sz w:val="24"/>
          <w:szCs w:val="24"/>
        </w:rPr>
        <w:t>jjaffa</w:t>
      </w:r>
      <w:proofErr w:type="spellEnd"/>
      <w:r w:rsidRPr="002428B7">
        <w:rPr>
          <w:sz w:val="24"/>
          <w:szCs w:val="24"/>
        </w:rPr>
        <w:t xml:space="preserve"> zwane w Polsce delicją), natomiast według art. 7 </w:t>
      </w:r>
      <w:proofErr w:type="spellStart"/>
      <w:r w:rsidRPr="002428B7">
        <w:rPr>
          <w:sz w:val="24"/>
          <w:szCs w:val="24"/>
        </w:rPr>
        <w:t>uzt</w:t>
      </w:r>
      <w:proofErr w:type="spellEnd"/>
      <w:r w:rsidRPr="002428B7">
        <w:rPr>
          <w:sz w:val="24"/>
          <w:szCs w:val="24"/>
        </w:rPr>
        <w:t xml:space="preserve">. opisywany kształt i kolorystykę należy zakwalifikować do oznaczeń ogólnoinformacyjnych w odniesieniu do określonego rodzaju/typu ciastek tj. ciastek </w:t>
      </w:r>
      <w:proofErr w:type="spellStart"/>
      <w:r w:rsidRPr="002428B7">
        <w:rPr>
          <w:sz w:val="24"/>
          <w:szCs w:val="24"/>
        </w:rPr>
        <w:t>jaffa</w:t>
      </w:r>
      <w:proofErr w:type="spellEnd"/>
      <w:r w:rsidRPr="002428B7">
        <w:rPr>
          <w:sz w:val="24"/>
          <w:szCs w:val="24"/>
        </w:rPr>
        <w:t>/</w:t>
      </w:r>
      <w:proofErr w:type="spellStart"/>
      <w:r w:rsidRPr="002428B7">
        <w:rPr>
          <w:sz w:val="24"/>
          <w:szCs w:val="24"/>
        </w:rPr>
        <w:t>delicie</w:t>
      </w:r>
      <w:proofErr w:type="spellEnd"/>
      <w:r w:rsidRPr="002428B7">
        <w:rPr>
          <w:sz w:val="24"/>
          <w:szCs w:val="24"/>
        </w:rPr>
        <w:t xml:space="preserve"> podobnie jak określonym rodzajem ciastka jest np. pączek który ma również określony i charakterystyczny kształt i kolor. Według prawa z rejestracji nr R 116211 ochronie podlega nie tylko kształt lecz także kolor ciasta (biszkoptowego) -jasno żółty i kolor czekoladowy - ciemny czekoladowy brąz a więc kolory wynikające z samej natury produktów z jakich jest wykonane ciastko - tj. ciasto biszkoptowe (przy jego wytwarzaniu stosuje się żółtka - stąd żółty kolor) + czekolada w kolorze ciemnego czekoladowego brązu. Okrągłe wzniesienie o mniejszej średnicy na ciastku wynika wprost z nadzienia w postaci krążka galaretki, natomiast kratka z technologii -wszystkie ciastka </w:t>
      </w:r>
      <w:proofErr w:type="spellStart"/>
      <w:r w:rsidRPr="002428B7">
        <w:rPr>
          <w:sz w:val="24"/>
          <w:szCs w:val="24"/>
        </w:rPr>
        <w:t>jaffa</w:t>
      </w:r>
      <w:proofErr w:type="spellEnd"/>
      <w:r w:rsidRPr="002428B7">
        <w:rPr>
          <w:sz w:val="24"/>
          <w:szCs w:val="24"/>
        </w:rPr>
        <w:t>/delicje maja taki kształt i kolor jak według R 116211.</w:t>
      </w:r>
    </w:p>
    <w:p w14:paraId="262A5F43" w14:textId="77777777" w:rsidR="001121F0" w:rsidRPr="002428B7" w:rsidRDefault="001121F0" w:rsidP="001121F0">
      <w:pPr>
        <w:spacing w:after="0"/>
        <w:ind w:firstLine="567"/>
        <w:jc w:val="both"/>
        <w:rPr>
          <w:sz w:val="24"/>
          <w:szCs w:val="24"/>
        </w:rPr>
      </w:pPr>
      <w:r w:rsidRPr="002428B7">
        <w:rPr>
          <w:sz w:val="24"/>
          <w:szCs w:val="24"/>
        </w:rPr>
        <w:t xml:space="preserve">Znak towarowy R. 116211 należy do oznaczeń ogólnoinformacyjnych, zatem prawo z rejestracji tego znaku należało zdaniem Urzędu Patentowego unieważnić. Wnioskodawcy jako podmioty prowadzące działalność gospodarczą mają prawo swobodnego dostępu do oznaczeń ogólnoinformacyjnych. Takie uprawnienie mieści się w zakresie konstytucyjnej wolności działalności gospodarczej (art. 20 Konstytucji RP i art. 1 ustawy z dnia 23 grudnia 1988 r. o działalności gospodarczej (Dz. U. nr 41, poz. 324 ze zm.), a obecnie art. 5 ustawy z dnia 19 listopada 1999 r. - Prawo działalności gospodarczej (Dz. U. nr 101, poz. 1178 ze zm.). Produkując ciastka </w:t>
      </w:r>
      <w:proofErr w:type="spellStart"/>
      <w:r w:rsidRPr="002428B7">
        <w:rPr>
          <w:sz w:val="24"/>
          <w:szCs w:val="24"/>
        </w:rPr>
        <w:t>jaffa</w:t>
      </w:r>
      <w:proofErr w:type="spellEnd"/>
      <w:r w:rsidRPr="002428B7">
        <w:rPr>
          <w:sz w:val="24"/>
          <w:szCs w:val="24"/>
        </w:rPr>
        <w:t xml:space="preserve"> wnioskodawcy mogą więc używać oznaczeń zawierających podstawowe informacje o tych ciastkach. Prezentowane wyżej stanowisko Urzędu jest zgodne z orzecznictwem NSA - np. wyrok z dnia 11 grudnia 2002 r. sygn. akt II SA 3995/01.</w:t>
      </w:r>
    </w:p>
    <w:p w14:paraId="74569D58" w14:textId="77777777" w:rsidR="005E0071" w:rsidRDefault="001121F0" w:rsidP="005E0071">
      <w:pPr>
        <w:spacing w:after="0"/>
        <w:ind w:firstLine="567"/>
        <w:jc w:val="both"/>
        <w:rPr>
          <w:sz w:val="24"/>
          <w:szCs w:val="24"/>
        </w:rPr>
      </w:pPr>
      <w:r w:rsidRPr="002428B7">
        <w:rPr>
          <w:sz w:val="24"/>
          <w:szCs w:val="24"/>
        </w:rPr>
        <w:t xml:space="preserve">Gdyby przyjąć błędne stanowisko uprawnionej, że kształt i kolorystyka ciastka wg R. 116211 nie są uwarunkowane samym rodzajem towaru zatem nie należą do określeń ogólnoinformacyjnych i ten kształt i kolorystyka uzyskały wtórną zdolność odróżniającą, to przecież w dacie zgłoszenia znaku/ciastka do rejestracji - 5.V.1994 r. ciastko </w:t>
      </w:r>
      <w:proofErr w:type="spellStart"/>
      <w:r w:rsidRPr="002428B7">
        <w:rPr>
          <w:sz w:val="24"/>
          <w:szCs w:val="24"/>
        </w:rPr>
        <w:t>jaffa</w:t>
      </w:r>
      <w:proofErr w:type="spellEnd"/>
      <w:r w:rsidRPr="002428B7">
        <w:rPr>
          <w:sz w:val="24"/>
          <w:szCs w:val="24"/>
        </w:rPr>
        <w:t xml:space="preserve"> było </w:t>
      </w:r>
      <w:r w:rsidRPr="002428B7">
        <w:rPr>
          <w:sz w:val="24"/>
          <w:szCs w:val="24"/>
        </w:rPr>
        <w:lastRenderedPageBreak/>
        <w:t>produkowane przez inne podmioty, zatem trudno tutaj mówić o nabyciu przez ciastko/znak wtórnej zdolności odróżniającej. Należy tutaj dodać, że w komunikacji z konsumentami uprawniona (mimo, że nie łączą ją związki z E. Wedlem) używa do dnia dzisiejszego etykiet z napisami:</w:t>
      </w:r>
      <w:r w:rsidR="005E0071">
        <w:rPr>
          <w:sz w:val="24"/>
          <w:szCs w:val="24"/>
        </w:rPr>
        <w:t xml:space="preserve">                                            </w:t>
      </w:r>
    </w:p>
    <w:p w14:paraId="7448D38F" w14:textId="2B4C1F1A" w:rsidR="001121F0" w:rsidRPr="002428B7" w:rsidRDefault="005E0071" w:rsidP="005E0071">
      <w:pPr>
        <w:spacing w:after="0"/>
        <w:ind w:left="2832"/>
        <w:jc w:val="both"/>
        <w:rPr>
          <w:sz w:val="24"/>
          <w:szCs w:val="24"/>
        </w:rPr>
      </w:pPr>
      <w:r>
        <w:rPr>
          <w:sz w:val="24"/>
          <w:szCs w:val="24"/>
        </w:rPr>
        <w:t xml:space="preserve">           </w:t>
      </w:r>
      <w:r w:rsidR="001121F0" w:rsidRPr="002428B7">
        <w:rPr>
          <w:sz w:val="24"/>
          <w:szCs w:val="24"/>
        </w:rPr>
        <w:t xml:space="preserve">E. Wedel/Delicje szampańskie </w:t>
      </w:r>
    </w:p>
    <w:p w14:paraId="28E9086A" w14:textId="77777777" w:rsidR="001121F0" w:rsidRPr="002428B7" w:rsidRDefault="001121F0" w:rsidP="001121F0">
      <w:pPr>
        <w:spacing w:after="0"/>
        <w:ind w:firstLine="567"/>
        <w:jc w:val="center"/>
        <w:rPr>
          <w:sz w:val="24"/>
          <w:szCs w:val="24"/>
        </w:rPr>
      </w:pPr>
      <w:r w:rsidRPr="002428B7">
        <w:rPr>
          <w:sz w:val="24"/>
          <w:szCs w:val="24"/>
        </w:rPr>
        <w:t>E. Wedel/Delicje Impresja</w:t>
      </w:r>
    </w:p>
    <w:p w14:paraId="0EF4A0E7" w14:textId="77777777" w:rsidR="001121F0" w:rsidRPr="002428B7" w:rsidRDefault="001121F0" w:rsidP="001121F0">
      <w:pPr>
        <w:spacing w:after="0"/>
        <w:jc w:val="both"/>
        <w:rPr>
          <w:sz w:val="24"/>
          <w:szCs w:val="24"/>
        </w:rPr>
      </w:pPr>
      <w:r w:rsidRPr="002428B7">
        <w:rPr>
          <w:sz w:val="24"/>
          <w:szCs w:val="24"/>
        </w:rPr>
        <w:t xml:space="preserve">i konsumenci odróżniają produkty uprawnionej - ciastka </w:t>
      </w:r>
      <w:proofErr w:type="spellStart"/>
      <w:r w:rsidRPr="002428B7">
        <w:rPr>
          <w:sz w:val="24"/>
          <w:szCs w:val="24"/>
        </w:rPr>
        <w:t>jaffa</w:t>
      </w:r>
      <w:proofErr w:type="spellEnd"/>
      <w:r w:rsidRPr="002428B7">
        <w:rPr>
          <w:sz w:val="24"/>
          <w:szCs w:val="24"/>
        </w:rPr>
        <w:t xml:space="preserve"> według tych etykiet a nie według kształtu i koloru ciastka - co wynika również z przedłożonych przez uprawnioną wyników badań.</w:t>
      </w:r>
    </w:p>
    <w:p w14:paraId="59CD81F4" w14:textId="77777777" w:rsidR="001121F0" w:rsidRPr="002428B7" w:rsidRDefault="001121F0" w:rsidP="001121F0">
      <w:pPr>
        <w:spacing w:after="0"/>
        <w:jc w:val="both"/>
        <w:rPr>
          <w:sz w:val="24"/>
          <w:szCs w:val="24"/>
        </w:rPr>
      </w:pPr>
    </w:p>
    <w:p w14:paraId="3BFF44C8" w14:textId="77777777" w:rsidR="001121F0" w:rsidRPr="00EB1DB3"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 xml:space="preserve">Zdolność rejestracyjna znaku R. 116211 w świetle art. 8 pkt. 1 </w:t>
      </w:r>
      <w:proofErr w:type="spellStart"/>
      <w:r w:rsidRPr="00EB1DB3">
        <w:rPr>
          <w:b/>
          <w:bCs/>
          <w:sz w:val="24"/>
          <w:szCs w:val="24"/>
        </w:rPr>
        <w:t>uzt</w:t>
      </w:r>
      <w:proofErr w:type="spellEnd"/>
      <w:r w:rsidRPr="00EB1DB3">
        <w:rPr>
          <w:b/>
          <w:bCs/>
          <w:sz w:val="24"/>
          <w:szCs w:val="24"/>
        </w:rPr>
        <w:t>.</w:t>
      </w:r>
    </w:p>
    <w:p w14:paraId="4AFE9003" w14:textId="77777777" w:rsidR="001121F0" w:rsidRPr="005E0071" w:rsidRDefault="001121F0" w:rsidP="001121F0">
      <w:pPr>
        <w:spacing w:after="0"/>
        <w:jc w:val="both"/>
        <w:rPr>
          <w:sz w:val="6"/>
          <w:szCs w:val="6"/>
        </w:rPr>
      </w:pPr>
    </w:p>
    <w:p w14:paraId="22E79763" w14:textId="77777777" w:rsidR="001121F0" w:rsidRPr="002428B7" w:rsidRDefault="001121F0" w:rsidP="001121F0">
      <w:pPr>
        <w:spacing w:after="0"/>
        <w:ind w:firstLine="567"/>
        <w:jc w:val="both"/>
        <w:rPr>
          <w:sz w:val="24"/>
          <w:szCs w:val="24"/>
        </w:rPr>
      </w:pPr>
      <w:r w:rsidRPr="002428B7">
        <w:rPr>
          <w:sz w:val="24"/>
          <w:szCs w:val="24"/>
        </w:rPr>
        <w:t>Według art. 8 pkt. 1 niedopuszczalna jest rejestracja znaku który jest sprzeczny z obowiązującym prawem lub zasadami współżycia społecznego.</w:t>
      </w:r>
    </w:p>
    <w:p w14:paraId="29A771B4" w14:textId="77777777" w:rsidR="001121F0" w:rsidRPr="002428B7" w:rsidRDefault="001121F0" w:rsidP="001121F0">
      <w:pPr>
        <w:spacing w:after="0"/>
        <w:ind w:firstLine="567"/>
        <w:jc w:val="both"/>
        <w:rPr>
          <w:sz w:val="24"/>
          <w:szCs w:val="24"/>
        </w:rPr>
      </w:pPr>
      <w:r w:rsidRPr="002428B7">
        <w:rPr>
          <w:sz w:val="24"/>
          <w:szCs w:val="24"/>
        </w:rPr>
        <w:t>Przy badaniu zgodności znaku z zasadami współżycia społecznego poza elementami treściowymi znaku należy uwzględnić również element zachowania się zgłaszającego i odmówić rejestracji lub unieważnić rejestrację, gdy zachowanie zgłaszającego było w swoim całokształcie nieuczciwe. Przy wykładni pojęcia "zasady współżycia społecznego" należy brać pod uwagę treść pojęcia "dobre obyczaje” występującego w art. 3 ustawy o zwalczaniu nieuczciwej konkurencji</w:t>
      </w:r>
    </w:p>
    <w:p w14:paraId="17C1DDD6" w14:textId="77777777" w:rsidR="001121F0" w:rsidRPr="002428B7" w:rsidRDefault="001121F0" w:rsidP="001121F0">
      <w:pPr>
        <w:spacing w:after="0"/>
        <w:ind w:firstLine="567"/>
        <w:jc w:val="both"/>
        <w:rPr>
          <w:sz w:val="24"/>
          <w:szCs w:val="24"/>
        </w:rPr>
      </w:pPr>
      <w:r w:rsidRPr="002428B7">
        <w:rPr>
          <w:sz w:val="24"/>
          <w:szCs w:val="24"/>
        </w:rPr>
        <w:t xml:space="preserve">W rozważanym tutaj przypadku poprzednicy prawni uprawnionej zgłaszając dnia 5.V.1994 r. znak i kontynuując postępowanie rejestracyjne wiedzieli, że znak jest tożsamy ze znanym od 60-ciu lat ciastkiem </w:t>
      </w:r>
      <w:proofErr w:type="spellStart"/>
      <w:r w:rsidRPr="002428B7">
        <w:rPr>
          <w:sz w:val="24"/>
          <w:szCs w:val="24"/>
        </w:rPr>
        <w:t>jaffa</w:t>
      </w:r>
      <w:proofErr w:type="spellEnd"/>
      <w:r w:rsidRPr="002428B7">
        <w:rPr>
          <w:sz w:val="24"/>
          <w:szCs w:val="24"/>
        </w:rPr>
        <w:t xml:space="preserve">, oraz, że we wskazanej dacie w Polsce była już rozpowszechniona technologia wytwarzania tych ciastek. Ponieważ mocna pozycja produktu poprzedników prawnych i uprawnionej sprzedawanych pod nazwą delicje szampańskie nie była ani w dniu zgłoszenia ani obecnie zagrożona (co wynika z przedstawionych przez uprawnioną badań) celem zgłoszenia i rejestracji znaku R. 116211 była eliminacja z rynku innych producentów ciastek typu </w:t>
      </w:r>
      <w:proofErr w:type="spellStart"/>
      <w:r w:rsidRPr="002428B7">
        <w:rPr>
          <w:sz w:val="24"/>
          <w:szCs w:val="24"/>
        </w:rPr>
        <w:t>jaffa</w:t>
      </w:r>
      <w:proofErr w:type="spellEnd"/>
      <w:r w:rsidRPr="002428B7">
        <w:rPr>
          <w:sz w:val="24"/>
          <w:szCs w:val="24"/>
        </w:rPr>
        <w:t xml:space="preserve"> Funkcją znaku nie może być monopolizacja określonego rodzaju produktu na rzecz jednego tylko producenta a postępowania sądowe wytoczone przez uprawnioną producentom ciastek </w:t>
      </w:r>
      <w:proofErr w:type="spellStart"/>
      <w:r w:rsidRPr="002428B7">
        <w:rPr>
          <w:sz w:val="24"/>
          <w:szCs w:val="24"/>
        </w:rPr>
        <w:t>jaffa</w:t>
      </w:r>
      <w:proofErr w:type="spellEnd"/>
      <w:r w:rsidRPr="002428B7">
        <w:rPr>
          <w:sz w:val="24"/>
          <w:szCs w:val="24"/>
        </w:rPr>
        <w:t xml:space="preserve"> zmierzają do tego celu. Utrzymanie tej rejestracji w mocy spowodowałoby zdaniem Urzędu powrót do sytuacji sprzed 1989 r. w której na mocy systemu nakazowo - rozdzielnego działał jeden wytwórca ciastek </w:t>
      </w:r>
      <w:proofErr w:type="spellStart"/>
      <w:r w:rsidRPr="002428B7">
        <w:rPr>
          <w:sz w:val="24"/>
          <w:szCs w:val="24"/>
        </w:rPr>
        <w:t>jaffa</w:t>
      </w:r>
      <w:proofErr w:type="spellEnd"/>
      <w:r w:rsidRPr="002428B7">
        <w:rPr>
          <w:sz w:val="24"/>
          <w:szCs w:val="24"/>
        </w:rPr>
        <w:t xml:space="preserve"> stanowiłby zaprzeczenie takich pojęć jak „wolna konkurencja" i „wolny rynek” w branży ciastek </w:t>
      </w:r>
      <w:proofErr w:type="spellStart"/>
      <w:r w:rsidRPr="002428B7">
        <w:rPr>
          <w:sz w:val="24"/>
          <w:szCs w:val="24"/>
        </w:rPr>
        <w:t>jaffa</w:t>
      </w:r>
      <w:proofErr w:type="spellEnd"/>
      <w:r w:rsidRPr="002428B7">
        <w:rPr>
          <w:sz w:val="24"/>
          <w:szCs w:val="24"/>
        </w:rPr>
        <w:t>.</w:t>
      </w:r>
    </w:p>
    <w:p w14:paraId="03680D3F" w14:textId="77777777" w:rsidR="001121F0" w:rsidRPr="002428B7" w:rsidRDefault="001121F0" w:rsidP="001121F0">
      <w:pPr>
        <w:spacing w:after="0"/>
        <w:ind w:firstLine="567"/>
        <w:jc w:val="both"/>
        <w:rPr>
          <w:sz w:val="24"/>
          <w:szCs w:val="24"/>
        </w:rPr>
      </w:pPr>
      <w:r w:rsidRPr="002428B7">
        <w:rPr>
          <w:sz w:val="24"/>
          <w:szCs w:val="24"/>
        </w:rPr>
        <w:t>Rejestracja znaku R. 116211 bez wątpliwości nastąpiła z naruszeniem zasad współżycia społecznego rozumianych tutaj jako etyka handlowa lub dobre obyczaje kupieckie, zatem ten znak należało zdaniem Urzędu unieważnić.</w:t>
      </w:r>
    </w:p>
    <w:p w14:paraId="49D0EDB2" w14:textId="77777777" w:rsidR="001121F0" w:rsidRPr="00EB1DB3" w:rsidRDefault="001121F0" w:rsidP="001121F0">
      <w:pPr>
        <w:spacing w:after="0"/>
        <w:ind w:firstLine="567"/>
        <w:jc w:val="both"/>
        <w:rPr>
          <w:b/>
          <w:bCs/>
          <w:sz w:val="24"/>
          <w:szCs w:val="24"/>
        </w:rPr>
      </w:pPr>
    </w:p>
    <w:p w14:paraId="5F99300E" w14:textId="4656C9F2" w:rsidR="001121F0" w:rsidRDefault="001121F0" w:rsidP="001F6BE3">
      <w:pPr>
        <w:pStyle w:val="Akapitzlist"/>
        <w:numPr>
          <w:ilvl w:val="0"/>
          <w:numId w:val="26"/>
        </w:numPr>
        <w:spacing w:line="259" w:lineRule="auto"/>
        <w:ind w:left="567" w:hanging="567"/>
        <w:contextualSpacing/>
        <w:jc w:val="both"/>
        <w:rPr>
          <w:b/>
          <w:bCs/>
          <w:sz w:val="24"/>
          <w:szCs w:val="24"/>
        </w:rPr>
      </w:pPr>
      <w:r w:rsidRPr="00EB1DB3">
        <w:rPr>
          <w:b/>
          <w:bCs/>
          <w:sz w:val="24"/>
          <w:szCs w:val="24"/>
        </w:rPr>
        <w:t>Pozostałe kwestie.</w:t>
      </w:r>
    </w:p>
    <w:p w14:paraId="4FD30B16" w14:textId="77777777" w:rsidR="00EB1DB3" w:rsidRPr="005E0071" w:rsidRDefault="00EB1DB3" w:rsidP="00EB1DB3">
      <w:pPr>
        <w:pStyle w:val="Akapitzlist"/>
        <w:spacing w:line="259" w:lineRule="auto"/>
        <w:ind w:left="567"/>
        <w:contextualSpacing/>
        <w:jc w:val="both"/>
        <w:rPr>
          <w:b/>
          <w:bCs/>
          <w:sz w:val="6"/>
          <w:szCs w:val="6"/>
        </w:rPr>
      </w:pPr>
    </w:p>
    <w:p w14:paraId="12D582B3" w14:textId="77777777" w:rsidR="001121F0" w:rsidRPr="002428B7" w:rsidRDefault="001121F0" w:rsidP="001121F0">
      <w:pPr>
        <w:spacing w:after="0"/>
        <w:ind w:firstLine="567"/>
        <w:jc w:val="both"/>
        <w:rPr>
          <w:sz w:val="24"/>
          <w:szCs w:val="24"/>
        </w:rPr>
      </w:pPr>
      <w:r w:rsidRPr="002428B7">
        <w:rPr>
          <w:sz w:val="24"/>
          <w:szCs w:val="24"/>
        </w:rPr>
        <w:t xml:space="preserve">Wnioskodawcy podnosili również zarzuty z art. 4 </w:t>
      </w:r>
      <w:proofErr w:type="spellStart"/>
      <w:r w:rsidRPr="002428B7">
        <w:rPr>
          <w:sz w:val="24"/>
          <w:szCs w:val="24"/>
        </w:rPr>
        <w:t>uzt</w:t>
      </w:r>
      <w:proofErr w:type="spellEnd"/>
      <w:r w:rsidRPr="002428B7">
        <w:rPr>
          <w:sz w:val="24"/>
          <w:szCs w:val="24"/>
        </w:rPr>
        <w:t>.</w:t>
      </w:r>
    </w:p>
    <w:p w14:paraId="2403B8F0" w14:textId="77777777" w:rsidR="001121F0" w:rsidRPr="002428B7" w:rsidRDefault="001121F0" w:rsidP="001121F0">
      <w:pPr>
        <w:spacing w:after="0"/>
        <w:ind w:firstLine="567"/>
        <w:jc w:val="both"/>
        <w:rPr>
          <w:sz w:val="24"/>
          <w:szCs w:val="24"/>
        </w:rPr>
      </w:pPr>
      <w:r w:rsidRPr="002428B7">
        <w:rPr>
          <w:sz w:val="24"/>
          <w:szCs w:val="24"/>
        </w:rPr>
        <w:t xml:space="preserve">Art. 4 </w:t>
      </w:r>
      <w:proofErr w:type="spellStart"/>
      <w:r w:rsidRPr="002428B7">
        <w:rPr>
          <w:sz w:val="24"/>
          <w:szCs w:val="24"/>
        </w:rPr>
        <w:t>uzt</w:t>
      </w:r>
      <w:proofErr w:type="spellEnd"/>
      <w:r w:rsidRPr="002428B7">
        <w:rPr>
          <w:sz w:val="24"/>
          <w:szCs w:val="24"/>
        </w:rPr>
        <w:t xml:space="preserve">. dopuszcza możliwość rejestracji znaku towarowego przestrzennego jednak nie zawiera wyłączeń jak np. litera e - i omawianej wyżej pierwszej dyrektywy, dlatego do oceny zdolności rejestrowej znaku R. 116211 bardziej przydatny okazał się art. 7 </w:t>
      </w:r>
      <w:proofErr w:type="spellStart"/>
      <w:r w:rsidRPr="002428B7">
        <w:rPr>
          <w:sz w:val="24"/>
          <w:szCs w:val="24"/>
        </w:rPr>
        <w:t>uzt</w:t>
      </w:r>
      <w:proofErr w:type="spellEnd"/>
      <w:r w:rsidRPr="002428B7">
        <w:rPr>
          <w:sz w:val="24"/>
          <w:szCs w:val="24"/>
        </w:rPr>
        <w:t>.</w:t>
      </w:r>
    </w:p>
    <w:p w14:paraId="3DDA9399" w14:textId="77777777" w:rsidR="001121F0" w:rsidRPr="002428B7" w:rsidRDefault="001121F0" w:rsidP="001121F0">
      <w:pPr>
        <w:spacing w:after="0"/>
        <w:ind w:firstLine="567"/>
        <w:jc w:val="both"/>
        <w:rPr>
          <w:sz w:val="24"/>
          <w:szCs w:val="24"/>
        </w:rPr>
      </w:pPr>
      <w:r w:rsidRPr="002428B7">
        <w:rPr>
          <w:sz w:val="24"/>
          <w:szCs w:val="24"/>
        </w:rPr>
        <w:t xml:space="preserve">Wnioskodawcy podnosili również zarzuty z art. 8 pkt. 2 </w:t>
      </w:r>
      <w:proofErr w:type="spellStart"/>
      <w:r w:rsidRPr="002428B7">
        <w:rPr>
          <w:sz w:val="24"/>
          <w:szCs w:val="24"/>
        </w:rPr>
        <w:t>uzt</w:t>
      </w:r>
      <w:proofErr w:type="spellEnd"/>
      <w:r w:rsidRPr="002428B7">
        <w:rPr>
          <w:sz w:val="24"/>
          <w:szCs w:val="24"/>
        </w:rPr>
        <w:t>, jednak nie przedstawili dowodów na okoliczność, że posiadają prawa majątkowe i/lub osobiste, które zostały naruszone wskutek rejestracji znaku R. 116211.</w:t>
      </w:r>
    </w:p>
    <w:p w14:paraId="055D2835" w14:textId="77777777" w:rsidR="001121F0" w:rsidRPr="002428B7" w:rsidRDefault="001121F0" w:rsidP="001121F0">
      <w:pPr>
        <w:spacing w:after="0"/>
        <w:ind w:firstLine="567"/>
        <w:jc w:val="both"/>
        <w:rPr>
          <w:sz w:val="24"/>
          <w:szCs w:val="24"/>
        </w:rPr>
      </w:pPr>
      <w:r w:rsidRPr="002428B7">
        <w:rPr>
          <w:sz w:val="24"/>
          <w:szCs w:val="24"/>
        </w:rPr>
        <w:lastRenderedPageBreak/>
        <w:t>Wysokość kosztów postępowania w sprawie ustalono w oparciu o § 3 w związku z § 12 ust. 1 pkt 2 rozporządzenia Ministra Sprawiedliwości w sprawie opłat za czynności adwokackie oraz opłat za czynności radców prawnych (Dz. U. Nr 154, poz. 1013 ze zm.).</w:t>
      </w:r>
    </w:p>
    <w:p w14:paraId="61DC21A3" w14:textId="38C927FE" w:rsidR="001121F0" w:rsidRPr="002428B7" w:rsidRDefault="001121F0" w:rsidP="001121F0">
      <w:pPr>
        <w:spacing w:after="0"/>
        <w:ind w:firstLine="567"/>
        <w:jc w:val="both"/>
        <w:rPr>
          <w:sz w:val="24"/>
          <w:szCs w:val="24"/>
        </w:rPr>
      </w:pPr>
      <w:r w:rsidRPr="002428B7">
        <w:rPr>
          <w:sz w:val="24"/>
          <w:szCs w:val="24"/>
        </w:rPr>
        <w:t>Mając powyższe na uwadze Urząd Patentowy RP działający w trybie postępowania spornego orzekł jak w sentencji.</w:t>
      </w:r>
    </w:p>
    <w:p w14:paraId="5EDB2427" w14:textId="02FAA1B3" w:rsidR="001121F0" w:rsidRDefault="001121F0" w:rsidP="001121F0">
      <w:pPr>
        <w:spacing w:after="0"/>
        <w:ind w:firstLine="567"/>
        <w:jc w:val="both"/>
      </w:pPr>
      <w:r w:rsidRPr="00EC4F25">
        <w:t>Otrzymują:</w:t>
      </w:r>
    </w:p>
    <w:p w14:paraId="4C7FD0BF" w14:textId="6A72BFCF" w:rsidR="00EB1DB3" w:rsidRDefault="00EB1DB3" w:rsidP="001121F0">
      <w:pPr>
        <w:spacing w:after="0"/>
        <w:ind w:firstLine="567"/>
        <w:jc w:val="both"/>
      </w:pPr>
      <w:r>
        <w:t>Z.P.H.U. „DE</w:t>
      </w:r>
      <w:r w:rsidR="005E0071">
        <w:t>LIC-POL</w:t>
      </w:r>
      <w:r>
        <w:t>”</w:t>
      </w:r>
    </w:p>
    <w:p w14:paraId="4C696651" w14:textId="4F61005C" w:rsidR="005E0071" w:rsidRDefault="005E0071" w:rsidP="001121F0">
      <w:pPr>
        <w:spacing w:after="0"/>
        <w:ind w:firstLine="567"/>
        <w:jc w:val="both"/>
      </w:pPr>
      <w:r>
        <w:t>Lindów 34</w:t>
      </w:r>
    </w:p>
    <w:p w14:paraId="58213AEF" w14:textId="4145780C" w:rsidR="005E0071" w:rsidRDefault="005E0071" w:rsidP="001121F0">
      <w:pPr>
        <w:spacing w:after="0"/>
        <w:ind w:firstLine="567"/>
        <w:jc w:val="both"/>
      </w:pPr>
      <w:r>
        <w:t>42-165 Lipie k/Częstochowy</w:t>
      </w:r>
    </w:p>
    <w:p w14:paraId="2FA37FE1" w14:textId="150912CA" w:rsidR="005E0071" w:rsidRDefault="005E0071" w:rsidP="001121F0">
      <w:pPr>
        <w:spacing w:after="0"/>
        <w:ind w:firstLine="567"/>
        <w:jc w:val="both"/>
      </w:pPr>
      <w:r>
        <w:t>Korbela Anna</w:t>
      </w:r>
    </w:p>
    <w:p w14:paraId="7E340CE7" w14:textId="3099C435" w:rsidR="005E0071" w:rsidRDefault="005E0071" w:rsidP="001121F0">
      <w:pPr>
        <w:spacing w:after="0"/>
        <w:ind w:firstLine="567"/>
        <w:jc w:val="both"/>
      </w:pPr>
      <w:r>
        <w:t>Rzecznik patentowy</w:t>
      </w:r>
    </w:p>
    <w:p w14:paraId="6FA28ABF" w14:textId="2D76224D" w:rsidR="005E0071" w:rsidRDefault="005E0071" w:rsidP="001121F0">
      <w:pPr>
        <w:spacing w:after="0"/>
        <w:ind w:firstLine="567"/>
        <w:jc w:val="both"/>
      </w:pPr>
      <w:r>
        <w:t>Kancelaria Prawno-Patentowa</w:t>
      </w:r>
    </w:p>
    <w:p w14:paraId="58F661D6" w14:textId="20C1F1DE" w:rsidR="005E0071" w:rsidRDefault="005E0071" w:rsidP="001121F0">
      <w:pPr>
        <w:spacing w:after="0"/>
        <w:ind w:firstLine="567"/>
        <w:jc w:val="both"/>
      </w:pPr>
      <w:r>
        <w:t>Kilińskiego 30</w:t>
      </w:r>
    </w:p>
    <w:p w14:paraId="04016BB7" w14:textId="3EF8AB56" w:rsidR="005E0071" w:rsidRPr="00EC4F25" w:rsidRDefault="005E0071" w:rsidP="001121F0">
      <w:pPr>
        <w:spacing w:after="0"/>
        <w:ind w:firstLine="567"/>
        <w:jc w:val="both"/>
      </w:pPr>
      <w:r>
        <w:t>42-200 Częstochowa</w:t>
      </w:r>
    </w:p>
    <w:p w14:paraId="1806D4FF" w14:textId="64D1C946" w:rsidR="001121F0" w:rsidRPr="005E0071" w:rsidRDefault="001121F0" w:rsidP="001121F0">
      <w:pPr>
        <w:spacing w:after="0"/>
        <w:ind w:firstLine="567"/>
        <w:jc w:val="both"/>
        <w:rPr>
          <w:sz w:val="6"/>
          <w:szCs w:val="6"/>
        </w:rPr>
      </w:pPr>
    </w:p>
    <w:p w14:paraId="5925F288" w14:textId="6E5D329E" w:rsidR="001121F0" w:rsidRPr="00EC4F25" w:rsidRDefault="001121F0" w:rsidP="001121F0">
      <w:pPr>
        <w:spacing w:after="0"/>
        <w:ind w:firstLine="567"/>
        <w:jc w:val="both"/>
      </w:pPr>
      <w:r w:rsidRPr="00EC4F25">
        <w:t>Kulikowska &amp; Kulikowski</w:t>
      </w:r>
    </w:p>
    <w:p w14:paraId="1FD63894" w14:textId="77777777" w:rsidR="001121F0" w:rsidRPr="00EC4F25" w:rsidRDefault="001121F0" w:rsidP="001121F0">
      <w:pPr>
        <w:spacing w:after="0"/>
        <w:ind w:firstLine="567"/>
        <w:jc w:val="both"/>
      </w:pPr>
      <w:r w:rsidRPr="00EC4F25">
        <w:t>Dorota Rzążewska</w:t>
      </w:r>
    </w:p>
    <w:p w14:paraId="78455230" w14:textId="77777777" w:rsidR="001121F0" w:rsidRPr="00EC4F25" w:rsidRDefault="001121F0" w:rsidP="001121F0">
      <w:pPr>
        <w:spacing w:after="0"/>
        <w:ind w:firstLine="567"/>
        <w:jc w:val="both"/>
      </w:pPr>
      <w:r w:rsidRPr="00EC4F25">
        <w:t>Grzegorz Kowalczyk</w:t>
      </w:r>
    </w:p>
    <w:p w14:paraId="166F0622" w14:textId="77777777" w:rsidR="001121F0" w:rsidRPr="00EC4F25" w:rsidRDefault="001121F0" w:rsidP="001121F0">
      <w:pPr>
        <w:spacing w:after="0"/>
        <w:ind w:firstLine="567"/>
        <w:jc w:val="both"/>
      </w:pPr>
      <w:r w:rsidRPr="00EC4F25">
        <w:t xml:space="preserve">Zwolińska </w:t>
      </w:r>
      <w:proofErr w:type="spellStart"/>
      <w:r w:rsidRPr="00EC4F25">
        <w:t>Mytko</w:t>
      </w:r>
      <w:proofErr w:type="spellEnd"/>
      <w:r w:rsidRPr="00EC4F25">
        <w:t xml:space="preserve"> Anna</w:t>
      </w:r>
    </w:p>
    <w:p w14:paraId="3C4B0238" w14:textId="77777777" w:rsidR="001121F0" w:rsidRPr="00EC4F25" w:rsidRDefault="001121F0" w:rsidP="001121F0">
      <w:pPr>
        <w:spacing w:after="0"/>
        <w:ind w:firstLine="567"/>
        <w:jc w:val="both"/>
      </w:pPr>
      <w:proofErr w:type="spellStart"/>
      <w:r w:rsidRPr="00EC4F25">
        <w:t>Wołowczyk</w:t>
      </w:r>
      <w:proofErr w:type="spellEnd"/>
      <w:r w:rsidRPr="00EC4F25">
        <w:t xml:space="preserve"> Roman</w:t>
      </w:r>
    </w:p>
    <w:p w14:paraId="24A0FD34" w14:textId="77777777" w:rsidR="001121F0" w:rsidRPr="00EC4F25" w:rsidRDefault="001121F0" w:rsidP="001121F0">
      <w:pPr>
        <w:spacing w:after="0"/>
        <w:ind w:firstLine="567"/>
        <w:jc w:val="both"/>
      </w:pPr>
      <w:r w:rsidRPr="00EC4F25">
        <w:t>Gąsiorowski Roman</w:t>
      </w:r>
    </w:p>
    <w:p w14:paraId="4F1E8C15" w14:textId="77777777" w:rsidR="001121F0" w:rsidRPr="006C32A1" w:rsidRDefault="001121F0" w:rsidP="001121F0">
      <w:pPr>
        <w:spacing w:after="0"/>
        <w:ind w:firstLine="567"/>
        <w:jc w:val="both"/>
      </w:pPr>
      <w:r w:rsidRPr="006C32A1">
        <w:t>Rejman Tadeusz</w:t>
      </w:r>
    </w:p>
    <w:p w14:paraId="11278EF8" w14:textId="0E42EDB6" w:rsidR="00BE4F86" w:rsidRPr="006C32A1" w:rsidRDefault="00BE4F86" w:rsidP="009B073F">
      <w:pPr>
        <w:spacing w:after="0"/>
        <w:jc w:val="both"/>
        <w:rPr>
          <w:sz w:val="6"/>
          <w:szCs w:val="6"/>
        </w:rPr>
      </w:pPr>
    </w:p>
    <w:p w14:paraId="41079634" w14:textId="1733B870" w:rsidR="00972F3D" w:rsidRDefault="00972F3D" w:rsidP="00972F3D">
      <w:pPr>
        <w:spacing w:after="0"/>
        <w:jc w:val="center"/>
        <w:rPr>
          <w:b/>
          <w:bCs/>
          <w:sz w:val="24"/>
          <w:szCs w:val="24"/>
        </w:rPr>
      </w:pPr>
      <w:r>
        <w:rPr>
          <w:b/>
          <w:bCs/>
          <w:sz w:val="24"/>
          <w:szCs w:val="24"/>
        </w:rPr>
        <w:t>* * *</w:t>
      </w:r>
    </w:p>
    <w:p w14:paraId="03E3DE17" w14:textId="77777777" w:rsidR="00972F3D" w:rsidRPr="00F561D7" w:rsidRDefault="00972F3D" w:rsidP="00972F3D">
      <w:pPr>
        <w:spacing w:after="0"/>
        <w:jc w:val="center"/>
        <w:rPr>
          <w:b/>
          <w:bCs/>
          <w:sz w:val="10"/>
          <w:szCs w:val="10"/>
        </w:rPr>
      </w:pPr>
    </w:p>
    <w:p w14:paraId="7B0BBB8F" w14:textId="2C868E23" w:rsidR="00AE031F" w:rsidRDefault="00AE031F" w:rsidP="00AE031F">
      <w:pPr>
        <w:spacing w:after="0"/>
        <w:rPr>
          <w:rFonts w:cstheme="minorHAnsi"/>
          <w:bCs/>
          <w:sz w:val="24"/>
          <w:szCs w:val="24"/>
        </w:rPr>
      </w:pPr>
      <w:r>
        <w:rPr>
          <w:b/>
          <w:bCs/>
          <w:sz w:val="24"/>
          <w:szCs w:val="24"/>
        </w:rPr>
        <w:t>U</w:t>
      </w:r>
      <w:r w:rsidRPr="0012786A">
        <w:rPr>
          <w:b/>
          <w:bCs/>
          <w:sz w:val="24"/>
          <w:szCs w:val="24"/>
        </w:rPr>
        <w:t xml:space="preserve">wagi </w:t>
      </w:r>
      <w:r>
        <w:rPr>
          <w:b/>
          <w:bCs/>
          <w:sz w:val="24"/>
          <w:szCs w:val="24"/>
        </w:rPr>
        <w:t>R</w:t>
      </w:r>
      <w:r w:rsidRPr="0012786A">
        <w:rPr>
          <w:b/>
          <w:bCs/>
          <w:sz w:val="24"/>
          <w:szCs w:val="24"/>
        </w:rPr>
        <w:t>edakcji</w:t>
      </w:r>
      <w:r w:rsidRPr="009970E0">
        <w:rPr>
          <w:b/>
          <w:bCs/>
          <w:sz w:val="24"/>
          <w:szCs w:val="24"/>
        </w:rPr>
        <w:t xml:space="preserve"> </w:t>
      </w:r>
      <w:r>
        <w:rPr>
          <w:rFonts w:cstheme="minorHAnsi"/>
          <w:bCs/>
          <w:sz w:val="24"/>
          <w:szCs w:val="24"/>
        </w:rPr>
        <w:t xml:space="preserve">do przypomnianej wyżej decyzji Urzędu Patentowego RP opracowali: </w:t>
      </w:r>
    </w:p>
    <w:p w14:paraId="639919F2" w14:textId="77777777" w:rsidR="00AE031F" w:rsidRPr="007A5198" w:rsidRDefault="00AE031F" w:rsidP="00AE031F">
      <w:pPr>
        <w:spacing w:after="0"/>
        <w:rPr>
          <w:b/>
          <w:bCs/>
          <w:sz w:val="14"/>
          <w:szCs w:val="14"/>
        </w:rPr>
      </w:pPr>
    </w:p>
    <w:tbl>
      <w:tblPr>
        <w:tblStyle w:val="Tabela-Siatka"/>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96"/>
        <w:gridCol w:w="709"/>
      </w:tblGrid>
      <w:tr w:rsidR="00AE031F" w:rsidRPr="006A1234" w14:paraId="58BA316F" w14:textId="77777777" w:rsidTr="00C277EB">
        <w:trPr>
          <w:gridAfter w:val="1"/>
          <w:wAfter w:w="709" w:type="dxa"/>
        </w:trPr>
        <w:tc>
          <w:tcPr>
            <w:tcW w:w="1276" w:type="dxa"/>
          </w:tcPr>
          <w:p w14:paraId="0C276971" w14:textId="77777777" w:rsidR="00AE031F" w:rsidRPr="00EC4F25" w:rsidRDefault="00AE031F" w:rsidP="00C277EB">
            <w:pPr>
              <w:rPr>
                <w:rFonts w:cstheme="minorHAnsi"/>
                <w:b/>
                <w:bCs/>
                <w:noProof/>
                <w:sz w:val="18"/>
                <w:szCs w:val="18"/>
              </w:rPr>
            </w:pPr>
          </w:p>
        </w:tc>
        <w:tc>
          <w:tcPr>
            <w:tcW w:w="7796" w:type="dxa"/>
          </w:tcPr>
          <w:p w14:paraId="5F04DDB4" w14:textId="77777777" w:rsidR="00AE031F" w:rsidRPr="006A1234" w:rsidRDefault="00AE031F" w:rsidP="00C277EB">
            <w:pPr>
              <w:rPr>
                <w:rFonts w:asciiTheme="minorHAnsi" w:hAnsiTheme="minorHAnsi" w:cstheme="minorHAnsi"/>
                <w:b/>
                <w:bCs/>
                <w:color w:val="000000"/>
                <w:sz w:val="22"/>
                <w:szCs w:val="22"/>
              </w:rPr>
            </w:pPr>
            <w:r w:rsidRPr="006A1234">
              <w:rPr>
                <w:rFonts w:asciiTheme="minorHAnsi" w:hAnsiTheme="minorHAnsi" w:cstheme="minorHAnsi"/>
                <w:b/>
                <w:bCs/>
                <w:color w:val="000000"/>
                <w:sz w:val="22"/>
                <w:szCs w:val="22"/>
              </w:rPr>
              <w:t>AUTORZY:</w:t>
            </w:r>
          </w:p>
        </w:tc>
      </w:tr>
      <w:tr w:rsidR="00AE031F" w:rsidRPr="001D7639" w14:paraId="15118093" w14:textId="77777777" w:rsidTr="00C277EB">
        <w:trPr>
          <w:gridAfter w:val="1"/>
          <w:wAfter w:w="709" w:type="dxa"/>
        </w:trPr>
        <w:tc>
          <w:tcPr>
            <w:tcW w:w="1276" w:type="dxa"/>
          </w:tcPr>
          <w:p w14:paraId="7A075081" w14:textId="77777777" w:rsidR="00AE031F" w:rsidRPr="001237AA" w:rsidRDefault="00AE031F" w:rsidP="00C277EB">
            <w:pPr>
              <w:rPr>
                <w:rFonts w:cstheme="minorHAnsi"/>
                <w:b/>
                <w:bCs/>
                <w:color w:val="000000"/>
                <w:sz w:val="6"/>
                <w:szCs w:val="6"/>
              </w:rPr>
            </w:pPr>
          </w:p>
          <w:p w14:paraId="05A85542" w14:textId="77777777" w:rsidR="00AE031F" w:rsidRDefault="00AE031F" w:rsidP="00C277EB">
            <w:pPr>
              <w:rPr>
                <w:rFonts w:cstheme="minorHAnsi"/>
                <w:b/>
                <w:bCs/>
                <w:color w:val="000000"/>
                <w:sz w:val="26"/>
                <w:szCs w:val="26"/>
              </w:rPr>
            </w:pPr>
            <w:r>
              <w:rPr>
                <w:noProof/>
              </w:rPr>
              <w:drawing>
                <wp:inline distT="0" distB="0" distL="0" distR="0" wp14:anchorId="312F93CB" wp14:editId="094591B1">
                  <wp:extent cx="662400" cy="900000"/>
                  <wp:effectExtent l="0" t="0" r="4445" b="0"/>
                  <wp:docPr id="1379369680"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0722"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7796" w:type="dxa"/>
          </w:tcPr>
          <w:p w14:paraId="25DB8A23" w14:textId="77777777" w:rsidR="00AE031F" w:rsidRPr="001D7639" w:rsidRDefault="00AE031F" w:rsidP="00C277EB">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Marek BESLER</w:t>
            </w:r>
          </w:p>
          <w:p w14:paraId="5A4F6562" w14:textId="32F13B44" w:rsidR="007A5198" w:rsidRDefault="007A5198" w:rsidP="00C277EB">
            <w:pPr>
              <w:pStyle w:val="Akapitzlist"/>
              <w:numPr>
                <w:ilvl w:val="0"/>
                <w:numId w:val="47"/>
              </w:numPr>
              <w:ind w:left="320" w:hanging="334"/>
              <w:rPr>
                <w:rFonts w:cstheme="minorHAnsi"/>
                <w:bCs/>
                <w:color w:val="000000"/>
              </w:rPr>
            </w:pPr>
            <w:r>
              <w:rPr>
                <w:rFonts w:eastAsia="Times New Roman" w:cstheme="minorHAnsi"/>
                <w:bCs/>
                <w:color w:val="000000"/>
              </w:rPr>
              <w:t>współorzekający w Komisji Odwoławczej przy Urzędzie Patentowym w sprawach własności przemysłowej, składom której przewodniczyli sędziowie Sądu Najwyższego, w latach 1979 -2001</w:t>
            </w:r>
          </w:p>
          <w:p w14:paraId="724F2D4A" w14:textId="2EFA7B0D" w:rsidR="00AE031F" w:rsidRPr="007A6BB7" w:rsidRDefault="00AE031F" w:rsidP="00C277EB">
            <w:pPr>
              <w:pStyle w:val="Akapitzlist"/>
              <w:numPr>
                <w:ilvl w:val="0"/>
                <w:numId w:val="47"/>
              </w:numPr>
              <w:ind w:left="320" w:hanging="334"/>
              <w:rPr>
                <w:rFonts w:cstheme="minorHAnsi"/>
                <w:bCs/>
                <w:color w:val="000000"/>
              </w:rPr>
            </w:pPr>
            <w:r w:rsidRPr="009265CF">
              <w:rPr>
                <w:rFonts w:cstheme="minorHAnsi"/>
                <w:bCs/>
                <w:color w:val="000000"/>
              </w:rPr>
              <w:t>rzecznik patentowy nr 1571</w:t>
            </w:r>
          </w:p>
          <w:p w14:paraId="62896226" w14:textId="77777777" w:rsidR="00AE031F" w:rsidRPr="007A6BB7" w:rsidRDefault="00AE031F" w:rsidP="00C277EB">
            <w:pPr>
              <w:pStyle w:val="Akapitzlist"/>
              <w:numPr>
                <w:ilvl w:val="0"/>
                <w:numId w:val="47"/>
              </w:numPr>
              <w:ind w:left="320" w:hanging="334"/>
              <w:rPr>
                <w:rFonts w:cstheme="minorHAnsi"/>
                <w:bCs/>
                <w:color w:val="000000"/>
              </w:rPr>
            </w:pPr>
            <w:r w:rsidRPr="009265CF">
              <w:rPr>
                <w:rFonts w:cstheme="minorHAnsi"/>
                <w:bCs/>
                <w:color w:val="000000"/>
              </w:rPr>
              <w:t>profesjonalny pełnomocnik przed EUIPO (</w:t>
            </w:r>
            <w:r w:rsidRPr="00D01A42">
              <w:rPr>
                <w:rFonts w:cstheme="minorHAnsi"/>
                <w:bCs/>
                <w:i/>
                <w:color w:val="000000"/>
              </w:rPr>
              <w:t>European Union Intellectual Property Office</w:t>
            </w:r>
            <w:r w:rsidRPr="009265CF">
              <w:rPr>
                <w:rFonts w:cstheme="minorHAnsi"/>
                <w:bCs/>
                <w:color w:val="000000"/>
              </w:rPr>
              <w:t xml:space="preserve"> – Urząd Unii Europejskiej ds. Własności Intelektualnej), nr 27177</w:t>
            </w:r>
          </w:p>
          <w:p w14:paraId="4B8725CB" w14:textId="77777777" w:rsidR="00AE031F" w:rsidRPr="009265CF" w:rsidRDefault="00AE031F" w:rsidP="00C277EB">
            <w:pPr>
              <w:pStyle w:val="Akapitzlist"/>
              <w:numPr>
                <w:ilvl w:val="0"/>
                <w:numId w:val="47"/>
              </w:numPr>
              <w:ind w:left="320" w:hanging="334"/>
              <w:rPr>
                <w:rFonts w:cstheme="minorHAnsi"/>
                <w:bCs/>
                <w:color w:val="000000"/>
              </w:rPr>
            </w:pPr>
            <w:r w:rsidRPr="009265CF">
              <w:rPr>
                <w:rFonts w:cstheme="minorHAnsi"/>
                <w:bCs/>
                <w:color w:val="000000"/>
              </w:rPr>
              <w:t>Europejski Rzecznik Patentowy nr 138820</w:t>
            </w:r>
          </w:p>
          <w:p w14:paraId="1AC1BC5B" w14:textId="77777777" w:rsidR="00AE031F" w:rsidRDefault="00AE031F" w:rsidP="00C277EB">
            <w:pPr>
              <w:pStyle w:val="Akapitzlist"/>
              <w:numPr>
                <w:ilvl w:val="0"/>
                <w:numId w:val="47"/>
              </w:numPr>
              <w:ind w:left="320" w:hanging="334"/>
              <w:rPr>
                <w:rFonts w:cstheme="minorHAnsi"/>
                <w:bCs/>
                <w:color w:val="000000"/>
              </w:rPr>
            </w:pPr>
            <w:r w:rsidRPr="009265CF">
              <w:rPr>
                <w:rFonts w:cstheme="minorHAnsi"/>
                <w:bCs/>
                <w:color w:val="000000"/>
              </w:rPr>
              <w:t>Prezes Polskiej Izby Rzeczników Patentowych w latach 2002-2005</w:t>
            </w:r>
          </w:p>
          <w:p w14:paraId="1563C035" w14:textId="77777777" w:rsidR="00AE031F" w:rsidRDefault="00AE031F" w:rsidP="00C277EB">
            <w:pPr>
              <w:pStyle w:val="Akapitzlist"/>
              <w:numPr>
                <w:ilvl w:val="0"/>
                <w:numId w:val="47"/>
              </w:numPr>
              <w:ind w:left="320" w:hanging="334"/>
              <w:rPr>
                <w:rFonts w:cstheme="minorHAnsi"/>
                <w:bCs/>
                <w:color w:val="000000"/>
              </w:rPr>
            </w:pPr>
            <w:r>
              <w:rPr>
                <w:rFonts w:cstheme="minorHAnsi"/>
                <w:bCs/>
                <w:color w:val="000000"/>
              </w:rPr>
              <w:t>Wiceprezes Zarządu StoWI od 2023 r.</w:t>
            </w:r>
          </w:p>
          <w:p w14:paraId="1C0E01FD" w14:textId="77777777" w:rsidR="00AE031F" w:rsidRDefault="00AE031F" w:rsidP="007A5198">
            <w:pPr>
              <w:pStyle w:val="Akapitzlist"/>
              <w:numPr>
                <w:ilvl w:val="0"/>
                <w:numId w:val="47"/>
              </w:numPr>
              <w:ind w:left="320" w:hanging="334"/>
              <w:rPr>
                <w:rFonts w:cstheme="minorHAnsi"/>
                <w:bCs/>
                <w:color w:val="000000"/>
              </w:rPr>
            </w:pPr>
            <w:r>
              <w:rPr>
                <w:rFonts w:cstheme="minorHAnsi"/>
                <w:bCs/>
                <w:color w:val="000000"/>
              </w:rPr>
              <w:t>Redaktor naczelny Kwartalnika „THINK-TANK WSZYSTKO o IP w PL” od listopada 2023 r.</w:t>
            </w:r>
          </w:p>
          <w:p w14:paraId="36311C25" w14:textId="073B9609" w:rsidR="007A5198" w:rsidRPr="007A5198" w:rsidRDefault="007A5198" w:rsidP="007A5198">
            <w:pPr>
              <w:pStyle w:val="Akapitzlist"/>
              <w:ind w:left="320"/>
              <w:rPr>
                <w:rFonts w:cstheme="minorHAnsi"/>
                <w:bCs/>
                <w:color w:val="000000"/>
                <w:sz w:val="6"/>
                <w:szCs w:val="6"/>
              </w:rPr>
            </w:pPr>
          </w:p>
        </w:tc>
      </w:tr>
      <w:tr w:rsidR="00AE031F" w:rsidRPr="006A1234" w14:paraId="5E425123" w14:textId="77777777" w:rsidTr="00C277EB">
        <w:tc>
          <w:tcPr>
            <w:tcW w:w="1276" w:type="dxa"/>
          </w:tcPr>
          <w:p w14:paraId="5B7E45AB" w14:textId="77777777" w:rsidR="00AE031F" w:rsidRPr="001237AA" w:rsidRDefault="00AE031F" w:rsidP="00C277EB">
            <w:pPr>
              <w:tabs>
                <w:tab w:val="left" w:pos="2261"/>
              </w:tabs>
              <w:rPr>
                <w:rFonts w:cstheme="minorHAnsi"/>
                <w:b/>
                <w:bCs/>
                <w:color w:val="000000"/>
                <w:sz w:val="6"/>
                <w:szCs w:val="6"/>
              </w:rPr>
            </w:pPr>
          </w:p>
          <w:p w14:paraId="164388CA" w14:textId="77777777" w:rsidR="00AE031F" w:rsidRDefault="00AE031F" w:rsidP="00C277EB">
            <w:pPr>
              <w:tabs>
                <w:tab w:val="left" w:pos="2261"/>
              </w:tabs>
              <w:rPr>
                <w:rFonts w:cstheme="minorHAnsi"/>
                <w:b/>
                <w:bCs/>
                <w:color w:val="000000"/>
                <w:sz w:val="26"/>
                <w:szCs w:val="26"/>
              </w:rPr>
            </w:pPr>
            <w:r>
              <w:rPr>
                <w:noProof/>
              </w:rPr>
              <w:drawing>
                <wp:inline distT="0" distB="0" distL="0" distR="0" wp14:anchorId="4CF2D697" wp14:editId="1B1F4DE7">
                  <wp:extent cx="658800" cy="900000"/>
                  <wp:effectExtent l="0" t="0" r="8255" b="0"/>
                  <wp:docPr id="1030521125"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9886"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505" w:type="dxa"/>
            <w:gridSpan w:val="2"/>
          </w:tcPr>
          <w:p w14:paraId="37E374CA" w14:textId="77777777" w:rsidR="00AE031F" w:rsidRDefault="00AE031F" w:rsidP="00C277EB">
            <w:pPr>
              <w:rPr>
                <w:rFonts w:asciiTheme="minorHAnsi" w:hAnsiTheme="minorHAnsi" w:cstheme="minorHAnsi"/>
                <w:bCs/>
                <w:color w:val="000000"/>
                <w:sz w:val="22"/>
                <w:szCs w:val="22"/>
              </w:rPr>
            </w:pPr>
            <w:r w:rsidRPr="00882209">
              <w:rPr>
                <w:rFonts w:asciiTheme="minorHAnsi" w:hAnsiTheme="minorHAnsi" w:cstheme="minorHAnsi"/>
                <w:bCs/>
                <w:color w:val="000000"/>
                <w:sz w:val="22"/>
                <w:szCs w:val="22"/>
              </w:rPr>
              <w:t>Anna KORBELA</w:t>
            </w:r>
          </w:p>
          <w:p w14:paraId="45C20C07" w14:textId="0F0C8A55" w:rsidR="00755F82" w:rsidRDefault="00FE4722" w:rsidP="00C277EB">
            <w:pPr>
              <w:pStyle w:val="Akapitzlist"/>
              <w:numPr>
                <w:ilvl w:val="0"/>
                <w:numId w:val="45"/>
              </w:numPr>
              <w:ind w:left="320" w:hanging="334"/>
              <w:rPr>
                <w:rFonts w:cstheme="minorHAnsi"/>
                <w:bCs/>
                <w:color w:val="000000"/>
              </w:rPr>
            </w:pPr>
            <w:r w:rsidRPr="00755F82">
              <w:rPr>
                <w:rFonts w:cstheme="minorHAnsi"/>
                <w:bCs/>
                <w:color w:val="000000"/>
              </w:rPr>
              <w:t xml:space="preserve">w 1994 r. </w:t>
            </w:r>
            <w:r>
              <w:rPr>
                <w:rFonts w:cstheme="minorHAnsi"/>
                <w:bCs/>
                <w:color w:val="000000"/>
              </w:rPr>
              <w:t xml:space="preserve">zdała </w:t>
            </w:r>
            <w:r w:rsidR="00755F82" w:rsidRPr="00755F82">
              <w:rPr>
                <w:rFonts w:cstheme="minorHAnsi"/>
                <w:bCs/>
                <w:color w:val="000000"/>
              </w:rPr>
              <w:t xml:space="preserve">egzamin sędziowski poprzedzony etatową aplikacją sędziowską (złożony z </w:t>
            </w:r>
            <w:r w:rsidR="00F561D7" w:rsidRPr="00755F82">
              <w:rPr>
                <w:rFonts w:cstheme="minorHAnsi"/>
                <w:bCs/>
                <w:color w:val="000000"/>
              </w:rPr>
              <w:t xml:space="preserve">dobrym </w:t>
            </w:r>
            <w:r w:rsidR="00755F82" w:rsidRPr="00755F82">
              <w:rPr>
                <w:rFonts w:cstheme="minorHAnsi"/>
                <w:bCs/>
                <w:color w:val="000000"/>
              </w:rPr>
              <w:t>wynikiem, umożliwiającym podjęcie kariery sędziowskiej</w:t>
            </w:r>
            <w:r w:rsidR="00D76DA8">
              <w:rPr>
                <w:rFonts w:cstheme="minorHAnsi"/>
                <w:bCs/>
                <w:color w:val="000000"/>
              </w:rPr>
              <w:t>)</w:t>
            </w:r>
          </w:p>
          <w:p w14:paraId="2C044732" w14:textId="28D31B10" w:rsidR="00AE031F" w:rsidRPr="009265CF" w:rsidRDefault="00AE031F" w:rsidP="00C277EB">
            <w:pPr>
              <w:pStyle w:val="Akapitzlist"/>
              <w:numPr>
                <w:ilvl w:val="0"/>
                <w:numId w:val="45"/>
              </w:numPr>
              <w:ind w:left="320" w:hanging="334"/>
              <w:rPr>
                <w:rFonts w:cstheme="minorHAnsi"/>
                <w:bCs/>
                <w:color w:val="000000"/>
              </w:rPr>
            </w:pPr>
            <w:r w:rsidRPr="009265CF">
              <w:rPr>
                <w:rFonts w:cstheme="minorHAnsi"/>
                <w:bCs/>
                <w:color w:val="000000"/>
              </w:rPr>
              <w:t>rzecznik patentowy nr 3040</w:t>
            </w:r>
          </w:p>
          <w:p w14:paraId="3B2C0C86" w14:textId="77777777" w:rsidR="00AE031F" w:rsidRPr="009265CF" w:rsidRDefault="00AE031F" w:rsidP="00C277EB">
            <w:pPr>
              <w:pStyle w:val="Akapitzlist"/>
              <w:numPr>
                <w:ilvl w:val="0"/>
                <w:numId w:val="45"/>
              </w:numPr>
              <w:ind w:left="320" w:hanging="334"/>
              <w:rPr>
                <w:rFonts w:cstheme="minorHAnsi"/>
                <w:bCs/>
                <w:color w:val="000000"/>
              </w:rPr>
            </w:pPr>
            <w:r w:rsidRPr="009265CF">
              <w:rPr>
                <w:rFonts w:cstheme="minorHAnsi"/>
                <w:bCs/>
                <w:color w:val="000000"/>
              </w:rPr>
              <w:t>radca prawny nr 364/96</w:t>
            </w:r>
          </w:p>
          <w:p w14:paraId="23E955D6" w14:textId="77777777" w:rsidR="00AE031F" w:rsidRPr="009265CF" w:rsidRDefault="00AE031F" w:rsidP="00C277EB">
            <w:pPr>
              <w:pStyle w:val="Akapitzlist"/>
              <w:numPr>
                <w:ilvl w:val="0"/>
                <w:numId w:val="45"/>
              </w:numPr>
              <w:ind w:left="320" w:hanging="334"/>
              <w:rPr>
                <w:rFonts w:cstheme="minorHAnsi"/>
                <w:bCs/>
                <w:color w:val="000000"/>
              </w:rPr>
            </w:pPr>
            <w:r w:rsidRPr="009265CF">
              <w:rPr>
                <w:rFonts w:cstheme="minorHAnsi"/>
                <w:bCs/>
                <w:color w:val="000000"/>
              </w:rPr>
              <w:t>profesjonalny pełnomocnik przed EUIPO (</w:t>
            </w:r>
            <w:r w:rsidRPr="007A6BB7">
              <w:rPr>
                <w:rFonts w:cstheme="minorHAnsi"/>
                <w:bCs/>
                <w:i/>
                <w:color w:val="000000"/>
              </w:rPr>
              <w:t>European Union Intellectual Property Office</w:t>
            </w:r>
            <w:r w:rsidRPr="009265CF">
              <w:rPr>
                <w:rFonts w:cstheme="minorHAnsi"/>
                <w:bCs/>
                <w:color w:val="000000"/>
              </w:rPr>
              <w:t xml:space="preserve"> </w:t>
            </w:r>
            <w:r>
              <w:rPr>
                <w:rFonts w:cstheme="minorHAnsi"/>
                <w:bCs/>
                <w:color w:val="000000"/>
              </w:rPr>
              <w:t>-</w:t>
            </w:r>
            <w:r w:rsidRPr="009265CF">
              <w:rPr>
                <w:rFonts w:cstheme="minorHAnsi"/>
                <w:bCs/>
                <w:color w:val="000000"/>
              </w:rPr>
              <w:t xml:space="preserve"> </w:t>
            </w:r>
            <w:r w:rsidRPr="009265CF">
              <w:rPr>
                <w:rFonts w:eastAsia="Times New Roman" w:cstheme="minorHAnsi"/>
                <w:bCs/>
                <w:color w:val="000000"/>
              </w:rPr>
              <w:t>Urz</w:t>
            </w:r>
            <w:r>
              <w:rPr>
                <w:rFonts w:eastAsia="Times New Roman" w:cstheme="minorHAnsi"/>
                <w:bCs/>
                <w:color w:val="000000"/>
              </w:rPr>
              <w:t>ę</w:t>
            </w:r>
            <w:r w:rsidRPr="009265CF">
              <w:rPr>
                <w:rFonts w:eastAsia="Times New Roman" w:cstheme="minorHAnsi"/>
                <w:bCs/>
                <w:color w:val="000000"/>
              </w:rPr>
              <w:t>d</w:t>
            </w:r>
            <w:r>
              <w:rPr>
                <w:rFonts w:eastAsia="Times New Roman" w:cstheme="minorHAnsi"/>
                <w:bCs/>
                <w:color w:val="000000"/>
              </w:rPr>
              <w:t>em</w:t>
            </w:r>
            <w:r w:rsidRPr="009265CF">
              <w:rPr>
                <w:rFonts w:cstheme="minorHAnsi"/>
                <w:bCs/>
                <w:color w:val="000000"/>
              </w:rPr>
              <w:t xml:space="preserve"> Unii Europejskiej ds. Własności Intelektualnej), nr 27595</w:t>
            </w:r>
          </w:p>
          <w:p w14:paraId="498EAE76" w14:textId="77777777" w:rsidR="00AE031F" w:rsidRPr="009265CF" w:rsidRDefault="00AE031F" w:rsidP="00C277EB">
            <w:pPr>
              <w:pStyle w:val="Akapitzlist"/>
              <w:numPr>
                <w:ilvl w:val="0"/>
                <w:numId w:val="45"/>
              </w:numPr>
              <w:ind w:left="320" w:hanging="334"/>
              <w:rPr>
                <w:rFonts w:cstheme="minorHAnsi"/>
                <w:bCs/>
                <w:color w:val="000000"/>
              </w:rPr>
            </w:pPr>
            <w:r w:rsidRPr="009265CF">
              <w:rPr>
                <w:rFonts w:cstheme="minorHAnsi"/>
                <w:bCs/>
                <w:color w:val="000000"/>
              </w:rPr>
              <w:t>Europejski Rzecznik Patentowy nr 137760</w:t>
            </w:r>
          </w:p>
          <w:p w14:paraId="01C7B5CB" w14:textId="77777777" w:rsidR="00AE031F" w:rsidRPr="009265CF" w:rsidRDefault="00AE031F" w:rsidP="00C277EB">
            <w:pPr>
              <w:pStyle w:val="Akapitzlist"/>
              <w:numPr>
                <w:ilvl w:val="0"/>
                <w:numId w:val="45"/>
              </w:numPr>
              <w:ind w:left="320" w:hanging="334"/>
              <w:rPr>
                <w:rFonts w:cstheme="minorHAnsi"/>
                <w:bCs/>
                <w:color w:val="000000"/>
              </w:rPr>
            </w:pPr>
            <w:r w:rsidRPr="009265CF">
              <w:rPr>
                <w:rFonts w:cstheme="minorHAnsi"/>
                <w:bCs/>
                <w:color w:val="000000"/>
              </w:rPr>
              <w:t>pełnomocnik uprawniony do działania przed DPMA (</w:t>
            </w:r>
            <w:proofErr w:type="spellStart"/>
            <w:r w:rsidRPr="007A6BB7">
              <w:rPr>
                <w:rFonts w:cstheme="minorHAnsi"/>
                <w:bCs/>
                <w:i/>
                <w:color w:val="000000"/>
              </w:rPr>
              <w:t>Deutsches</w:t>
            </w:r>
            <w:proofErr w:type="spellEnd"/>
            <w:r w:rsidRPr="007A6BB7">
              <w:rPr>
                <w:rFonts w:cstheme="minorHAnsi"/>
                <w:bCs/>
                <w:i/>
                <w:color w:val="000000"/>
              </w:rPr>
              <w:t xml:space="preserve"> Patent- </w:t>
            </w:r>
            <w:proofErr w:type="spellStart"/>
            <w:r w:rsidRPr="007A6BB7">
              <w:rPr>
                <w:rFonts w:cstheme="minorHAnsi"/>
                <w:bCs/>
                <w:i/>
                <w:color w:val="000000"/>
              </w:rPr>
              <w:t>und</w:t>
            </w:r>
            <w:proofErr w:type="spellEnd"/>
            <w:r w:rsidRPr="007A6BB7">
              <w:rPr>
                <w:rFonts w:cstheme="minorHAnsi"/>
                <w:bCs/>
                <w:i/>
                <w:color w:val="000000"/>
              </w:rPr>
              <w:t xml:space="preserve"> </w:t>
            </w:r>
            <w:proofErr w:type="spellStart"/>
            <w:r w:rsidRPr="007A6BB7">
              <w:rPr>
                <w:rFonts w:cstheme="minorHAnsi"/>
                <w:bCs/>
                <w:i/>
                <w:color w:val="000000"/>
              </w:rPr>
              <w:t>Markenamt</w:t>
            </w:r>
            <w:proofErr w:type="spellEnd"/>
            <w:r w:rsidRPr="007A6BB7">
              <w:rPr>
                <w:rFonts w:cstheme="minorHAnsi"/>
                <w:bCs/>
                <w:i/>
                <w:color w:val="000000"/>
              </w:rPr>
              <w:t xml:space="preserve"> </w:t>
            </w:r>
            <w:r>
              <w:rPr>
                <w:rFonts w:cstheme="minorHAnsi"/>
                <w:bCs/>
                <w:i/>
                <w:color w:val="000000"/>
              </w:rPr>
              <w:t>-</w:t>
            </w:r>
            <w:r w:rsidRPr="009265CF">
              <w:rPr>
                <w:rFonts w:cstheme="minorHAnsi"/>
                <w:bCs/>
                <w:color w:val="000000"/>
              </w:rPr>
              <w:t xml:space="preserve"> </w:t>
            </w:r>
            <w:r w:rsidRPr="009265CF">
              <w:rPr>
                <w:rFonts w:eastAsia="Times New Roman" w:cstheme="minorHAnsi"/>
                <w:bCs/>
                <w:color w:val="000000"/>
              </w:rPr>
              <w:t>Niemiecki</w:t>
            </w:r>
            <w:r>
              <w:rPr>
                <w:rFonts w:eastAsia="Times New Roman" w:cstheme="minorHAnsi"/>
                <w:bCs/>
                <w:color w:val="000000"/>
              </w:rPr>
              <w:t>m</w:t>
            </w:r>
            <w:r w:rsidRPr="009265CF">
              <w:rPr>
                <w:rFonts w:eastAsia="Times New Roman" w:cstheme="minorHAnsi"/>
                <w:bCs/>
                <w:color w:val="000000"/>
              </w:rPr>
              <w:t xml:space="preserve"> Urz</w:t>
            </w:r>
            <w:r>
              <w:rPr>
                <w:rFonts w:eastAsia="Times New Roman" w:cstheme="minorHAnsi"/>
                <w:bCs/>
                <w:color w:val="000000"/>
              </w:rPr>
              <w:t>ę</w:t>
            </w:r>
            <w:r w:rsidRPr="009265CF">
              <w:rPr>
                <w:rFonts w:eastAsia="Times New Roman" w:cstheme="minorHAnsi"/>
                <w:bCs/>
                <w:color w:val="000000"/>
              </w:rPr>
              <w:t>d</w:t>
            </w:r>
            <w:r>
              <w:rPr>
                <w:rFonts w:eastAsia="Times New Roman" w:cstheme="minorHAnsi"/>
                <w:bCs/>
                <w:color w:val="000000"/>
              </w:rPr>
              <w:t>em</w:t>
            </w:r>
            <w:r w:rsidRPr="009265CF">
              <w:rPr>
                <w:rFonts w:eastAsia="Times New Roman" w:cstheme="minorHAnsi"/>
                <w:bCs/>
                <w:color w:val="000000"/>
              </w:rPr>
              <w:t xml:space="preserve"> ds. Patentów </w:t>
            </w:r>
            <w:r w:rsidRPr="009265CF">
              <w:rPr>
                <w:rFonts w:cstheme="minorHAnsi"/>
                <w:bCs/>
                <w:color w:val="000000"/>
              </w:rPr>
              <w:t>i Znaków Towarowych) nr 38701324</w:t>
            </w:r>
          </w:p>
          <w:p w14:paraId="6595E6D0" w14:textId="77777777" w:rsidR="00AE031F" w:rsidRDefault="00AE031F" w:rsidP="00C277EB">
            <w:pPr>
              <w:pStyle w:val="Akapitzlist"/>
              <w:numPr>
                <w:ilvl w:val="0"/>
                <w:numId w:val="45"/>
              </w:numPr>
              <w:ind w:left="324" w:hanging="335"/>
              <w:rPr>
                <w:rFonts w:cstheme="minorHAnsi"/>
                <w:bCs/>
                <w:color w:val="000000"/>
              </w:rPr>
            </w:pPr>
            <w:r w:rsidRPr="009265CF">
              <w:rPr>
                <w:rFonts w:cstheme="minorHAnsi"/>
                <w:bCs/>
                <w:color w:val="000000"/>
              </w:rPr>
              <w:t>pełnomocnik przed UPC (</w:t>
            </w:r>
            <w:proofErr w:type="spellStart"/>
            <w:r w:rsidRPr="007A6BB7">
              <w:rPr>
                <w:rFonts w:cstheme="minorHAnsi"/>
                <w:bCs/>
                <w:i/>
                <w:color w:val="000000"/>
              </w:rPr>
              <w:t>Unitary</w:t>
            </w:r>
            <w:proofErr w:type="spellEnd"/>
            <w:r w:rsidRPr="007A6BB7">
              <w:rPr>
                <w:rFonts w:cstheme="minorHAnsi"/>
                <w:bCs/>
                <w:i/>
                <w:color w:val="000000"/>
              </w:rPr>
              <w:t xml:space="preserve"> Patent Court</w:t>
            </w:r>
            <w:r w:rsidRPr="009265CF">
              <w:rPr>
                <w:rFonts w:cstheme="minorHAnsi"/>
                <w:bCs/>
                <w:color w:val="000000"/>
              </w:rPr>
              <w:t xml:space="preserve"> </w:t>
            </w:r>
            <w:r>
              <w:rPr>
                <w:rFonts w:cstheme="minorHAnsi"/>
                <w:bCs/>
                <w:color w:val="000000"/>
              </w:rPr>
              <w:t>-</w:t>
            </w:r>
            <w:r w:rsidRPr="009265CF">
              <w:rPr>
                <w:rFonts w:cstheme="minorHAnsi"/>
                <w:bCs/>
                <w:color w:val="000000"/>
              </w:rPr>
              <w:t xml:space="preserve"> Jednolitym Sądem Patentowym) AUTH_525119/2023</w:t>
            </w:r>
          </w:p>
          <w:p w14:paraId="42C4B100" w14:textId="77777777" w:rsidR="00AE031F" w:rsidRPr="00097102" w:rsidRDefault="00AE031F" w:rsidP="00C277EB">
            <w:pPr>
              <w:pStyle w:val="Akapitzlist"/>
              <w:numPr>
                <w:ilvl w:val="0"/>
                <w:numId w:val="45"/>
              </w:numPr>
              <w:ind w:left="324" w:hanging="335"/>
              <w:rPr>
                <w:rFonts w:cstheme="minorHAnsi"/>
                <w:bCs/>
                <w:color w:val="000000"/>
              </w:rPr>
            </w:pPr>
            <w:r w:rsidRPr="00097102">
              <w:rPr>
                <w:rFonts w:cstheme="minorHAnsi"/>
                <w:bCs/>
                <w:color w:val="000000"/>
              </w:rPr>
              <w:t>Prezes Polskiej Izby Rzeczników Patentowych w latach 2009-2013 i 2013-2017</w:t>
            </w:r>
          </w:p>
          <w:p w14:paraId="526F36CC" w14:textId="77777777" w:rsidR="00AE031F" w:rsidRDefault="00AE031F" w:rsidP="00C277EB">
            <w:pPr>
              <w:pStyle w:val="Akapitzlist"/>
              <w:numPr>
                <w:ilvl w:val="0"/>
                <w:numId w:val="45"/>
              </w:numPr>
              <w:ind w:left="324" w:hanging="335"/>
              <w:rPr>
                <w:rFonts w:cstheme="minorHAnsi"/>
                <w:bCs/>
                <w:color w:val="000000"/>
              </w:rPr>
            </w:pPr>
            <w:r w:rsidRPr="00097102">
              <w:rPr>
                <w:rFonts w:cstheme="minorHAnsi"/>
                <w:bCs/>
                <w:color w:val="000000"/>
              </w:rPr>
              <w:t>Prezes StoWI od 2023 r.</w:t>
            </w:r>
          </w:p>
          <w:p w14:paraId="09F02EDC" w14:textId="0C79A5A6" w:rsidR="007A5198" w:rsidRPr="007A5198" w:rsidRDefault="007A5198" w:rsidP="007A5198">
            <w:pPr>
              <w:pStyle w:val="Akapitzlist"/>
              <w:ind w:left="324"/>
              <w:rPr>
                <w:rFonts w:cstheme="minorHAnsi"/>
                <w:bCs/>
                <w:color w:val="000000"/>
              </w:rPr>
            </w:pPr>
            <w:r>
              <w:rPr>
                <w:rFonts w:cstheme="minorHAnsi"/>
                <w:bCs/>
                <w:color w:val="000000"/>
              </w:rPr>
              <w:lastRenderedPageBreak/>
              <w:t xml:space="preserve">                                                          * * *</w:t>
            </w:r>
          </w:p>
        </w:tc>
      </w:tr>
    </w:tbl>
    <w:p w14:paraId="4B8289A3" w14:textId="025EA81E" w:rsidR="0030504A" w:rsidRDefault="0030504A" w:rsidP="0030504A">
      <w:pPr>
        <w:spacing w:after="0"/>
        <w:jc w:val="right"/>
        <w:rPr>
          <w:rFonts w:cstheme="minorHAnsi"/>
          <w:sz w:val="24"/>
          <w:szCs w:val="24"/>
        </w:rPr>
      </w:pPr>
      <w:bookmarkStart w:id="106" w:name="_Hlk159264108"/>
      <w:r>
        <w:rPr>
          <w:rFonts w:cstheme="minorHAnsi"/>
          <w:sz w:val="24"/>
          <w:szCs w:val="24"/>
        </w:rPr>
        <w:lastRenderedPageBreak/>
        <w:t xml:space="preserve">Poznań, Warszawa, 1 </w:t>
      </w:r>
      <w:proofErr w:type="gramStart"/>
      <w:r>
        <w:rPr>
          <w:rFonts w:cstheme="minorHAnsi"/>
          <w:sz w:val="24"/>
          <w:szCs w:val="24"/>
        </w:rPr>
        <w:t>luty</w:t>
      </w:r>
      <w:proofErr w:type="gramEnd"/>
      <w:r>
        <w:rPr>
          <w:rFonts w:cstheme="minorHAnsi"/>
          <w:sz w:val="24"/>
          <w:szCs w:val="24"/>
        </w:rPr>
        <w:t xml:space="preserve"> 2024 r.</w:t>
      </w:r>
    </w:p>
    <w:p w14:paraId="13DB49A8" w14:textId="77777777" w:rsidR="0030504A" w:rsidRDefault="0030504A" w:rsidP="0030504A">
      <w:pPr>
        <w:spacing w:after="0"/>
        <w:jc w:val="right"/>
        <w:rPr>
          <w:rFonts w:cstheme="minorHAnsi"/>
          <w:sz w:val="24"/>
          <w:szCs w:val="24"/>
        </w:rPr>
      </w:pPr>
    </w:p>
    <w:p w14:paraId="49C90E83" w14:textId="5DFDB36F" w:rsidR="00C67116" w:rsidRDefault="00C67116" w:rsidP="00C67116">
      <w:pPr>
        <w:pStyle w:val="USTustnpkodeksu"/>
        <w:spacing w:line="240" w:lineRule="auto"/>
        <w:ind w:firstLine="0"/>
        <w:jc w:val="center"/>
        <w:rPr>
          <w:rStyle w:val="Nagwek2Znak"/>
          <w:rFonts w:asciiTheme="minorHAnsi" w:hAnsiTheme="minorHAnsi"/>
        </w:rPr>
      </w:pPr>
      <w:bookmarkStart w:id="107" w:name="_Toc170117984"/>
      <w:r w:rsidRPr="00E76D44">
        <w:rPr>
          <w:rStyle w:val="Nagwek2Znak"/>
          <w:rFonts w:asciiTheme="minorHAnsi" w:hAnsiTheme="minorHAnsi"/>
        </w:rPr>
        <w:t>Unieważnion</w:t>
      </w:r>
      <w:r>
        <w:rPr>
          <w:rStyle w:val="Nagwek2Znak"/>
          <w:rFonts w:asciiTheme="minorHAnsi" w:hAnsiTheme="minorHAnsi"/>
        </w:rPr>
        <w:t>o p</w:t>
      </w:r>
      <w:r w:rsidR="0030504A" w:rsidRPr="00E76D44">
        <w:rPr>
          <w:rStyle w:val="Nagwek2Znak"/>
          <w:rFonts w:asciiTheme="minorHAnsi" w:hAnsiTheme="minorHAnsi"/>
        </w:rPr>
        <w:t>rawo z rejestracji przestrzennego znaku towarowego w postaci ciastka delicje R-116211</w:t>
      </w:r>
      <w:bookmarkEnd w:id="107"/>
      <w:r w:rsidR="0030504A" w:rsidRPr="00E76D44">
        <w:rPr>
          <w:rStyle w:val="Nagwek2Znak"/>
          <w:rFonts w:asciiTheme="minorHAnsi" w:hAnsiTheme="minorHAnsi"/>
        </w:rPr>
        <w:t xml:space="preserve"> </w:t>
      </w:r>
    </w:p>
    <w:p w14:paraId="590A38BC" w14:textId="4C85F306" w:rsidR="00C67116" w:rsidRPr="00C67116" w:rsidRDefault="00C67116" w:rsidP="00C67116">
      <w:pPr>
        <w:pStyle w:val="USTustnpkodeksu"/>
        <w:spacing w:line="240" w:lineRule="auto"/>
        <w:ind w:firstLine="0"/>
        <w:jc w:val="center"/>
        <w:rPr>
          <w:rFonts w:asciiTheme="minorHAnsi" w:eastAsiaTheme="majorEastAsia" w:hAnsiTheme="minorHAnsi" w:cstheme="minorHAnsi"/>
          <w:b/>
          <w:bCs w:val="0"/>
          <w:szCs w:val="24"/>
          <w:lang w:val="en-US"/>
        </w:rPr>
      </w:pPr>
      <w:r w:rsidRPr="00C67116">
        <w:rPr>
          <w:rFonts w:asciiTheme="minorHAnsi" w:hAnsiTheme="minorHAnsi" w:cstheme="minorHAnsi"/>
          <w:b/>
          <w:color w:val="2E74B5" w:themeColor="accent5" w:themeShade="BF"/>
          <w:szCs w:val="24"/>
          <w:lang w:val="en-GB"/>
        </w:rPr>
        <w:t xml:space="preserve">The registration right regarding a 3D shape </w:t>
      </w:r>
      <w:proofErr w:type="gramStart"/>
      <w:r w:rsidRPr="00C67116">
        <w:rPr>
          <w:rFonts w:asciiTheme="minorHAnsi" w:hAnsiTheme="minorHAnsi" w:cstheme="minorHAnsi"/>
          <w:b/>
          <w:color w:val="2E74B5" w:themeColor="accent5" w:themeShade="BF"/>
          <w:szCs w:val="24"/>
          <w:lang w:val="en-GB"/>
        </w:rPr>
        <w:t>trade mark</w:t>
      </w:r>
      <w:proofErr w:type="gramEnd"/>
      <w:r w:rsidRPr="00C67116">
        <w:rPr>
          <w:rFonts w:asciiTheme="minorHAnsi" w:hAnsiTheme="minorHAnsi" w:cstheme="minorHAnsi"/>
          <w:b/>
          <w:color w:val="2E74B5" w:themeColor="accent5" w:themeShade="BF"/>
          <w:szCs w:val="24"/>
          <w:lang w:val="en-GB"/>
        </w:rPr>
        <w:t xml:space="preserve"> in the form of a </w:t>
      </w:r>
      <w:proofErr w:type="spellStart"/>
      <w:r w:rsidRPr="00C67116">
        <w:rPr>
          <w:rFonts w:asciiTheme="minorHAnsi" w:hAnsiTheme="minorHAnsi" w:cstheme="minorHAnsi"/>
          <w:b/>
          <w:color w:val="2E74B5" w:themeColor="accent5" w:themeShade="BF"/>
          <w:szCs w:val="24"/>
          <w:lang w:val="en-GB"/>
        </w:rPr>
        <w:t>delicje</w:t>
      </w:r>
      <w:proofErr w:type="spellEnd"/>
      <w:r w:rsidRPr="00C67116">
        <w:rPr>
          <w:rFonts w:asciiTheme="minorHAnsi" w:hAnsiTheme="minorHAnsi" w:cstheme="minorHAnsi"/>
          <w:b/>
          <w:color w:val="2E74B5" w:themeColor="accent5" w:themeShade="BF"/>
          <w:szCs w:val="24"/>
          <w:lang w:val="en-GB"/>
        </w:rPr>
        <w:t xml:space="preserve"> biscuit R-116211 has been invalidated</w:t>
      </w:r>
      <w:r w:rsidRPr="00C67116">
        <w:rPr>
          <w:rFonts w:asciiTheme="minorHAnsi" w:hAnsiTheme="minorHAnsi" w:cstheme="minorHAnsi"/>
          <w:color w:val="2E74B5" w:themeColor="accent5" w:themeShade="BF"/>
          <w:szCs w:val="24"/>
          <w:shd w:val="clear" w:color="auto" w:fill="FFFFFF"/>
          <w:lang w:val="en-GB"/>
        </w:rPr>
        <w:t xml:space="preserve"> </w:t>
      </w:r>
    </w:p>
    <w:p w14:paraId="124E05AD" w14:textId="77777777" w:rsidR="0030504A" w:rsidRPr="00C67116" w:rsidRDefault="0030504A" w:rsidP="0030504A">
      <w:pPr>
        <w:spacing w:after="0"/>
        <w:jc w:val="right"/>
        <w:rPr>
          <w:rFonts w:cstheme="minorHAnsi"/>
          <w:sz w:val="24"/>
          <w:szCs w:val="24"/>
          <w:lang w:val="en-US"/>
        </w:rPr>
      </w:pPr>
    </w:p>
    <w:bookmarkEnd w:id="106"/>
    <w:p w14:paraId="4F05E497" w14:textId="77777777" w:rsidR="004314C4" w:rsidRDefault="004314C4" w:rsidP="00046454">
      <w:pPr>
        <w:pStyle w:val="nrbrzegowy2"/>
        <w:numPr>
          <w:ilvl w:val="0"/>
          <w:numId w:val="82"/>
        </w:numPr>
        <w:ind w:left="0" w:hanging="851"/>
      </w:pPr>
      <w:r w:rsidRPr="002428B7">
        <w:t>Decyzja U</w:t>
      </w:r>
      <w:r>
        <w:t xml:space="preserve">rzędu </w:t>
      </w:r>
      <w:r w:rsidRPr="002428B7">
        <w:t>P</w:t>
      </w:r>
      <w:r>
        <w:t>atentowego</w:t>
      </w:r>
      <w:r w:rsidRPr="002428B7">
        <w:t xml:space="preserve"> RP z 26.03.2003 r., którą unieważniono prawo z rejestracji przestrzennego znaku towarowego </w:t>
      </w:r>
      <w:r>
        <w:t xml:space="preserve">R-116211 </w:t>
      </w:r>
      <w:r w:rsidRPr="002428B7">
        <w:t xml:space="preserve">w postaci ciastka delicje </w:t>
      </w:r>
      <w:r>
        <w:t>ma duże znaczenie</w:t>
      </w:r>
      <w:r w:rsidRPr="002428B7">
        <w:t xml:space="preserve">, </w:t>
      </w:r>
      <w:r>
        <w:t xml:space="preserve">gdyż </w:t>
      </w:r>
      <w:r w:rsidRPr="0030504A">
        <w:rPr>
          <w:b/>
        </w:rPr>
        <w:t>zagraniczny koncern</w:t>
      </w:r>
      <w:r>
        <w:t>, który reprezentowali:</w:t>
      </w:r>
    </w:p>
    <w:p w14:paraId="301F53F1" w14:textId="77777777" w:rsidR="004314C4" w:rsidRPr="00EB1DB3" w:rsidRDefault="004314C4" w:rsidP="004314C4">
      <w:pPr>
        <w:spacing w:after="0"/>
        <w:ind w:firstLine="567"/>
        <w:jc w:val="both"/>
        <w:rPr>
          <w:sz w:val="6"/>
          <w:szCs w:val="6"/>
        </w:rPr>
      </w:pPr>
    </w:p>
    <w:p w14:paraId="3CE40B49" w14:textId="77777777" w:rsidR="004314C4" w:rsidRPr="001F6BE3" w:rsidRDefault="004314C4" w:rsidP="00355D81">
      <w:pPr>
        <w:pStyle w:val="Akapitzlist"/>
        <w:numPr>
          <w:ilvl w:val="0"/>
          <w:numId w:val="52"/>
        </w:numPr>
        <w:ind w:left="567" w:hanging="425"/>
        <w:jc w:val="both"/>
        <w:rPr>
          <w:sz w:val="24"/>
          <w:szCs w:val="24"/>
        </w:rPr>
      </w:pPr>
      <w:r w:rsidRPr="001F6BE3">
        <w:rPr>
          <w:sz w:val="24"/>
          <w:szCs w:val="24"/>
        </w:rPr>
        <w:t xml:space="preserve">Jarosław KULIKOWSKI, rzecznik </w:t>
      </w:r>
      <w:r>
        <w:rPr>
          <w:sz w:val="24"/>
          <w:szCs w:val="24"/>
        </w:rPr>
        <w:t>p</w:t>
      </w:r>
      <w:r w:rsidRPr="001F6BE3">
        <w:rPr>
          <w:sz w:val="24"/>
          <w:szCs w:val="24"/>
        </w:rPr>
        <w:t>atentowy</w:t>
      </w:r>
      <w:r>
        <w:rPr>
          <w:sz w:val="24"/>
          <w:szCs w:val="24"/>
        </w:rPr>
        <w:t>,</w:t>
      </w:r>
    </w:p>
    <w:p w14:paraId="1391B4FB" w14:textId="77777777" w:rsidR="004314C4" w:rsidRDefault="004314C4" w:rsidP="00355D81">
      <w:pPr>
        <w:pStyle w:val="Akapitzlist"/>
        <w:numPr>
          <w:ilvl w:val="0"/>
          <w:numId w:val="52"/>
        </w:numPr>
        <w:ind w:left="567" w:hanging="425"/>
        <w:jc w:val="both"/>
        <w:rPr>
          <w:sz w:val="24"/>
          <w:szCs w:val="24"/>
        </w:rPr>
      </w:pPr>
      <w:r w:rsidRPr="001F6BE3">
        <w:rPr>
          <w:sz w:val="24"/>
          <w:szCs w:val="24"/>
        </w:rPr>
        <w:t>Dorota RZĄŻ</w:t>
      </w:r>
      <w:r>
        <w:rPr>
          <w:sz w:val="24"/>
          <w:szCs w:val="24"/>
        </w:rPr>
        <w:t>E</w:t>
      </w:r>
      <w:r w:rsidRPr="001F6BE3">
        <w:rPr>
          <w:sz w:val="24"/>
          <w:szCs w:val="24"/>
        </w:rPr>
        <w:t>WSKA, rzeczniczka patentowa, radczyni prawna</w:t>
      </w:r>
    </w:p>
    <w:p w14:paraId="57D8C345" w14:textId="77777777" w:rsidR="004314C4" w:rsidRPr="008C06AD" w:rsidRDefault="004314C4" w:rsidP="004314C4">
      <w:pPr>
        <w:pStyle w:val="Akapitzlist"/>
        <w:ind w:left="567"/>
        <w:jc w:val="both"/>
        <w:rPr>
          <w:sz w:val="10"/>
          <w:szCs w:val="10"/>
        </w:rPr>
      </w:pPr>
    </w:p>
    <w:p w14:paraId="31C80FD9" w14:textId="22FF13BD" w:rsidR="004314C4" w:rsidRDefault="004314C4" w:rsidP="004314C4">
      <w:pPr>
        <w:spacing w:after="0"/>
        <w:jc w:val="both"/>
        <w:rPr>
          <w:sz w:val="24"/>
          <w:szCs w:val="24"/>
        </w:rPr>
      </w:pPr>
      <w:r>
        <w:rPr>
          <w:sz w:val="24"/>
          <w:szCs w:val="24"/>
        </w:rPr>
        <w:t xml:space="preserve">- </w:t>
      </w:r>
      <w:r w:rsidRPr="002428B7">
        <w:rPr>
          <w:sz w:val="24"/>
          <w:szCs w:val="24"/>
        </w:rPr>
        <w:t xml:space="preserve">powoływał się na rejestrację tego </w:t>
      </w:r>
      <w:r>
        <w:rPr>
          <w:sz w:val="24"/>
          <w:szCs w:val="24"/>
        </w:rPr>
        <w:t xml:space="preserve">przestrzennego </w:t>
      </w:r>
      <w:r w:rsidRPr="002428B7">
        <w:rPr>
          <w:sz w:val="24"/>
          <w:szCs w:val="24"/>
        </w:rPr>
        <w:t>znaku</w:t>
      </w:r>
      <w:r>
        <w:rPr>
          <w:sz w:val="24"/>
          <w:szCs w:val="24"/>
        </w:rPr>
        <w:t xml:space="preserve"> towarowego i </w:t>
      </w:r>
      <w:r w:rsidRPr="008C06AD">
        <w:rPr>
          <w:b/>
          <w:bCs/>
          <w:sz w:val="24"/>
          <w:szCs w:val="24"/>
        </w:rPr>
        <w:t xml:space="preserve">blokował produkcję </w:t>
      </w:r>
      <w:r w:rsidR="0030504A">
        <w:rPr>
          <w:sz w:val="24"/>
          <w:szCs w:val="24"/>
        </w:rPr>
        <w:t>(</w:t>
      </w:r>
      <w:r>
        <w:rPr>
          <w:sz w:val="24"/>
          <w:szCs w:val="24"/>
        </w:rPr>
        <w:t xml:space="preserve">lubianych i popularnych delicji) </w:t>
      </w:r>
      <w:r w:rsidRPr="008C06AD">
        <w:rPr>
          <w:b/>
          <w:bCs/>
          <w:sz w:val="24"/>
          <w:szCs w:val="24"/>
        </w:rPr>
        <w:t xml:space="preserve">w co najmniej pięciu polskich </w:t>
      </w:r>
      <w:r>
        <w:rPr>
          <w:b/>
          <w:bCs/>
          <w:sz w:val="24"/>
          <w:szCs w:val="24"/>
        </w:rPr>
        <w:t>fabrykach</w:t>
      </w:r>
      <w:r>
        <w:rPr>
          <w:sz w:val="24"/>
          <w:szCs w:val="24"/>
        </w:rPr>
        <w:t>, które reprezentowali:</w:t>
      </w:r>
    </w:p>
    <w:p w14:paraId="6314D33E" w14:textId="77777777" w:rsidR="004314C4" w:rsidRPr="005C52F6" w:rsidRDefault="004314C4" w:rsidP="004314C4">
      <w:pPr>
        <w:spacing w:after="0"/>
        <w:jc w:val="both"/>
        <w:rPr>
          <w:sz w:val="2"/>
          <w:szCs w:val="2"/>
        </w:rPr>
      </w:pPr>
    </w:p>
    <w:p w14:paraId="30F8E271" w14:textId="58797170" w:rsidR="004314C4" w:rsidRPr="003E221E" w:rsidRDefault="004314C4" w:rsidP="00355D81">
      <w:pPr>
        <w:pStyle w:val="Akapitzlist"/>
        <w:numPr>
          <w:ilvl w:val="0"/>
          <w:numId w:val="53"/>
        </w:numPr>
        <w:ind w:left="567" w:hanging="425"/>
        <w:jc w:val="both"/>
        <w:rPr>
          <w:sz w:val="24"/>
          <w:szCs w:val="24"/>
        </w:rPr>
      </w:pPr>
      <w:r w:rsidRPr="003E221E">
        <w:rPr>
          <w:sz w:val="24"/>
          <w:szCs w:val="24"/>
        </w:rPr>
        <w:t>Roman GĄSIOROWSKI</w:t>
      </w:r>
      <w:r w:rsidR="00EE2B2B">
        <w:rPr>
          <w:sz w:val="24"/>
          <w:szCs w:val="24"/>
        </w:rPr>
        <w:t>,</w:t>
      </w:r>
      <w:r w:rsidRPr="003E221E">
        <w:rPr>
          <w:sz w:val="24"/>
          <w:szCs w:val="24"/>
        </w:rPr>
        <w:t xml:space="preserve"> </w:t>
      </w:r>
      <w:r w:rsidRPr="001F6BE3">
        <w:rPr>
          <w:sz w:val="24"/>
          <w:szCs w:val="24"/>
        </w:rPr>
        <w:t xml:space="preserve">rzecznik </w:t>
      </w:r>
      <w:r>
        <w:rPr>
          <w:sz w:val="24"/>
          <w:szCs w:val="24"/>
        </w:rPr>
        <w:t>p</w:t>
      </w:r>
      <w:r w:rsidRPr="001F6BE3">
        <w:rPr>
          <w:sz w:val="24"/>
          <w:szCs w:val="24"/>
        </w:rPr>
        <w:t>atentowy</w:t>
      </w:r>
      <w:r>
        <w:rPr>
          <w:sz w:val="24"/>
          <w:szCs w:val="24"/>
        </w:rPr>
        <w:t>,</w:t>
      </w:r>
    </w:p>
    <w:p w14:paraId="5713D8A0" w14:textId="4601AA5B" w:rsidR="004314C4" w:rsidRDefault="004314C4" w:rsidP="00355D81">
      <w:pPr>
        <w:pStyle w:val="Akapitzlist"/>
        <w:numPr>
          <w:ilvl w:val="0"/>
          <w:numId w:val="52"/>
        </w:numPr>
        <w:ind w:left="567" w:hanging="425"/>
        <w:jc w:val="both"/>
        <w:rPr>
          <w:sz w:val="24"/>
          <w:szCs w:val="24"/>
        </w:rPr>
      </w:pPr>
      <w:r>
        <w:rPr>
          <w:sz w:val="24"/>
          <w:szCs w:val="24"/>
        </w:rPr>
        <w:t>Anna KORBELA</w:t>
      </w:r>
      <w:r w:rsidR="00EE2B2B">
        <w:rPr>
          <w:sz w:val="24"/>
          <w:szCs w:val="24"/>
        </w:rPr>
        <w:t>,</w:t>
      </w:r>
      <w:r w:rsidRPr="003E221E">
        <w:rPr>
          <w:sz w:val="24"/>
          <w:szCs w:val="24"/>
        </w:rPr>
        <w:t xml:space="preserve"> </w:t>
      </w:r>
      <w:r w:rsidRPr="001F6BE3">
        <w:rPr>
          <w:sz w:val="24"/>
          <w:szCs w:val="24"/>
        </w:rPr>
        <w:t>rzeczniczka patentowa, radczyni prawna</w:t>
      </w:r>
      <w:r>
        <w:rPr>
          <w:sz w:val="24"/>
          <w:szCs w:val="24"/>
        </w:rPr>
        <w:t>,</w:t>
      </w:r>
    </w:p>
    <w:p w14:paraId="2F6A4838" w14:textId="48F148A3" w:rsidR="004314C4" w:rsidRDefault="004314C4" w:rsidP="00355D81">
      <w:pPr>
        <w:pStyle w:val="Akapitzlist"/>
        <w:numPr>
          <w:ilvl w:val="0"/>
          <w:numId w:val="52"/>
        </w:numPr>
        <w:ind w:left="567" w:hanging="425"/>
        <w:jc w:val="both"/>
        <w:rPr>
          <w:sz w:val="24"/>
          <w:szCs w:val="24"/>
        </w:rPr>
      </w:pPr>
      <w:r>
        <w:rPr>
          <w:sz w:val="24"/>
          <w:szCs w:val="24"/>
        </w:rPr>
        <w:t>Grzegorz KOWALCZYK</w:t>
      </w:r>
      <w:r w:rsidR="00EE2B2B">
        <w:rPr>
          <w:sz w:val="24"/>
          <w:szCs w:val="24"/>
        </w:rPr>
        <w:t>,</w:t>
      </w:r>
      <w:r>
        <w:rPr>
          <w:sz w:val="24"/>
          <w:szCs w:val="24"/>
        </w:rPr>
        <w:t xml:space="preserve"> </w:t>
      </w:r>
      <w:r w:rsidRPr="001F6BE3">
        <w:rPr>
          <w:sz w:val="24"/>
          <w:szCs w:val="24"/>
        </w:rPr>
        <w:t>radc</w:t>
      </w:r>
      <w:r>
        <w:rPr>
          <w:sz w:val="24"/>
          <w:szCs w:val="24"/>
        </w:rPr>
        <w:t xml:space="preserve">a </w:t>
      </w:r>
      <w:r w:rsidRPr="001F6BE3">
        <w:rPr>
          <w:sz w:val="24"/>
          <w:szCs w:val="24"/>
        </w:rPr>
        <w:t>prawn</w:t>
      </w:r>
      <w:r>
        <w:rPr>
          <w:sz w:val="24"/>
          <w:szCs w:val="24"/>
        </w:rPr>
        <w:t>y,</w:t>
      </w:r>
    </w:p>
    <w:p w14:paraId="1B615ADF" w14:textId="6B7C7E69" w:rsidR="004314C4" w:rsidRDefault="004314C4" w:rsidP="00355D81">
      <w:pPr>
        <w:pStyle w:val="Akapitzlist"/>
        <w:numPr>
          <w:ilvl w:val="0"/>
          <w:numId w:val="53"/>
        </w:numPr>
        <w:ind w:left="567" w:hanging="425"/>
        <w:jc w:val="both"/>
        <w:rPr>
          <w:sz w:val="24"/>
          <w:szCs w:val="24"/>
        </w:rPr>
      </w:pPr>
      <w:r>
        <w:rPr>
          <w:sz w:val="24"/>
          <w:szCs w:val="24"/>
        </w:rPr>
        <w:t>Tadeusz REJMAN</w:t>
      </w:r>
      <w:r w:rsidR="00EE2B2B">
        <w:rPr>
          <w:sz w:val="24"/>
          <w:szCs w:val="24"/>
        </w:rPr>
        <w:t>,</w:t>
      </w:r>
      <w:r>
        <w:rPr>
          <w:sz w:val="24"/>
          <w:szCs w:val="24"/>
        </w:rPr>
        <w:t xml:space="preserve"> </w:t>
      </w:r>
      <w:r w:rsidRPr="001F6BE3">
        <w:rPr>
          <w:sz w:val="24"/>
          <w:szCs w:val="24"/>
        </w:rPr>
        <w:t xml:space="preserve">rzecznik </w:t>
      </w:r>
      <w:r>
        <w:rPr>
          <w:sz w:val="24"/>
          <w:szCs w:val="24"/>
        </w:rPr>
        <w:t>p</w:t>
      </w:r>
      <w:r w:rsidRPr="001F6BE3">
        <w:rPr>
          <w:sz w:val="24"/>
          <w:szCs w:val="24"/>
        </w:rPr>
        <w:t>atentowy</w:t>
      </w:r>
      <w:r>
        <w:rPr>
          <w:sz w:val="24"/>
          <w:szCs w:val="24"/>
        </w:rPr>
        <w:t>,</w:t>
      </w:r>
    </w:p>
    <w:p w14:paraId="00E7DE47" w14:textId="220A8340" w:rsidR="004314C4" w:rsidRDefault="004314C4" w:rsidP="00355D81">
      <w:pPr>
        <w:pStyle w:val="Akapitzlist"/>
        <w:numPr>
          <w:ilvl w:val="0"/>
          <w:numId w:val="53"/>
        </w:numPr>
        <w:ind w:left="567" w:hanging="425"/>
        <w:jc w:val="both"/>
        <w:rPr>
          <w:sz w:val="24"/>
          <w:szCs w:val="24"/>
        </w:rPr>
      </w:pPr>
      <w:r>
        <w:rPr>
          <w:sz w:val="24"/>
          <w:szCs w:val="24"/>
        </w:rPr>
        <w:t xml:space="preserve">Roman </w:t>
      </w:r>
      <w:r w:rsidRPr="003E221E">
        <w:rPr>
          <w:sz w:val="24"/>
          <w:szCs w:val="24"/>
        </w:rPr>
        <w:t>WOŁOWCZYK</w:t>
      </w:r>
      <w:r w:rsidR="00EE2B2B">
        <w:rPr>
          <w:sz w:val="24"/>
          <w:szCs w:val="24"/>
        </w:rPr>
        <w:t>,</w:t>
      </w:r>
      <w:r>
        <w:rPr>
          <w:sz w:val="24"/>
          <w:szCs w:val="24"/>
        </w:rPr>
        <w:t xml:space="preserve"> </w:t>
      </w:r>
      <w:r w:rsidRPr="001F6BE3">
        <w:rPr>
          <w:sz w:val="24"/>
          <w:szCs w:val="24"/>
        </w:rPr>
        <w:t xml:space="preserve">rzecznik </w:t>
      </w:r>
      <w:r>
        <w:rPr>
          <w:sz w:val="24"/>
          <w:szCs w:val="24"/>
        </w:rPr>
        <w:t>p</w:t>
      </w:r>
      <w:r w:rsidRPr="001F6BE3">
        <w:rPr>
          <w:sz w:val="24"/>
          <w:szCs w:val="24"/>
        </w:rPr>
        <w:t>atentowy</w:t>
      </w:r>
      <w:r>
        <w:rPr>
          <w:sz w:val="24"/>
          <w:szCs w:val="24"/>
        </w:rPr>
        <w:t>,</w:t>
      </w:r>
    </w:p>
    <w:p w14:paraId="5A470549" w14:textId="0859E088" w:rsidR="004314C4" w:rsidRDefault="004314C4" w:rsidP="00355D81">
      <w:pPr>
        <w:pStyle w:val="Akapitzlist"/>
        <w:numPr>
          <w:ilvl w:val="0"/>
          <w:numId w:val="53"/>
        </w:numPr>
        <w:ind w:left="567" w:hanging="425"/>
        <w:jc w:val="both"/>
        <w:rPr>
          <w:sz w:val="24"/>
          <w:szCs w:val="24"/>
        </w:rPr>
      </w:pPr>
      <w:r>
        <w:rPr>
          <w:sz w:val="24"/>
          <w:szCs w:val="24"/>
        </w:rPr>
        <w:t>Anna ZWOLIŃSKA-MYTKO</w:t>
      </w:r>
      <w:r w:rsidR="00EE2B2B">
        <w:rPr>
          <w:sz w:val="24"/>
          <w:szCs w:val="24"/>
        </w:rPr>
        <w:t>,</w:t>
      </w:r>
      <w:r>
        <w:rPr>
          <w:sz w:val="24"/>
          <w:szCs w:val="24"/>
        </w:rPr>
        <w:t xml:space="preserve"> </w:t>
      </w:r>
      <w:r w:rsidRPr="001F6BE3">
        <w:rPr>
          <w:sz w:val="24"/>
          <w:szCs w:val="24"/>
        </w:rPr>
        <w:t xml:space="preserve">rzecznik </w:t>
      </w:r>
      <w:r>
        <w:rPr>
          <w:sz w:val="24"/>
          <w:szCs w:val="24"/>
        </w:rPr>
        <w:t>p</w:t>
      </w:r>
      <w:r w:rsidRPr="001F6BE3">
        <w:rPr>
          <w:sz w:val="24"/>
          <w:szCs w:val="24"/>
        </w:rPr>
        <w:t>atentowy</w:t>
      </w:r>
      <w:r>
        <w:rPr>
          <w:sz w:val="24"/>
          <w:szCs w:val="24"/>
        </w:rPr>
        <w:t>.</w:t>
      </w:r>
    </w:p>
    <w:p w14:paraId="71A2A3E6" w14:textId="77777777" w:rsidR="004314C4" w:rsidRDefault="004314C4" w:rsidP="004314C4">
      <w:pPr>
        <w:pStyle w:val="Akapitzlist"/>
        <w:ind w:left="567"/>
        <w:jc w:val="both"/>
        <w:rPr>
          <w:sz w:val="2"/>
          <w:szCs w:val="2"/>
        </w:rPr>
      </w:pPr>
    </w:p>
    <w:p w14:paraId="33BF7F93" w14:textId="77777777" w:rsidR="00BD2A46" w:rsidRPr="00C67116" w:rsidRDefault="00BD2A46" w:rsidP="004314C4">
      <w:pPr>
        <w:pStyle w:val="Akapitzlist"/>
        <w:ind w:left="567"/>
        <w:jc w:val="both"/>
        <w:rPr>
          <w:sz w:val="2"/>
          <w:szCs w:val="2"/>
        </w:rPr>
      </w:pPr>
    </w:p>
    <w:p w14:paraId="08FEF262" w14:textId="77777777" w:rsidR="0030504A" w:rsidRPr="00C67116" w:rsidRDefault="0030504A" w:rsidP="004314C4">
      <w:pPr>
        <w:pStyle w:val="Akapitzlist"/>
        <w:ind w:left="567"/>
        <w:jc w:val="both"/>
        <w:rPr>
          <w:sz w:val="6"/>
          <w:szCs w:val="6"/>
        </w:rPr>
      </w:pPr>
    </w:p>
    <w:p w14:paraId="3B661413" w14:textId="77777777" w:rsidR="0030504A" w:rsidRDefault="004314C4" w:rsidP="00046454">
      <w:pPr>
        <w:pStyle w:val="nrbrzegowy2"/>
        <w:ind w:left="0" w:hanging="851"/>
      </w:pPr>
      <w:r>
        <w:t>W wyniku pozwów obcego giganta s</w:t>
      </w:r>
      <w:r w:rsidRPr="002428B7">
        <w:t xml:space="preserve">ytuacja dla polskich pracodawców i </w:t>
      </w:r>
      <w:r>
        <w:t xml:space="preserve">ich </w:t>
      </w:r>
      <w:r w:rsidRPr="002428B7">
        <w:t>pracowników była przerażająco groźna. S</w:t>
      </w:r>
      <w:r>
        <w:t>ędziowie s</w:t>
      </w:r>
      <w:r w:rsidRPr="002428B7">
        <w:t>ąd</w:t>
      </w:r>
      <w:r>
        <w:t>ów</w:t>
      </w:r>
      <w:r w:rsidRPr="002428B7">
        <w:t xml:space="preserve"> powszechn</w:t>
      </w:r>
      <w:r>
        <w:t>ych</w:t>
      </w:r>
      <w:r w:rsidRPr="002428B7">
        <w:t xml:space="preserve"> gubi</w:t>
      </w:r>
      <w:r>
        <w:t>li</w:t>
      </w:r>
      <w:r w:rsidRPr="002428B7">
        <w:t xml:space="preserve"> się w ocenie stanu prawnego</w:t>
      </w:r>
      <w:r>
        <w:t>.</w:t>
      </w:r>
      <w:r w:rsidRPr="002428B7">
        <w:t xml:space="preserve"> </w:t>
      </w:r>
      <w:r>
        <w:t xml:space="preserve">W </w:t>
      </w:r>
      <w:r w:rsidRPr="002428B7">
        <w:t>czterech przypadkach uwzględniono żądania koncernu</w:t>
      </w:r>
      <w:r>
        <w:t xml:space="preserve"> i w polskich sądach powszechnych zapadły orzeczenia zakazujące rodzimym przedsiębiorcom produkowania ciastek delicje</w:t>
      </w:r>
      <w:r w:rsidRPr="002428B7">
        <w:t>.</w:t>
      </w:r>
    </w:p>
    <w:p w14:paraId="30552725" w14:textId="77777777" w:rsidR="0030504A" w:rsidRPr="00C67116" w:rsidRDefault="0030504A" w:rsidP="00046454">
      <w:pPr>
        <w:pStyle w:val="nrbrzegowy2"/>
        <w:numPr>
          <w:ilvl w:val="0"/>
          <w:numId w:val="0"/>
        </w:numPr>
        <w:ind w:hanging="851"/>
        <w:rPr>
          <w:sz w:val="6"/>
          <w:szCs w:val="2"/>
        </w:rPr>
      </w:pPr>
    </w:p>
    <w:p w14:paraId="3FC1875C" w14:textId="77777777" w:rsidR="0030504A" w:rsidRPr="0030504A" w:rsidRDefault="004314C4" w:rsidP="00046454">
      <w:pPr>
        <w:pStyle w:val="nrbrzegowy2"/>
        <w:ind w:left="0" w:hanging="851"/>
      </w:pPr>
      <w:r w:rsidRPr="0030504A">
        <w:rPr>
          <w:szCs w:val="24"/>
        </w:rPr>
        <w:t xml:space="preserve">Wydawało się, że do uzdrowienia sytuacji może doprowadzić unieważnienie przestrzennego znaku towarowego R.116211. Doszło do wielomiesięcznego, trudnego procesu. </w:t>
      </w:r>
    </w:p>
    <w:p w14:paraId="7E72ACD5" w14:textId="77777777" w:rsidR="0030504A" w:rsidRPr="00C67116" w:rsidRDefault="0030504A" w:rsidP="00046454">
      <w:pPr>
        <w:pStyle w:val="Akapitzlist"/>
        <w:ind w:left="0" w:hanging="851"/>
        <w:rPr>
          <w:sz w:val="6"/>
          <w:szCs w:val="8"/>
        </w:rPr>
      </w:pPr>
    </w:p>
    <w:p w14:paraId="56E31076" w14:textId="77777777" w:rsidR="0030504A" w:rsidRPr="0030504A" w:rsidRDefault="004314C4" w:rsidP="00046454">
      <w:pPr>
        <w:pStyle w:val="nrbrzegowy2"/>
        <w:ind w:left="0" w:hanging="851"/>
      </w:pPr>
      <w:r w:rsidRPr="0030504A">
        <w:rPr>
          <w:szCs w:val="24"/>
        </w:rPr>
        <w:t xml:space="preserve">Ostatnie posiedzenie w tej sprawie trwało blisko dziesięć godzin. W dniu 26.03.2003 r. o godz. 22:00 Pani Ekspert Magdalena ZAMILSKA ogłosiła decyzję Urzędu Patentowego RP o unieważnieniu prawa z rejestracji znaku R.116211. </w:t>
      </w:r>
    </w:p>
    <w:p w14:paraId="5FFB6B36" w14:textId="77777777" w:rsidR="0030504A" w:rsidRPr="00C67116" w:rsidRDefault="0030504A" w:rsidP="00046454">
      <w:pPr>
        <w:pStyle w:val="Akapitzlist"/>
        <w:ind w:left="0" w:hanging="851"/>
        <w:rPr>
          <w:sz w:val="6"/>
          <w:szCs w:val="8"/>
        </w:rPr>
      </w:pPr>
    </w:p>
    <w:p w14:paraId="582F0A8D" w14:textId="77777777" w:rsidR="00821E4C" w:rsidRPr="00821E4C" w:rsidRDefault="004314C4" w:rsidP="00046454">
      <w:pPr>
        <w:pStyle w:val="nrbrzegowy2"/>
        <w:ind w:left="0" w:hanging="851"/>
      </w:pPr>
      <w:r w:rsidRPr="0030504A">
        <w:rPr>
          <w:szCs w:val="24"/>
        </w:rPr>
        <w:t xml:space="preserve">Sędziowie sądów powszechnych </w:t>
      </w:r>
      <w:r w:rsidR="0030504A">
        <w:rPr>
          <w:szCs w:val="24"/>
        </w:rPr>
        <w:t xml:space="preserve">najczęściej </w:t>
      </w:r>
      <w:r w:rsidRPr="0030504A">
        <w:rPr>
          <w:szCs w:val="24"/>
        </w:rPr>
        <w:t xml:space="preserve">nie potrafili </w:t>
      </w:r>
      <w:r w:rsidR="0030504A">
        <w:rPr>
          <w:szCs w:val="24"/>
        </w:rPr>
        <w:t xml:space="preserve">jednak - nawet po unieważnieniu niefortunnie zarejestrowanego przestrzennego znaku towarowego </w:t>
      </w:r>
      <w:r w:rsidR="00821E4C">
        <w:rPr>
          <w:szCs w:val="24"/>
        </w:rPr>
        <w:t>–</w:t>
      </w:r>
      <w:r w:rsidR="0030504A">
        <w:rPr>
          <w:szCs w:val="24"/>
        </w:rPr>
        <w:t xml:space="preserve"> </w:t>
      </w:r>
      <w:r w:rsidR="00821E4C">
        <w:rPr>
          <w:szCs w:val="24"/>
        </w:rPr>
        <w:t xml:space="preserve">prawidłowo </w:t>
      </w:r>
      <w:r w:rsidRPr="0030504A">
        <w:rPr>
          <w:szCs w:val="24"/>
        </w:rPr>
        <w:t>oceni</w:t>
      </w:r>
      <w:r w:rsidR="00821E4C">
        <w:rPr>
          <w:szCs w:val="24"/>
        </w:rPr>
        <w:t xml:space="preserve">ć </w:t>
      </w:r>
      <w:r w:rsidRPr="0030504A">
        <w:rPr>
          <w:szCs w:val="24"/>
        </w:rPr>
        <w:t xml:space="preserve">tej decyzji, jako automatycznie przesądzającej o braku podstaw faktycznych i prawnych pozwów wniesionych przez pełnomocników Lu Polska Spółka Akcyjna. </w:t>
      </w:r>
    </w:p>
    <w:p w14:paraId="1FB4B8B7" w14:textId="77777777" w:rsidR="00821E4C" w:rsidRPr="00C67116" w:rsidRDefault="00821E4C" w:rsidP="00046454">
      <w:pPr>
        <w:pStyle w:val="Akapitzlist"/>
        <w:ind w:left="0" w:hanging="851"/>
        <w:rPr>
          <w:sz w:val="6"/>
          <w:szCs w:val="8"/>
        </w:rPr>
      </w:pPr>
    </w:p>
    <w:p w14:paraId="7031879F" w14:textId="4D2CAC9B" w:rsidR="004314C4" w:rsidRPr="00821E4C" w:rsidRDefault="004314C4" w:rsidP="00046454">
      <w:pPr>
        <w:pStyle w:val="nrbrzegowy2"/>
        <w:ind w:left="0" w:hanging="851"/>
      </w:pPr>
      <w:r w:rsidRPr="00821E4C">
        <w:rPr>
          <w:szCs w:val="24"/>
        </w:rPr>
        <w:t xml:space="preserve">Sędziowie sądów powszechnych nie potrafili ocenić opisanej tu sytuacji, gdyż </w:t>
      </w:r>
      <w:r w:rsidR="002C291D">
        <w:rPr>
          <w:szCs w:val="24"/>
        </w:rPr>
        <w:t xml:space="preserve">trudna </w:t>
      </w:r>
      <w:r w:rsidRPr="00821E4C">
        <w:rPr>
          <w:szCs w:val="24"/>
        </w:rPr>
        <w:t>aplikacj</w:t>
      </w:r>
      <w:r w:rsidR="002C291D">
        <w:rPr>
          <w:szCs w:val="24"/>
        </w:rPr>
        <w:t>a</w:t>
      </w:r>
      <w:r w:rsidRPr="00821E4C">
        <w:rPr>
          <w:szCs w:val="24"/>
        </w:rPr>
        <w:t xml:space="preserve"> sędziowsk</w:t>
      </w:r>
      <w:r w:rsidR="002C291D">
        <w:rPr>
          <w:szCs w:val="24"/>
        </w:rPr>
        <w:t>a</w:t>
      </w:r>
      <w:r w:rsidRPr="00821E4C">
        <w:rPr>
          <w:szCs w:val="24"/>
        </w:rPr>
        <w:t xml:space="preserve"> i pomyślnie </w:t>
      </w:r>
      <w:r w:rsidR="002C291D">
        <w:rPr>
          <w:szCs w:val="24"/>
        </w:rPr>
        <w:t xml:space="preserve">zdany wielokierunkowy </w:t>
      </w:r>
      <w:r w:rsidRPr="00821E4C">
        <w:rPr>
          <w:szCs w:val="24"/>
        </w:rPr>
        <w:t xml:space="preserve">egzamin sędziowski (w czasie którego kontrolowana jest wiedza z przeogromnego zakresu) </w:t>
      </w:r>
      <w:r w:rsidR="002C291D">
        <w:rPr>
          <w:szCs w:val="24"/>
        </w:rPr>
        <w:t>nie przygotowuje do rozpatrywania spraw w dziedzinie własności przemysłowej. P</w:t>
      </w:r>
      <w:r w:rsidRPr="00821E4C">
        <w:rPr>
          <w:szCs w:val="24"/>
        </w:rPr>
        <w:t xml:space="preserve">rawo IP analizowane jest powierzchownie i przyszli sędziowie nie byli i nie są </w:t>
      </w:r>
      <w:r w:rsidR="002C291D">
        <w:rPr>
          <w:szCs w:val="24"/>
        </w:rPr>
        <w:t xml:space="preserve">obecnie </w:t>
      </w:r>
      <w:r w:rsidRPr="00821E4C">
        <w:rPr>
          <w:szCs w:val="24"/>
        </w:rPr>
        <w:t>przygotowywani do rozpoznawania tych spraw. Kapitał swej wiedzy musz</w:t>
      </w:r>
      <w:r w:rsidR="002C291D">
        <w:rPr>
          <w:szCs w:val="24"/>
        </w:rPr>
        <w:t>ą</w:t>
      </w:r>
      <w:r w:rsidRPr="00821E4C">
        <w:rPr>
          <w:szCs w:val="24"/>
        </w:rPr>
        <w:t xml:space="preserve"> zbudować sami.</w:t>
      </w:r>
    </w:p>
    <w:p w14:paraId="372CE2C9" w14:textId="77777777" w:rsidR="004314C4" w:rsidRDefault="004314C4" w:rsidP="00046454">
      <w:pPr>
        <w:spacing w:after="0"/>
        <w:ind w:hanging="851"/>
        <w:jc w:val="both"/>
        <w:rPr>
          <w:sz w:val="24"/>
          <w:szCs w:val="24"/>
        </w:rPr>
      </w:pPr>
    </w:p>
    <w:p w14:paraId="500514F5" w14:textId="77777777" w:rsidR="004314C4" w:rsidRDefault="004314C4" w:rsidP="00046454">
      <w:pPr>
        <w:pStyle w:val="nrbrzegowy2"/>
        <w:ind w:left="0" w:hanging="851"/>
      </w:pPr>
      <w:r>
        <w:t>W sądach powszechnych czekano na uprawomocnienie się decyzji Urzędu Patentowego o unieważnieniu przestrzennego znaku towarowego (mimo że była ona ostateczna w administracyjnym toku instancji).</w:t>
      </w:r>
    </w:p>
    <w:p w14:paraId="6E01CFF8" w14:textId="571ABD7E" w:rsidR="004314C4" w:rsidRDefault="004314C4" w:rsidP="00046454">
      <w:pPr>
        <w:pStyle w:val="nrbrzegowy2"/>
        <w:ind w:left="0" w:hanging="851"/>
      </w:pPr>
      <w:r>
        <w:lastRenderedPageBreak/>
        <w:t xml:space="preserve">Prawidłowe ocenienie sytuacji i oddalenie bezpodstawnych pozwów Lu Polska S.A. utrudniało to, że </w:t>
      </w:r>
      <w:r w:rsidRPr="00C67116">
        <w:rPr>
          <w:b/>
          <w:bCs w:val="0"/>
        </w:rPr>
        <w:t>gdy broniący się polscy przedsiębiorcy okazywali sądom</w:t>
      </w:r>
      <w:r>
        <w:t xml:space="preserve"> </w:t>
      </w:r>
      <w:r w:rsidRPr="00C67116">
        <w:rPr>
          <w:b/>
          <w:bCs w:val="0"/>
        </w:rPr>
        <w:t>decyzję Urzędu Patentowego RP o unieważnieniu znaku R-116211</w:t>
      </w:r>
      <w:r>
        <w:t xml:space="preserve"> - wówczas pełnomocnicy spółki </w:t>
      </w:r>
      <w:r w:rsidRPr="002428B7">
        <w:t>Lu Polska S</w:t>
      </w:r>
      <w:r>
        <w:t>.</w:t>
      </w:r>
      <w:r w:rsidRPr="002428B7">
        <w:t>A</w:t>
      </w:r>
      <w:r>
        <w:t xml:space="preserve">. </w:t>
      </w:r>
      <w:r w:rsidR="00C67116">
        <w:t xml:space="preserve">(wcześniej uprawnionej z tytułu rejestracji tego znaku towarowego) </w:t>
      </w:r>
      <w:r>
        <w:t xml:space="preserve">przedkładali równolegle wydaną, </w:t>
      </w:r>
      <w:r w:rsidRPr="00C36F26">
        <w:rPr>
          <w:color w:val="FF0000"/>
        </w:rPr>
        <w:t xml:space="preserve">decyzję Urzędu Patentowego RP </w:t>
      </w:r>
      <w:r>
        <w:t xml:space="preserve">o </w:t>
      </w:r>
      <w:r w:rsidRPr="00C67116">
        <w:rPr>
          <w:color w:val="FF0000"/>
        </w:rPr>
        <w:t>przedłużeniu ochrony na unieważniony już znak towarowy</w:t>
      </w:r>
      <w:r w:rsidR="00BD2A46">
        <w:rPr>
          <w:color w:val="FF0000"/>
        </w:rPr>
        <w:t xml:space="preserve"> </w:t>
      </w:r>
      <w:r w:rsidR="00BD2A46" w:rsidRPr="00BD2A46">
        <w:t>(</w:t>
      </w:r>
      <w:r w:rsidR="00BD2A46">
        <w:t>temat ten wart jest odrębnego omówienia</w:t>
      </w:r>
      <w:r w:rsidR="00FA06B3">
        <w:t xml:space="preserve"> i zostanie przy</w:t>
      </w:r>
      <w:r w:rsidR="00F05F12">
        <w:t>bl</w:t>
      </w:r>
      <w:r w:rsidR="00FA06B3">
        <w:t>i</w:t>
      </w:r>
      <w:r w:rsidR="00F05F12">
        <w:t>ż</w:t>
      </w:r>
      <w:r w:rsidR="00FA06B3">
        <w:t>ony</w:t>
      </w:r>
      <w:r w:rsidR="00F05F12">
        <w:t xml:space="preserve"> Czytelnikom</w:t>
      </w:r>
      <w:r w:rsidR="00BD2A46" w:rsidRPr="00BD2A46">
        <w:t>)</w:t>
      </w:r>
      <w:r>
        <w:t>.</w:t>
      </w:r>
    </w:p>
    <w:p w14:paraId="3BC435FE" w14:textId="77777777" w:rsidR="002C291D" w:rsidRPr="00C67116" w:rsidRDefault="002C291D" w:rsidP="00046454">
      <w:pPr>
        <w:spacing w:after="0"/>
        <w:ind w:hanging="851"/>
        <w:jc w:val="both"/>
        <w:rPr>
          <w:sz w:val="6"/>
          <w:szCs w:val="6"/>
        </w:rPr>
      </w:pPr>
    </w:p>
    <w:p w14:paraId="14AF3FA7" w14:textId="45E6A13B" w:rsidR="004314C4" w:rsidRDefault="004314C4" w:rsidP="00046454">
      <w:pPr>
        <w:pStyle w:val="nrbrzegowy2"/>
        <w:ind w:left="0" w:hanging="851"/>
      </w:pPr>
      <w:r w:rsidRPr="00C67116">
        <w:rPr>
          <w:b/>
          <w:bCs w:val="0"/>
        </w:rPr>
        <w:t>Historia procesów o ciasteczko delicje</w:t>
      </w:r>
      <w:r>
        <w:t xml:space="preserve"> świetnie </w:t>
      </w:r>
      <w:r w:rsidRPr="00C67116">
        <w:rPr>
          <w:b/>
          <w:bCs w:val="0"/>
        </w:rPr>
        <w:t>ilustruje niedostatki polskiego systemu ochrony własności intelektualnej</w:t>
      </w:r>
      <w:r>
        <w:t>.</w:t>
      </w:r>
    </w:p>
    <w:p w14:paraId="2229A683" w14:textId="77777777" w:rsidR="004314C4" w:rsidRPr="00C67116" w:rsidRDefault="004314C4" w:rsidP="00046454">
      <w:pPr>
        <w:spacing w:after="0"/>
        <w:ind w:hanging="851"/>
        <w:jc w:val="both"/>
        <w:rPr>
          <w:sz w:val="6"/>
          <w:szCs w:val="6"/>
        </w:rPr>
      </w:pPr>
    </w:p>
    <w:p w14:paraId="61845EAB" w14:textId="3A2AA960" w:rsidR="004314C4" w:rsidRPr="00C67116" w:rsidRDefault="004314C4" w:rsidP="00046454">
      <w:pPr>
        <w:pStyle w:val="nrbrzegowy2"/>
        <w:ind w:left="0" w:hanging="851"/>
      </w:pPr>
      <w:r w:rsidRPr="00C67116">
        <w:rPr>
          <w:b/>
          <w:bCs w:val="0"/>
        </w:rPr>
        <w:t>Grę</w:t>
      </w:r>
      <w:r>
        <w:t xml:space="preserve"> o ciasteczko delicje </w:t>
      </w:r>
      <w:r w:rsidRPr="00C67116">
        <w:rPr>
          <w:b/>
          <w:bCs w:val="0"/>
        </w:rPr>
        <w:t>przetrwały tylko niektóre polskie przedsiębiorstwa</w:t>
      </w:r>
      <w:r>
        <w:t>.</w:t>
      </w:r>
      <w:r w:rsidRPr="002428B7">
        <w:rPr>
          <w:noProof/>
        </w:rPr>
        <w:drawing>
          <wp:anchor distT="0" distB="0" distL="114300" distR="114300" simplePos="0" relativeHeight="252312576" behindDoc="0" locked="0" layoutInCell="1" allowOverlap="1" wp14:anchorId="21B2CDEC" wp14:editId="63928AE2">
            <wp:simplePos x="0" y="0"/>
            <wp:positionH relativeFrom="column">
              <wp:posOffset>1521536</wp:posOffset>
            </wp:positionH>
            <wp:positionV relativeFrom="paragraph">
              <wp:posOffset>174854</wp:posOffset>
            </wp:positionV>
            <wp:extent cx="3094330" cy="2324963"/>
            <wp:effectExtent l="0" t="0" r="0" b="0"/>
            <wp:wrapNone/>
            <wp:docPr id="1207982258" name="Obraz 18" descr="Obraz zawierający jedzenie, czerwo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82258" name="Obraz 18" descr="Obraz zawierający jedzenie, czerwony&#10;&#10;Opis wygenerowany automatyczni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04482" cy="23325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30A608" w14:textId="77777777" w:rsidR="004314C4" w:rsidRPr="00EC4F25" w:rsidRDefault="004314C4" w:rsidP="004314C4">
      <w:pPr>
        <w:spacing w:after="0"/>
        <w:rPr>
          <w:b/>
          <w:bCs/>
        </w:rPr>
      </w:pPr>
    </w:p>
    <w:p w14:paraId="1B5E4791" w14:textId="77777777" w:rsidR="004314C4" w:rsidRDefault="004314C4" w:rsidP="004314C4">
      <w:pPr>
        <w:spacing w:after="0"/>
        <w:rPr>
          <w:b/>
          <w:bCs/>
        </w:rPr>
      </w:pPr>
    </w:p>
    <w:p w14:paraId="0AEC442B" w14:textId="77777777" w:rsidR="004314C4" w:rsidRDefault="004314C4" w:rsidP="004314C4">
      <w:pPr>
        <w:spacing w:after="0"/>
        <w:rPr>
          <w:b/>
          <w:bCs/>
        </w:rPr>
      </w:pPr>
    </w:p>
    <w:p w14:paraId="24FFEBD5" w14:textId="77777777" w:rsidR="004314C4" w:rsidRDefault="004314C4" w:rsidP="004314C4">
      <w:pPr>
        <w:spacing w:after="0"/>
        <w:rPr>
          <w:b/>
          <w:bCs/>
        </w:rPr>
      </w:pPr>
    </w:p>
    <w:p w14:paraId="0907056D" w14:textId="77777777" w:rsidR="004314C4" w:rsidRDefault="004314C4" w:rsidP="004314C4">
      <w:pPr>
        <w:spacing w:after="0"/>
        <w:rPr>
          <w:b/>
          <w:bCs/>
        </w:rPr>
      </w:pPr>
    </w:p>
    <w:p w14:paraId="6D67DF2B" w14:textId="77777777" w:rsidR="004314C4" w:rsidRDefault="004314C4" w:rsidP="004314C4">
      <w:pPr>
        <w:spacing w:after="0"/>
        <w:rPr>
          <w:b/>
          <w:bCs/>
        </w:rPr>
      </w:pPr>
    </w:p>
    <w:p w14:paraId="44E953C8" w14:textId="77777777" w:rsidR="004314C4" w:rsidRDefault="004314C4" w:rsidP="004314C4">
      <w:pPr>
        <w:spacing w:after="0"/>
        <w:rPr>
          <w:b/>
          <w:bCs/>
        </w:rPr>
      </w:pPr>
    </w:p>
    <w:p w14:paraId="463FED82" w14:textId="77777777" w:rsidR="004314C4" w:rsidRDefault="004314C4" w:rsidP="004314C4">
      <w:pPr>
        <w:spacing w:after="0"/>
        <w:rPr>
          <w:b/>
          <w:bCs/>
        </w:rPr>
      </w:pPr>
    </w:p>
    <w:p w14:paraId="1D876381" w14:textId="77777777" w:rsidR="004314C4" w:rsidRPr="00EC4F25" w:rsidRDefault="004314C4" w:rsidP="004314C4">
      <w:pPr>
        <w:spacing w:after="0"/>
        <w:rPr>
          <w:b/>
          <w:bCs/>
        </w:rPr>
      </w:pPr>
    </w:p>
    <w:p w14:paraId="6E010615" w14:textId="77777777" w:rsidR="004314C4" w:rsidRDefault="004314C4" w:rsidP="004314C4">
      <w:pPr>
        <w:spacing w:after="0"/>
        <w:rPr>
          <w:b/>
          <w:bCs/>
        </w:rPr>
      </w:pPr>
    </w:p>
    <w:p w14:paraId="385332A4" w14:textId="77777777" w:rsidR="004314C4" w:rsidRDefault="004314C4" w:rsidP="004314C4">
      <w:pPr>
        <w:spacing w:after="0"/>
        <w:rPr>
          <w:b/>
          <w:bCs/>
        </w:rPr>
      </w:pPr>
    </w:p>
    <w:p w14:paraId="6ACA7D57" w14:textId="77777777" w:rsidR="004314C4" w:rsidRPr="00EC4F25" w:rsidRDefault="004314C4" w:rsidP="004314C4">
      <w:pPr>
        <w:spacing w:after="0"/>
        <w:rPr>
          <w:b/>
          <w:bCs/>
        </w:rPr>
      </w:pPr>
    </w:p>
    <w:p w14:paraId="7537628C" w14:textId="77777777" w:rsidR="004314C4" w:rsidRDefault="004314C4" w:rsidP="004314C4">
      <w:pPr>
        <w:spacing w:after="0"/>
        <w:rPr>
          <w:b/>
          <w:bCs/>
          <w:sz w:val="24"/>
          <w:szCs w:val="24"/>
        </w:rPr>
      </w:pPr>
    </w:p>
    <w:p w14:paraId="3BD6F7B9" w14:textId="77777777" w:rsidR="00C67116" w:rsidRDefault="00C67116" w:rsidP="00C67116">
      <w:pPr>
        <w:spacing w:after="0" w:line="240" w:lineRule="auto"/>
        <w:jc w:val="center"/>
        <w:rPr>
          <w:b/>
          <w:bCs/>
          <w:sz w:val="24"/>
          <w:szCs w:val="24"/>
        </w:rPr>
      </w:pPr>
      <w:r w:rsidRPr="000420EF">
        <w:rPr>
          <w:b/>
          <w:bCs/>
          <w:noProof/>
          <w:sz w:val="24"/>
          <w:szCs w:val="24"/>
        </w:rPr>
        <w:drawing>
          <wp:inline distT="0" distB="0" distL="0" distR="0" wp14:anchorId="794E656F" wp14:editId="4F964404">
            <wp:extent cx="409632" cy="152421"/>
            <wp:effectExtent l="0" t="0" r="9525" b="0"/>
            <wp:docPr id="18548656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153605" name=""/>
                    <pic:cNvPicPr/>
                  </pic:nvPicPr>
                  <pic:blipFill>
                    <a:blip r:embed="rId74"/>
                    <a:stretch>
                      <a:fillRect/>
                    </a:stretch>
                  </pic:blipFill>
                  <pic:spPr>
                    <a:xfrm>
                      <a:off x="0" y="0"/>
                      <a:ext cx="409632" cy="152421"/>
                    </a:xfrm>
                    <a:prstGeom prst="rect">
                      <a:avLst/>
                    </a:prstGeom>
                  </pic:spPr>
                </pic:pic>
              </a:graphicData>
            </a:graphic>
          </wp:inline>
        </w:drawing>
      </w:r>
    </w:p>
    <w:p w14:paraId="40EA5457" w14:textId="77777777" w:rsidR="00C67116" w:rsidRPr="007245E7" w:rsidRDefault="00C67116" w:rsidP="00C67116">
      <w:pPr>
        <w:spacing w:after="0" w:line="240" w:lineRule="auto"/>
        <w:rPr>
          <w:b/>
          <w:bCs/>
          <w:kern w:val="0"/>
          <w:sz w:val="24"/>
          <w:szCs w:val="24"/>
          <w:lang w:val="en-US"/>
        </w:rPr>
      </w:pPr>
      <w:proofErr w:type="spellStart"/>
      <w:r w:rsidRPr="007245E7">
        <w:rPr>
          <w:b/>
          <w:bCs/>
          <w:sz w:val="24"/>
          <w:szCs w:val="24"/>
          <w:lang w:val="en-US"/>
        </w:rPr>
        <w:t>Podsumowanie</w:t>
      </w:r>
      <w:proofErr w:type="spellEnd"/>
      <w:r w:rsidRPr="007245E7">
        <w:rPr>
          <w:b/>
          <w:bCs/>
          <w:sz w:val="24"/>
          <w:szCs w:val="24"/>
          <w:lang w:val="en-US"/>
        </w:rPr>
        <w:t xml:space="preserve"> </w:t>
      </w:r>
      <w:proofErr w:type="spellStart"/>
      <w:r w:rsidRPr="007245E7">
        <w:rPr>
          <w:b/>
          <w:bCs/>
          <w:sz w:val="24"/>
          <w:szCs w:val="24"/>
          <w:lang w:val="en-US"/>
        </w:rPr>
        <w:t>uwag</w:t>
      </w:r>
      <w:proofErr w:type="spellEnd"/>
      <w:r w:rsidRPr="007245E7">
        <w:rPr>
          <w:b/>
          <w:bCs/>
          <w:sz w:val="24"/>
          <w:szCs w:val="24"/>
          <w:lang w:val="en-US"/>
        </w:rPr>
        <w:t xml:space="preserve"> </w:t>
      </w:r>
      <w:proofErr w:type="spellStart"/>
      <w:r w:rsidRPr="007245E7">
        <w:rPr>
          <w:b/>
          <w:bCs/>
          <w:sz w:val="24"/>
          <w:szCs w:val="24"/>
          <w:lang w:val="en-US"/>
        </w:rPr>
        <w:t>Redakcji</w:t>
      </w:r>
      <w:proofErr w:type="spellEnd"/>
      <w:r w:rsidRPr="007245E7">
        <w:rPr>
          <w:sz w:val="24"/>
          <w:szCs w:val="24"/>
          <w:lang w:val="en-US"/>
        </w:rPr>
        <w:t>:</w:t>
      </w:r>
    </w:p>
    <w:p w14:paraId="30B34388" w14:textId="721A71DC" w:rsidR="00A15AF9" w:rsidRPr="007245E7" w:rsidRDefault="00A15AF9" w:rsidP="00A15AF9">
      <w:pPr>
        <w:spacing w:after="0" w:line="240" w:lineRule="auto"/>
        <w:rPr>
          <w:b/>
          <w:bCs/>
          <w:color w:val="2E74B5" w:themeColor="accent5" w:themeShade="BF"/>
          <w:kern w:val="0"/>
          <w:sz w:val="24"/>
          <w:szCs w:val="24"/>
          <w:lang w:val="en-US"/>
        </w:rPr>
      </w:pPr>
      <w:r w:rsidRPr="007245E7">
        <w:rPr>
          <w:b/>
          <w:bCs/>
          <w:color w:val="2E74B5" w:themeColor="accent5" w:themeShade="BF"/>
          <w:kern w:val="0"/>
          <w:sz w:val="24"/>
          <w:szCs w:val="24"/>
          <w:lang w:val="en-US"/>
        </w:rPr>
        <w:t xml:space="preserve">Conclusion </w:t>
      </w:r>
      <w:r w:rsidR="00171978" w:rsidRPr="007245E7">
        <w:rPr>
          <w:b/>
          <w:bCs/>
          <w:color w:val="2E74B5" w:themeColor="accent5" w:themeShade="BF"/>
          <w:kern w:val="0"/>
          <w:sz w:val="24"/>
          <w:szCs w:val="24"/>
          <w:lang w:val="en-US"/>
        </w:rPr>
        <w:t xml:space="preserve">of </w:t>
      </w:r>
      <w:r w:rsidRPr="007245E7">
        <w:rPr>
          <w:b/>
          <w:bCs/>
          <w:color w:val="2E74B5" w:themeColor="accent5" w:themeShade="BF"/>
          <w:kern w:val="0"/>
          <w:sz w:val="24"/>
          <w:szCs w:val="24"/>
          <w:lang w:val="en-US"/>
        </w:rPr>
        <w:t>Editor's Note:</w:t>
      </w:r>
    </w:p>
    <w:p w14:paraId="35A25C14" w14:textId="77777777" w:rsidR="00A15AF9" w:rsidRPr="007245E7" w:rsidRDefault="00A15AF9" w:rsidP="00C67116">
      <w:pPr>
        <w:spacing w:after="0" w:line="240" w:lineRule="auto"/>
        <w:rPr>
          <w:kern w:val="0"/>
          <w:sz w:val="10"/>
          <w:szCs w:val="10"/>
          <w:lang w:val="en-US"/>
        </w:rPr>
      </w:pPr>
    </w:p>
    <w:p w14:paraId="1EE482AF" w14:textId="76F90E5E" w:rsidR="00C67116" w:rsidRPr="00E85F7C" w:rsidRDefault="00E85F7C" w:rsidP="00C67116">
      <w:pPr>
        <w:spacing w:after="0" w:line="240" w:lineRule="auto"/>
        <w:rPr>
          <w:kern w:val="0"/>
          <w:sz w:val="24"/>
          <w:szCs w:val="24"/>
        </w:rPr>
      </w:pPr>
      <w:r w:rsidRPr="00E85F7C">
        <w:rPr>
          <w:kern w:val="0"/>
          <w:sz w:val="24"/>
          <w:szCs w:val="24"/>
        </w:rPr>
        <w:t xml:space="preserve">Decyzja Urzędu Patentowego RP z dnia 26.03.2003 r., która unieważniła prawo z rejestracji znaku towarowego w kształcie 3D w postaci ciastka delicje </w:t>
      </w:r>
      <w:r w:rsidR="00A15AF9">
        <w:rPr>
          <w:kern w:val="0"/>
          <w:sz w:val="24"/>
          <w:szCs w:val="24"/>
        </w:rPr>
        <w:t>-</w:t>
      </w:r>
      <w:r w:rsidRPr="00E85F7C">
        <w:rPr>
          <w:kern w:val="0"/>
          <w:sz w:val="24"/>
          <w:szCs w:val="24"/>
        </w:rPr>
        <w:t xml:space="preserve"> jest niezwykle istotna, gdyż zagraniczny koncern powołał się na rejestrację tego znaku i tym samym zablokował produkcję tych ciasteczek w co najmniej pięciu polskich przedsiębiorstwach.</w:t>
      </w:r>
    </w:p>
    <w:p w14:paraId="7E67FC00" w14:textId="77777777" w:rsidR="00E85F7C" w:rsidRDefault="00CB51B3" w:rsidP="00E85F7C">
      <w:pPr>
        <w:spacing w:after="0"/>
        <w:rPr>
          <w:rFonts w:cstheme="minorHAnsi"/>
          <w:color w:val="2E74B5" w:themeColor="accent5" w:themeShade="BF"/>
          <w:shd w:val="clear" w:color="auto" w:fill="FFFFFF"/>
          <w:lang w:val="en-GB"/>
        </w:rPr>
      </w:pPr>
      <w:r w:rsidRPr="00C67116">
        <w:rPr>
          <w:rFonts w:cstheme="minorHAnsi"/>
          <w:color w:val="2E74B5" w:themeColor="accent5" w:themeShade="BF"/>
          <w:shd w:val="clear" w:color="auto" w:fill="FFFFFF"/>
          <w:lang w:val="en-GB"/>
        </w:rPr>
        <w:t xml:space="preserve">The decision of the Polish Patent Office of 26.03.2003, which invalidated the registration right to a 3D shape </w:t>
      </w:r>
      <w:proofErr w:type="gramStart"/>
      <w:r w:rsidRPr="00C67116">
        <w:rPr>
          <w:rFonts w:cstheme="minorHAnsi"/>
          <w:color w:val="2E74B5" w:themeColor="accent5" w:themeShade="BF"/>
          <w:shd w:val="clear" w:color="auto" w:fill="FFFFFF"/>
          <w:lang w:val="en-GB"/>
        </w:rPr>
        <w:t>trade mark</w:t>
      </w:r>
      <w:proofErr w:type="gramEnd"/>
      <w:r w:rsidRPr="00C67116">
        <w:rPr>
          <w:rFonts w:cstheme="minorHAnsi"/>
          <w:color w:val="2E74B5" w:themeColor="accent5" w:themeShade="BF"/>
          <w:shd w:val="clear" w:color="auto" w:fill="FFFFFF"/>
          <w:lang w:val="en-GB"/>
        </w:rPr>
        <w:t xml:space="preserve"> in the form of the </w:t>
      </w:r>
      <w:proofErr w:type="spellStart"/>
      <w:r w:rsidRPr="00C67116">
        <w:rPr>
          <w:rFonts w:cstheme="minorHAnsi"/>
          <w:color w:val="2E74B5" w:themeColor="accent5" w:themeShade="BF"/>
          <w:shd w:val="clear" w:color="auto" w:fill="FFFFFF"/>
          <w:lang w:val="en-GB"/>
        </w:rPr>
        <w:t>delicje</w:t>
      </w:r>
      <w:proofErr w:type="spellEnd"/>
      <w:r w:rsidRPr="00C67116">
        <w:rPr>
          <w:rFonts w:cstheme="minorHAnsi"/>
          <w:color w:val="2E74B5" w:themeColor="accent5" w:themeShade="BF"/>
          <w:shd w:val="clear" w:color="auto" w:fill="FFFFFF"/>
          <w:lang w:val="en-GB"/>
        </w:rPr>
        <w:t xml:space="preserve"> biscuit </w:t>
      </w:r>
      <w:r w:rsidR="006606D1" w:rsidRPr="00C67116">
        <w:rPr>
          <w:rFonts w:cstheme="minorHAnsi"/>
          <w:color w:val="2E74B5" w:themeColor="accent5" w:themeShade="BF"/>
          <w:shd w:val="clear" w:color="auto" w:fill="FFFFFF"/>
          <w:lang w:val="en-GB"/>
        </w:rPr>
        <w:t>-</w:t>
      </w:r>
      <w:r w:rsidRPr="00C67116">
        <w:rPr>
          <w:rFonts w:cstheme="minorHAnsi"/>
          <w:color w:val="2E74B5" w:themeColor="accent5" w:themeShade="BF"/>
          <w:shd w:val="clear" w:color="auto" w:fill="FFFFFF"/>
          <w:lang w:val="en-GB"/>
        </w:rPr>
        <w:t xml:space="preserve"> is extremely important, as the foreign concern invoked the registration of this mark and thus blocked production </w:t>
      </w:r>
      <w:r w:rsidR="00E85F7C">
        <w:rPr>
          <w:rFonts w:cstheme="minorHAnsi"/>
          <w:color w:val="2E74B5" w:themeColor="accent5" w:themeShade="BF"/>
          <w:shd w:val="clear" w:color="auto" w:fill="FFFFFF"/>
          <w:lang w:val="en-GB"/>
        </w:rPr>
        <w:t xml:space="preserve">this cookies </w:t>
      </w:r>
      <w:r w:rsidRPr="00C67116">
        <w:rPr>
          <w:rFonts w:cstheme="minorHAnsi"/>
          <w:color w:val="2E74B5" w:themeColor="accent5" w:themeShade="BF"/>
          <w:shd w:val="clear" w:color="auto" w:fill="FFFFFF"/>
          <w:lang w:val="en-GB"/>
        </w:rPr>
        <w:t xml:space="preserve">in at least five Polish enterprises. </w:t>
      </w:r>
    </w:p>
    <w:p w14:paraId="3B30CA02" w14:textId="41A8A8FE" w:rsidR="00E85F7C" w:rsidRPr="00B7601C" w:rsidRDefault="00E85F7C" w:rsidP="00E85F7C">
      <w:pPr>
        <w:spacing w:after="0"/>
        <w:rPr>
          <w:rFonts w:cstheme="minorHAnsi"/>
          <w:color w:val="2E74B5" w:themeColor="accent5" w:themeShade="BF"/>
          <w:shd w:val="clear" w:color="auto" w:fill="FFFFFF"/>
        </w:rPr>
      </w:pPr>
      <w:r w:rsidRPr="00E85F7C">
        <w:rPr>
          <w:rStyle w:val="y2iqfc"/>
          <w:rFonts w:cstheme="minorHAnsi"/>
          <w:color w:val="202124"/>
          <w:sz w:val="24"/>
          <w:szCs w:val="24"/>
        </w:rPr>
        <w:t>Sytuacja polskich pracodawców i pracowników była przerażająco niebezpieczna. Sądy powszechne pogubiły się w ocenie stanu prawnego sprawy (ostatecznie w czterech z pięciu przypadków twierdzenia zagranicznego koncernu zostały uwzględnione).</w:t>
      </w:r>
    </w:p>
    <w:p w14:paraId="7F415FAC" w14:textId="3ABC7567" w:rsidR="00CB51B3" w:rsidRPr="00C67116" w:rsidRDefault="00CB51B3" w:rsidP="00E85F7C">
      <w:pPr>
        <w:spacing w:after="0"/>
        <w:rPr>
          <w:rFonts w:cstheme="minorHAnsi"/>
          <w:color w:val="2E74B5" w:themeColor="accent5" w:themeShade="BF"/>
          <w:shd w:val="clear" w:color="auto" w:fill="FFFFFF"/>
          <w:lang w:val="en-GB"/>
        </w:rPr>
      </w:pPr>
      <w:r w:rsidRPr="00C67116">
        <w:rPr>
          <w:rFonts w:cstheme="minorHAnsi"/>
          <w:color w:val="2E74B5" w:themeColor="accent5" w:themeShade="BF"/>
          <w:shd w:val="clear" w:color="auto" w:fill="FFFFFF"/>
          <w:lang w:val="en-GB"/>
        </w:rPr>
        <w:t>The situation for Polish employers and employees was frighteningly dangerous. Common courts were lost in assessing the legal status of the case (in the end, in four cases out of five, the foreign concern’s claims were upheld)</w:t>
      </w:r>
      <w:r w:rsidR="004162DB" w:rsidRPr="00C67116">
        <w:rPr>
          <w:rFonts w:cstheme="minorHAnsi"/>
          <w:color w:val="2E74B5" w:themeColor="accent5" w:themeShade="BF"/>
          <w:shd w:val="clear" w:color="auto" w:fill="FFFFFF"/>
          <w:lang w:val="en-GB"/>
        </w:rPr>
        <w:t>.</w:t>
      </w:r>
    </w:p>
    <w:p w14:paraId="6422A85C" w14:textId="427BB89C" w:rsidR="00E85F7C" w:rsidRPr="00A03FAC" w:rsidRDefault="00A03FAC" w:rsidP="00A03FAC">
      <w:pPr>
        <w:spacing w:after="0"/>
        <w:rPr>
          <w:rFonts w:cstheme="minorHAnsi"/>
          <w:shd w:val="clear" w:color="auto" w:fill="FFFFFF"/>
        </w:rPr>
      </w:pPr>
      <w:r w:rsidRPr="00A03FAC">
        <w:rPr>
          <w:rFonts w:cstheme="minorHAnsi"/>
          <w:shd w:val="clear" w:color="auto" w:fill="FFFFFF"/>
        </w:rPr>
        <w:t>Sytuacja polskich pracodawców i pracowników była przerażająco niebezpieczna. Sądy powszechne pogubiły się w ocenie stanu prawnego sprawy (ostatecznie w czterech z pięciu przypadków twierdzenia zagranicznego koncernu zostały uwzględnione).</w:t>
      </w:r>
    </w:p>
    <w:p w14:paraId="46C1A600" w14:textId="763B8322" w:rsidR="00004768" w:rsidRPr="00C67116" w:rsidRDefault="00CB51B3" w:rsidP="00972F3D">
      <w:pPr>
        <w:spacing w:after="0"/>
        <w:rPr>
          <w:rFonts w:cstheme="minorHAnsi"/>
          <w:color w:val="2E74B5" w:themeColor="accent5" w:themeShade="BF"/>
          <w:shd w:val="clear" w:color="auto" w:fill="FFFFFF"/>
          <w:lang w:val="en-GB"/>
        </w:rPr>
      </w:pPr>
      <w:r w:rsidRPr="00C67116">
        <w:rPr>
          <w:rFonts w:cstheme="minorHAnsi"/>
          <w:color w:val="2E74B5" w:themeColor="accent5" w:themeShade="BF"/>
          <w:shd w:val="clear" w:color="auto" w:fill="FFFFFF"/>
          <w:lang w:val="en-GB"/>
        </w:rPr>
        <w:t xml:space="preserve">The cancellation of the 3D shape </w:t>
      </w:r>
      <w:proofErr w:type="gramStart"/>
      <w:r w:rsidRPr="00C67116">
        <w:rPr>
          <w:rFonts w:cstheme="minorHAnsi"/>
          <w:color w:val="2E74B5" w:themeColor="accent5" w:themeShade="BF"/>
          <w:shd w:val="clear" w:color="auto" w:fill="FFFFFF"/>
          <w:lang w:val="en-GB"/>
        </w:rPr>
        <w:t>trade mark</w:t>
      </w:r>
      <w:proofErr w:type="gramEnd"/>
      <w:r w:rsidRPr="00C67116">
        <w:rPr>
          <w:rFonts w:cstheme="minorHAnsi"/>
          <w:color w:val="2E74B5" w:themeColor="accent5" w:themeShade="BF"/>
          <w:shd w:val="clear" w:color="auto" w:fill="FFFFFF"/>
          <w:lang w:val="en-GB"/>
        </w:rPr>
        <w:t xml:space="preserve"> R.116211 came about after a process lasting many months. The final hearing of the case lasted nearly ten hours. On 26.03.2003, at 10:00 p.m., Ms Magdalena ZAMILSKA, the Examiner, announced the decision of the Polish Patent Office to invalidate the registration of the mark R.116211.</w:t>
      </w:r>
    </w:p>
    <w:p w14:paraId="2C88112E" w14:textId="77777777" w:rsidR="004162DB" w:rsidRPr="004162DB" w:rsidRDefault="004162DB" w:rsidP="00972F3D">
      <w:pPr>
        <w:spacing w:after="0"/>
        <w:rPr>
          <w:rFonts w:cstheme="minorHAnsi"/>
          <w:sz w:val="10"/>
          <w:szCs w:val="10"/>
          <w:shd w:val="clear" w:color="auto" w:fill="FFFFFF"/>
          <w:lang w:val="en-GB"/>
        </w:rPr>
      </w:pPr>
    </w:p>
    <w:p w14:paraId="7B58823D" w14:textId="77777777" w:rsidR="00AE031F" w:rsidRDefault="00AE031F" w:rsidP="00972F3D">
      <w:pPr>
        <w:spacing w:after="0"/>
        <w:rPr>
          <w:rFonts w:cstheme="minorHAnsi"/>
          <w:color w:val="2E74B5" w:themeColor="accent5" w:themeShade="BF"/>
          <w:sz w:val="24"/>
          <w:szCs w:val="24"/>
        </w:rPr>
      </w:pPr>
      <w:r w:rsidRPr="002428B7">
        <w:rPr>
          <w:rFonts w:cstheme="minorHAnsi"/>
          <w:b/>
          <w:bCs/>
          <w:sz w:val="24"/>
          <w:szCs w:val="24"/>
        </w:rPr>
        <w:lastRenderedPageBreak/>
        <w:t xml:space="preserve">Miejsce publikacji: </w:t>
      </w:r>
      <w:hyperlink r:id="rId135" w:history="1">
        <w:r w:rsidRPr="00046454">
          <w:rPr>
            <w:rStyle w:val="Hipercze"/>
            <w:rFonts w:cstheme="minorHAnsi"/>
            <w:color w:val="2E74B5" w:themeColor="accent5" w:themeShade="BF"/>
            <w:sz w:val="24"/>
            <w:szCs w:val="24"/>
          </w:rPr>
          <w:t>https://stowi.pl/pwp-art-315-prawo-z-rejestracji-przestrzennego-znaku-towarowego-w-postaci-ciastka-delicje-uniewaznila-decyzja-up-rp/</w:t>
        </w:r>
      </w:hyperlink>
      <w:r w:rsidRPr="00046454">
        <w:rPr>
          <w:rFonts w:cstheme="minorHAnsi"/>
          <w:color w:val="2E74B5" w:themeColor="accent5" w:themeShade="BF"/>
          <w:sz w:val="24"/>
          <w:szCs w:val="24"/>
        </w:rPr>
        <w:t xml:space="preserve"> </w:t>
      </w:r>
    </w:p>
    <w:p w14:paraId="27239CD2" w14:textId="77777777" w:rsidR="00A03FAC" w:rsidRDefault="00A03FAC" w:rsidP="00972F3D">
      <w:pPr>
        <w:spacing w:after="0"/>
        <w:rPr>
          <w:rFonts w:cstheme="minorHAnsi"/>
          <w:color w:val="2E74B5" w:themeColor="accent5" w:themeShade="BF"/>
          <w:sz w:val="24"/>
          <w:szCs w:val="24"/>
        </w:rPr>
      </w:pPr>
    </w:p>
    <w:p w14:paraId="72DE7EAE" w14:textId="77777777" w:rsidR="00A03FAC" w:rsidRDefault="00A03FAC" w:rsidP="00972F3D">
      <w:pPr>
        <w:spacing w:after="0"/>
        <w:rPr>
          <w:rFonts w:cstheme="minorHAnsi"/>
          <w:color w:val="2E74B5" w:themeColor="accent5" w:themeShade="BF"/>
          <w:sz w:val="24"/>
          <w:szCs w:val="24"/>
        </w:rPr>
      </w:pPr>
    </w:p>
    <w:p w14:paraId="4449872D" w14:textId="77777777" w:rsidR="007672ED" w:rsidRDefault="007672ED" w:rsidP="00972F3D">
      <w:pPr>
        <w:spacing w:after="0"/>
        <w:rPr>
          <w:rFonts w:cstheme="minorHAnsi"/>
          <w:color w:val="2E74B5" w:themeColor="accent5" w:themeShade="BF"/>
          <w:sz w:val="24"/>
          <w:szCs w:val="24"/>
        </w:rPr>
      </w:pPr>
    </w:p>
    <w:p w14:paraId="7B6A001D" w14:textId="77777777" w:rsidR="007672ED" w:rsidRDefault="007672ED" w:rsidP="00972F3D">
      <w:pPr>
        <w:spacing w:after="0"/>
        <w:rPr>
          <w:rFonts w:cstheme="minorHAnsi"/>
          <w:color w:val="2E74B5" w:themeColor="accent5" w:themeShade="BF"/>
          <w:sz w:val="24"/>
          <w:szCs w:val="24"/>
        </w:rPr>
      </w:pPr>
    </w:p>
    <w:p w14:paraId="3B058730" w14:textId="77777777" w:rsidR="00A03FAC" w:rsidRDefault="00A03FAC" w:rsidP="00972F3D">
      <w:pPr>
        <w:spacing w:after="0"/>
        <w:rPr>
          <w:rFonts w:cstheme="minorHAnsi"/>
          <w:color w:val="2E74B5" w:themeColor="accent5" w:themeShade="BF"/>
          <w:sz w:val="24"/>
          <w:szCs w:val="24"/>
        </w:rPr>
      </w:pPr>
    </w:p>
    <w:p w14:paraId="0CDBB7CF" w14:textId="77777777" w:rsidR="00A03FAC" w:rsidRDefault="00A03FAC" w:rsidP="00972F3D">
      <w:pPr>
        <w:spacing w:after="0"/>
        <w:rPr>
          <w:rFonts w:cstheme="minorHAnsi"/>
          <w:color w:val="2E74B5" w:themeColor="accent5" w:themeShade="BF"/>
          <w:sz w:val="24"/>
          <w:szCs w:val="24"/>
        </w:rPr>
      </w:pPr>
    </w:p>
    <w:p w14:paraId="4FF61A02" w14:textId="77777777" w:rsidR="00A03FAC" w:rsidRDefault="00A03FAC" w:rsidP="00972F3D">
      <w:pPr>
        <w:spacing w:after="0"/>
        <w:rPr>
          <w:rFonts w:cstheme="minorHAnsi"/>
          <w:color w:val="2E74B5" w:themeColor="accent5" w:themeShade="BF"/>
          <w:sz w:val="24"/>
          <w:szCs w:val="24"/>
        </w:rPr>
      </w:pPr>
    </w:p>
    <w:p w14:paraId="446F4806" w14:textId="77777777" w:rsidR="00A03FAC" w:rsidRDefault="00A03FAC" w:rsidP="00972F3D">
      <w:pPr>
        <w:spacing w:after="0"/>
        <w:rPr>
          <w:rFonts w:cstheme="minorHAnsi"/>
          <w:color w:val="2E74B5" w:themeColor="accent5" w:themeShade="BF"/>
          <w:sz w:val="24"/>
          <w:szCs w:val="24"/>
        </w:rPr>
      </w:pPr>
    </w:p>
    <w:p w14:paraId="17BD1AD7" w14:textId="77777777" w:rsidR="00A03FAC" w:rsidRDefault="00A03FAC" w:rsidP="00972F3D">
      <w:pPr>
        <w:spacing w:after="0"/>
        <w:rPr>
          <w:rFonts w:cstheme="minorHAnsi"/>
          <w:color w:val="2E74B5" w:themeColor="accent5" w:themeShade="BF"/>
          <w:sz w:val="24"/>
          <w:szCs w:val="24"/>
        </w:rPr>
      </w:pPr>
    </w:p>
    <w:p w14:paraId="0D2C4222" w14:textId="77777777" w:rsidR="007672ED" w:rsidRDefault="007672ED" w:rsidP="00972F3D">
      <w:pPr>
        <w:spacing w:after="0"/>
        <w:rPr>
          <w:rFonts w:cstheme="minorHAnsi"/>
          <w:color w:val="2E74B5" w:themeColor="accent5" w:themeShade="BF"/>
          <w:sz w:val="24"/>
          <w:szCs w:val="24"/>
        </w:rPr>
      </w:pPr>
    </w:p>
    <w:p w14:paraId="59D729D0" w14:textId="77777777" w:rsidR="007672ED" w:rsidRDefault="007672ED" w:rsidP="00972F3D">
      <w:pPr>
        <w:spacing w:after="0"/>
        <w:rPr>
          <w:rFonts w:cstheme="minorHAnsi"/>
          <w:color w:val="2E74B5" w:themeColor="accent5" w:themeShade="BF"/>
          <w:sz w:val="24"/>
          <w:szCs w:val="24"/>
        </w:rPr>
      </w:pPr>
    </w:p>
    <w:p w14:paraId="7E0EF772" w14:textId="77777777" w:rsidR="007672ED" w:rsidRDefault="007672ED" w:rsidP="00972F3D">
      <w:pPr>
        <w:spacing w:after="0"/>
        <w:rPr>
          <w:rFonts w:cstheme="minorHAnsi"/>
          <w:color w:val="2E74B5" w:themeColor="accent5" w:themeShade="BF"/>
          <w:sz w:val="24"/>
          <w:szCs w:val="24"/>
        </w:rPr>
      </w:pPr>
    </w:p>
    <w:p w14:paraId="3D2279F0" w14:textId="77777777" w:rsidR="007672ED" w:rsidRDefault="007672ED" w:rsidP="00972F3D">
      <w:pPr>
        <w:spacing w:after="0"/>
        <w:rPr>
          <w:rFonts w:cstheme="minorHAnsi"/>
          <w:color w:val="2E74B5" w:themeColor="accent5" w:themeShade="BF"/>
          <w:sz w:val="24"/>
          <w:szCs w:val="24"/>
        </w:rPr>
      </w:pPr>
    </w:p>
    <w:p w14:paraId="72A389D4" w14:textId="77777777" w:rsidR="007672ED" w:rsidRDefault="007672ED" w:rsidP="00972F3D">
      <w:pPr>
        <w:spacing w:after="0"/>
        <w:rPr>
          <w:rFonts w:cstheme="minorHAnsi"/>
          <w:color w:val="2E74B5" w:themeColor="accent5" w:themeShade="BF"/>
          <w:sz w:val="24"/>
          <w:szCs w:val="24"/>
        </w:rPr>
      </w:pPr>
    </w:p>
    <w:p w14:paraId="12C6B341" w14:textId="77777777" w:rsidR="007672ED" w:rsidRDefault="007672ED" w:rsidP="00972F3D">
      <w:pPr>
        <w:spacing w:after="0"/>
        <w:rPr>
          <w:rFonts w:cstheme="minorHAnsi"/>
          <w:color w:val="2E74B5" w:themeColor="accent5" w:themeShade="BF"/>
          <w:sz w:val="24"/>
          <w:szCs w:val="24"/>
        </w:rPr>
      </w:pPr>
    </w:p>
    <w:p w14:paraId="42974E01" w14:textId="77777777" w:rsidR="007672ED" w:rsidRDefault="007672ED" w:rsidP="00972F3D">
      <w:pPr>
        <w:spacing w:after="0"/>
        <w:rPr>
          <w:rFonts w:cstheme="minorHAnsi"/>
          <w:color w:val="2E74B5" w:themeColor="accent5" w:themeShade="BF"/>
          <w:sz w:val="24"/>
          <w:szCs w:val="24"/>
        </w:rPr>
      </w:pPr>
    </w:p>
    <w:p w14:paraId="0BBCDFBD" w14:textId="77777777" w:rsidR="007672ED" w:rsidRDefault="007672ED" w:rsidP="00972F3D">
      <w:pPr>
        <w:spacing w:after="0"/>
        <w:rPr>
          <w:rFonts w:cstheme="minorHAnsi"/>
          <w:color w:val="2E74B5" w:themeColor="accent5" w:themeShade="BF"/>
          <w:sz w:val="24"/>
          <w:szCs w:val="24"/>
        </w:rPr>
      </w:pPr>
    </w:p>
    <w:p w14:paraId="1A6F0282" w14:textId="77777777" w:rsidR="007672ED" w:rsidRDefault="007672ED" w:rsidP="00972F3D">
      <w:pPr>
        <w:spacing w:after="0"/>
        <w:rPr>
          <w:rFonts w:cstheme="minorHAnsi"/>
          <w:color w:val="2E74B5" w:themeColor="accent5" w:themeShade="BF"/>
          <w:sz w:val="24"/>
          <w:szCs w:val="24"/>
        </w:rPr>
      </w:pPr>
    </w:p>
    <w:p w14:paraId="720F7EE3" w14:textId="77777777" w:rsidR="007672ED" w:rsidRDefault="007672ED" w:rsidP="00972F3D">
      <w:pPr>
        <w:spacing w:after="0"/>
        <w:rPr>
          <w:rFonts w:cstheme="minorHAnsi"/>
          <w:color w:val="2E74B5" w:themeColor="accent5" w:themeShade="BF"/>
          <w:sz w:val="24"/>
          <w:szCs w:val="24"/>
        </w:rPr>
      </w:pPr>
    </w:p>
    <w:p w14:paraId="719646D2" w14:textId="77777777" w:rsidR="007672ED" w:rsidRDefault="007672ED" w:rsidP="00972F3D">
      <w:pPr>
        <w:spacing w:after="0"/>
        <w:rPr>
          <w:rFonts w:cstheme="minorHAnsi"/>
          <w:color w:val="2E74B5" w:themeColor="accent5" w:themeShade="BF"/>
          <w:sz w:val="24"/>
          <w:szCs w:val="24"/>
        </w:rPr>
      </w:pPr>
    </w:p>
    <w:p w14:paraId="6BD9C2F0" w14:textId="77777777" w:rsidR="007672ED" w:rsidRDefault="007672ED" w:rsidP="00972F3D">
      <w:pPr>
        <w:spacing w:after="0"/>
        <w:rPr>
          <w:rFonts w:cstheme="minorHAnsi"/>
          <w:color w:val="2E74B5" w:themeColor="accent5" w:themeShade="BF"/>
          <w:sz w:val="24"/>
          <w:szCs w:val="24"/>
        </w:rPr>
      </w:pPr>
    </w:p>
    <w:p w14:paraId="6FAC07B1" w14:textId="77777777" w:rsidR="007672ED" w:rsidRDefault="007672ED" w:rsidP="00972F3D">
      <w:pPr>
        <w:spacing w:after="0"/>
        <w:rPr>
          <w:rFonts w:cstheme="minorHAnsi"/>
          <w:color w:val="2E74B5" w:themeColor="accent5" w:themeShade="BF"/>
          <w:sz w:val="24"/>
          <w:szCs w:val="24"/>
        </w:rPr>
      </w:pPr>
    </w:p>
    <w:p w14:paraId="3D4C02D1" w14:textId="77777777" w:rsidR="007672ED" w:rsidRDefault="007672ED" w:rsidP="00972F3D">
      <w:pPr>
        <w:spacing w:after="0"/>
        <w:rPr>
          <w:rFonts w:cstheme="minorHAnsi"/>
          <w:color w:val="2E74B5" w:themeColor="accent5" w:themeShade="BF"/>
          <w:sz w:val="24"/>
          <w:szCs w:val="24"/>
        </w:rPr>
      </w:pPr>
    </w:p>
    <w:p w14:paraId="4E0FCBA0" w14:textId="77777777" w:rsidR="00A03FAC" w:rsidRDefault="00A03FAC" w:rsidP="00972F3D">
      <w:pPr>
        <w:spacing w:after="0"/>
        <w:rPr>
          <w:rFonts w:cstheme="minorHAnsi"/>
          <w:color w:val="2E74B5" w:themeColor="accent5" w:themeShade="BF"/>
          <w:sz w:val="24"/>
          <w:szCs w:val="24"/>
        </w:rPr>
      </w:pPr>
    </w:p>
    <w:p w14:paraId="55D6AEA9" w14:textId="77777777" w:rsidR="00A03FAC" w:rsidRDefault="00A03FAC" w:rsidP="00972F3D">
      <w:pPr>
        <w:spacing w:after="0"/>
        <w:rPr>
          <w:rFonts w:cstheme="minorHAnsi"/>
          <w:color w:val="2E74B5" w:themeColor="accent5" w:themeShade="BF"/>
          <w:sz w:val="24"/>
          <w:szCs w:val="24"/>
        </w:rPr>
      </w:pPr>
    </w:p>
    <w:p w14:paraId="5C781A7F" w14:textId="77777777" w:rsidR="00A03FAC" w:rsidRDefault="00A03FAC" w:rsidP="00972F3D">
      <w:pPr>
        <w:spacing w:after="0"/>
        <w:rPr>
          <w:rFonts w:cstheme="minorHAnsi"/>
          <w:color w:val="2E74B5" w:themeColor="accent5" w:themeShade="BF"/>
          <w:sz w:val="24"/>
          <w:szCs w:val="24"/>
        </w:rPr>
      </w:pPr>
    </w:p>
    <w:p w14:paraId="2847E472" w14:textId="77777777" w:rsidR="007672ED" w:rsidRDefault="007672ED" w:rsidP="00972F3D">
      <w:pPr>
        <w:spacing w:after="0"/>
        <w:rPr>
          <w:rFonts w:cstheme="minorHAnsi"/>
          <w:color w:val="2E74B5" w:themeColor="accent5" w:themeShade="BF"/>
          <w:sz w:val="24"/>
          <w:szCs w:val="24"/>
        </w:rPr>
      </w:pPr>
    </w:p>
    <w:p w14:paraId="3398A46B" w14:textId="77777777" w:rsidR="007672ED" w:rsidRDefault="007672ED" w:rsidP="00972F3D">
      <w:pPr>
        <w:spacing w:after="0"/>
        <w:rPr>
          <w:rFonts w:cstheme="minorHAnsi"/>
          <w:color w:val="2E74B5" w:themeColor="accent5" w:themeShade="BF"/>
          <w:sz w:val="24"/>
          <w:szCs w:val="24"/>
        </w:rPr>
      </w:pPr>
    </w:p>
    <w:p w14:paraId="4E38D4A0" w14:textId="77777777" w:rsidR="007672ED" w:rsidRDefault="007672ED" w:rsidP="00972F3D">
      <w:pPr>
        <w:spacing w:after="0"/>
        <w:rPr>
          <w:rFonts w:cstheme="minorHAnsi"/>
          <w:color w:val="2E74B5" w:themeColor="accent5" w:themeShade="BF"/>
          <w:sz w:val="24"/>
          <w:szCs w:val="24"/>
        </w:rPr>
      </w:pPr>
    </w:p>
    <w:p w14:paraId="7A26A5FB" w14:textId="77777777" w:rsidR="007672ED" w:rsidRDefault="007672ED" w:rsidP="00972F3D">
      <w:pPr>
        <w:spacing w:after="0"/>
        <w:rPr>
          <w:rFonts w:cstheme="minorHAnsi"/>
          <w:color w:val="2E74B5" w:themeColor="accent5" w:themeShade="BF"/>
          <w:sz w:val="24"/>
          <w:szCs w:val="24"/>
        </w:rPr>
      </w:pPr>
    </w:p>
    <w:p w14:paraId="087CDA2B" w14:textId="77777777" w:rsidR="007672ED" w:rsidRDefault="007672ED" w:rsidP="00972F3D">
      <w:pPr>
        <w:spacing w:after="0"/>
        <w:rPr>
          <w:rFonts w:cstheme="minorHAnsi"/>
          <w:color w:val="2E74B5" w:themeColor="accent5" w:themeShade="BF"/>
          <w:sz w:val="24"/>
          <w:szCs w:val="24"/>
        </w:rPr>
      </w:pPr>
    </w:p>
    <w:p w14:paraId="4459D8D1" w14:textId="2EC0F457" w:rsidR="00715C79" w:rsidRDefault="00715C79">
      <w:pPr>
        <w:rPr>
          <w:rFonts w:cstheme="minorHAnsi"/>
          <w:color w:val="2E74B5" w:themeColor="accent5" w:themeShade="BF"/>
          <w:sz w:val="24"/>
          <w:szCs w:val="24"/>
        </w:rPr>
      </w:pPr>
      <w:r>
        <w:rPr>
          <w:rFonts w:cstheme="minorHAnsi"/>
          <w:color w:val="2E74B5" w:themeColor="accent5" w:themeShade="BF"/>
          <w:sz w:val="24"/>
          <w:szCs w:val="24"/>
        </w:rPr>
        <w:br w:type="page"/>
      </w:r>
    </w:p>
    <w:p w14:paraId="4FEAF08A" w14:textId="33015B86" w:rsidR="001121F0" w:rsidRPr="00AE031F" w:rsidRDefault="001121F0" w:rsidP="00B12E2C">
      <w:pPr>
        <w:spacing w:after="0"/>
        <w:ind w:firstLine="567"/>
        <w:jc w:val="both"/>
      </w:pPr>
    </w:p>
    <w:p w14:paraId="652AE69F" w14:textId="2E131354" w:rsidR="0033040A" w:rsidRPr="00CA361D" w:rsidRDefault="00004768" w:rsidP="003F6CA0">
      <w:pPr>
        <w:pStyle w:val="Nagwek2"/>
        <w:rPr>
          <w:noProof/>
          <w:lang w:eastAsia="pl-PL"/>
        </w:rPr>
      </w:pPr>
      <w:r w:rsidRPr="00EA4494">
        <w:rPr>
          <w:noProof/>
          <w:lang w:eastAsia="pl-PL"/>
        </w:rPr>
        <w:br/>
      </w:r>
      <w:bookmarkStart w:id="108" w:name="_Toc170117985"/>
      <w:r w:rsidR="001634E6" w:rsidRPr="00004768">
        <w:rPr>
          <w:noProof/>
          <w:lang w:eastAsia="pl-PL"/>
        </w:rPr>
        <w:drawing>
          <wp:anchor distT="0" distB="0" distL="114300" distR="114300" simplePos="0" relativeHeight="251889664" behindDoc="0" locked="0" layoutInCell="1" allowOverlap="1" wp14:anchorId="5DAF36A3" wp14:editId="48306430">
            <wp:simplePos x="0" y="0"/>
            <wp:positionH relativeFrom="column">
              <wp:posOffset>3810</wp:posOffset>
            </wp:positionH>
            <wp:positionV relativeFrom="paragraph">
              <wp:posOffset>27305</wp:posOffset>
            </wp:positionV>
            <wp:extent cx="1980000" cy="1080000"/>
            <wp:effectExtent l="0" t="0" r="1270" b="6350"/>
            <wp:wrapThrough wrapText="bothSides">
              <wp:wrapPolygon edited="0">
                <wp:start x="0" y="0"/>
                <wp:lineTo x="0" y="21346"/>
                <wp:lineTo x="21406" y="21346"/>
                <wp:lineTo x="21406" y="0"/>
                <wp:lineTo x="0" y="0"/>
              </wp:wrapPolygon>
            </wp:wrapThrough>
            <wp:docPr id="1059029935" name="Obraz 6" descr="Obraz zawierający jedzenie, Przekąska, deser, Fast food&#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9029935" name="Obraz 6" descr="Obraz zawierający jedzenie, Przekąska, deser, Fast food&#10;&#10;Opis wygenerowany automatyczni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34E6" w:rsidRPr="00004768">
        <w:rPr>
          <w:noProof/>
          <w:color w:val="C00000"/>
          <w:lang w:eastAsia="pl-PL"/>
        </w:rPr>
        <mc:AlternateContent>
          <mc:Choice Requires="wps">
            <w:drawing>
              <wp:anchor distT="0" distB="0" distL="114300" distR="114300" simplePos="0" relativeHeight="251887616" behindDoc="0" locked="0" layoutInCell="1" allowOverlap="1" wp14:anchorId="37A2657B" wp14:editId="15DF36D8">
                <wp:simplePos x="0" y="0"/>
                <wp:positionH relativeFrom="margin">
                  <wp:posOffset>-98755</wp:posOffset>
                </wp:positionH>
                <wp:positionV relativeFrom="paragraph">
                  <wp:posOffset>-383540</wp:posOffset>
                </wp:positionV>
                <wp:extent cx="527050" cy="372745"/>
                <wp:effectExtent l="0" t="0" r="6350" b="8255"/>
                <wp:wrapNone/>
                <wp:docPr id="769215584"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1EF308DB" w14:textId="575952F6" w:rsidR="00541DD6" w:rsidRPr="00142068" w:rsidRDefault="00E758CD" w:rsidP="0033040A">
                            <w:pPr>
                              <w:pStyle w:val="NumeracjaRozdzial"/>
                            </w:pPr>
                            <w:r>
                              <w:t>5</w:t>
                            </w:r>
                            <w:r w:rsidR="00541DD6" w:rsidRPr="00142068">
                              <w:t>.</w:t>
                            </w:r>
                          </w:p>
                          <w:p w14:paraId="6CA78742" w14:textId="77777777" w:rsidR="00541DD6" w:rsidRDefault="00541DD6" w:rsidP="001634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A2657B" id="_x0000_s1042" type="#_x0000_t202" style="position:absolute;margin-left:-7.8pt;margin-top:-30.2pt;width:41.5pt;height:29.35pt;z-index:251887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RNCbWi8CAABbBAAADgAAAAAAAAAAAAAAAAAu&#10;AgAAZHJzL2Uyb0RvYy54bWxQSwECLQAUAAYACAAAACEAokroqeEAAAAJAQAADwAAAAAAAAAAAAAA&#10;AACJBAAAZHJzL2Rvd25yZXYueG1sUEsFBgAAAAAEAAQA8wAAAJcFAAAAAA==&#10;" fillcolor="white [3201]" stroked="f" strokeweight=".5pt">
                <v:textbox>
                  <w:txbxContent>
                    <w:p w14:paraId="1EF308DB" w14:textId="575952F6" w:rsidR="00541DD6" w:rsidRPr="00142068" w:rsidRDefault="00E758CD" w:rsidP="0033040A">
                      <w:pPr>
                        <w:pStyle w:val="NumeracjaRozdzial"/>
                      </w:pPr>
                      <w:r>
                        <w:t>5</w:t>
                      </w:r>
                      <w:r w:rsidR="00541DD6" w:rsidRPr="00142068">
                        <w:t>.</w:t>
                      </w:r>
                    </w:p>
                    <w:p w14:paraId="6CA78742" w14:textId="77777777" w:rsidR="00541DD6" w:rsidRDefault="00541DD6" w:rsidP="001634E6"/>
                  </w:txbxContent>
                </v:textbox>
                <w10:wrap anchorx="margin"/>
              </v:shape>
            </w:pict>
          </mc:Fallback>
        </mc:AlternateContent>
      </w:r>
      <w:r w:rsidR="00A03FAC">
        <w:rPr>
          <w:noProof/>
          <w:lang w:eastAsia="pl-PL"/>
        </w:rPr>
        <w:t>Wojewódzki Sąd A</w:t>
      </w:r>
      <w:r w:rsidR="00E251B1">
        <w:rPr>
          <w:noProof/>
          <w:lang w:eastAsia="pl-PL"/>
        </w:rPr>
        <w:t>d</w:t>
      </w:r>
      <w:r w:rsidR="00A03FAC">
        <w:rPr>
          <w:noProof/>
          <w:lang w:eastAsia="pl-PL"/>
        </w:rPr>
        <w:t>ministracyjny ocenił, że słusznie p</w:t>
      </w:r>
      <w:r w:rsidR="001634E6" w:rsidRPr="00004768">
        <w:rPr>
          <w:noProof/>
          <w:lang w:eastAsia="pl-PL"/>
        </w:rPr>
        <w:t>rawo z rejestracji przestrzennego znaku towarowego w postaci ciastka delicje R-116211 zostało unieważnione</w:t>
      </w:r>
      <w:r w:rsidR="00A03FAC">
        <w:rPr>
          <w:noProof/>
          <w:lang w:eastAsia="pl-PL"/>
        </w:rPr>
        <w:t xml:space="preserve"> - </w:t>
      </w:r>
      <w:r w:rsidR="001634E6" w:rsidRPr="00004768">
        <w:rPr>
          <w:noProof/>
          <w:lang w:eastAsia="pl-PL"/>
        </w:rPr>
        <w:t>wyrok</w:t>
      </w:r>
      <w:r w:rsidR="00A03FAC">
        <w:rPr>
          <w:noProof/>
          <w:lang w:eastAsia="pl-PL"/>
        </w:rPr>
        <w:t>iem</w:t>
      </w:r>
      <w:r w:rsidR="001634E6" w:rsidRPr="00004768">
        <w:rPr>
          <w:noProof/>
          <w:lang w:eastAsia="pl-PL"/>
        </w:rPr>
        <w:t xml:space="preserve"> WSA z dnia 18.10.2004 </w:t>
      </w:r>
      <w:r w:rsidR="001E25CE" w:rsidRPr="00004768">
        <w:rPr>
          <w:noProof/>
          <w:lang w:eastAsia="pl-PL"/>
        </w:rPr>
        <w:t>oddal</w:t>
      </w:r>
      <w:r w:rsidR="00A03FAC">
        <w:rPr>
          <w:noProof/>
          <w:lang w:eastAsia="pl-PL"/>
        </w:rPr>
        <w:t>ono</w:t>
      </w:r>
      <w:r w:rsidR="001E25CE" w:rsidRPr="00004768">
        <w:rPr>
          <w:noProof/>
          <w:lang w:eastAsia="pl-PL"/>
        </w:rPr>
        <w:t xml:space="preserve"> skargę na decyzję UP</w:t>
      </w:r>
      <w:r w:rsidR="000628B5">
        <w:rPr>
          <w:noProof/>
          <w:lang w:eastAsia="pl-PL"/>
        </w:rPr>
        <w:t>.</w:t>
      </w:r>
      <w:bookmarkEnd w:id="108"/>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86"/>
      </w:tblGrid>
      <w:tr w:rsidR="004B308F" w:rsidRPr="006A1234" w14:paraId="1CECD417" w14:textId="77777777" w:rsidTr="005027DA">
        <w:tc>
          <w:tcPr>
            <w:tcW w:w="1276" w:type="dxa"/>
          </w:tcPr>
          <w:p w14:paraId="27A8D23B" w14:textId="77777777" w:rsidR="004B308F" w:rsidRPr="00EC4F25" w:rsidRDefault="004B308F" w:rsidP="005027DA">
            <w:pPr>
              <w:rPr>
                <w:rFonts w:cstheme="minorHAnsi"/>
                <w:b/>
                <w:bCs/>
                <w:noProof/>
                <w:sz w:val="18"/>
                <w:szCs w:val="18"/>
              </w:rPr>
            </w:pPr>
          </w:p>
        </w:tc>
        <w:tc>
          <w:tcPr>
            <w:tcW w:w="7786" w:type="dxa"/>
          </w:tcPr>
          <w:p w14:paraId="1295EE8A" w14:textId="7B4308C2" w:rsidR="004B308F" w:rsidRPr="006A1234" w:rsidRDefault="004B308F" w:rsidP="005027DA">
            <w:pPr>
              <w:rPr>
                <w:rFonts w:asciiTheme="minorHAnsi" w:hAnsiTheme="minorHAnsi" w:cstheme="minorHAnsi"/>
                <w:b/>
                <w:bCs/>
                <w:color w:val="000000"/>
                <w:sz w:val="22"/>
                <w:szCs w:val="22"/>
              </w:rPr>
            </w:pPr>
          </w:p>
        </w:tc>
      </w:tr>
      <w:tr w:rsidR="004B308F" w:rsidRPr="006A1234" w14:paraId="69F7286E" w14:textId="77777777" w:rsidTr="005027DA">
        <w:tc>
          <w:tcPr>
            <w:tcW w:w="1276" w:type="dxa"/>
          </w:tcPr>
          <w:p w14:paraId="116E9180" w14:textId="55B40445" w:rsidR="004B308F" w:rsidRDefault="004B308F" w:rsidP="005027DA">
            <w:pPr>
              <w:tabs>
                <w:tab w:val="left" w:pos="2261"/>
              </w:tabs>
              <w:rPr>
                <w:rFonts w:cstheme="minorHAnsi"/>
                <w:b/>
                <w:bCs/>
                <w:color w:val="000000"/>
                <w:sz w:val="26"/>
                <w:szCs w:val="26"/>
              </w:rPr>
            </w:pPr>
          </w:p>
        </w:tc>
        <w:tc>
          <w:tcPr>
            <w:tcW w:w="7786" w:type="dxa"/>
          </w:tcPr>
          <w:p w14:paraId="0FA28C90" w14:textId="77777777" w:rsidR="004B308F" w:rsidRPr="00CA361D" w:rsidRDefault="004B308F" w:rsidP="00CA361D">
            <w:pPr>
              <w:rPr>
                <w:rFonts w:cstheme="minorHAnsi"/>
                <w:b/>
                <w:bCs/>
                <w:color w:val="000000"/>
                <w:sz w:val="26"/>
                <w:szCs w:val="26"/>
              </w:rPr>
            </w:pPr>
          </w:p>
        </w:tc>
      </w:tr>
    </w:tbl>
    <w:p w14:paraId="6B4E7F9B" w14:textId="4AB85BE5" w:rsidR="00972F3D" w:rsidRDefault="00972F3D" w:rsidP="00972F3D">
      <w:pPr>
        <w:spacing w:after="0"/>
        <w:jc w:val="center"/>
        <w:rPr>
          <w:rFonts w:cstheme="minorHAnsi"/>
          <w:b/>
          <w:bCs/>
          <w:sz w:val="24"/>
          <w:szCs w:val="24"/>
        </w:rPr>
      </w:pPr>
      <w:r>
        <w:rPr>
          <w:rFonts w:cstheme="minorHAnsi"/>
          <w:b/>
          <w:bCs/>
          <w:sz w:val="24"/>
          <w:szCs w:val="24"/>
        </w:rPr>
        <w:t>* * *</w:t>
      </w:r>
    </w:p>
    <w:p w14:paraId="2757A280" w14:textId="57690676" w:rsidR="00FB798E" w:rsidRPr="00EC4F25" w:rsidRDefault="00FB798E" w:rsidP="00FB798E">
      <w:pPr>
        <w:spacing w:after="0"/>
        <w:rPr>
          <w:rFonts w:cstheme="minorHAnsi"/>
          <w:b/>
          <w:bCs/>
        </w:rPr>
      </w:pPr>
      <w:r w:rsidRPr="00EC4F25">
        <w:rPr>
          <w:rFonts w:cstheme="minorHAnsi"/>
          <w:b/>
          <w:bCs/>
        </w:rPr>
        <w:t xml:space="preserve">II SA 3199/03 </w:t>
      </w:r>
      <w:r w:rsidR="00D8166E">
        <w:rPr>
          <w:rFonts w:cstheme="minorHAnsi"/>
          <w:b/>
          <w:bCs/>
        </w:rPr>
        <w:t>–</w:t>
      </w:r>
      <w:r w:rsidRPr="00EC4F25">
        <w:rPr>
          <w:rFonts w:cstheme="minorHAnsi"/>
          <w:b/>
          <w:bCs/>
        </w:rPr>
        <w:t xml:space="preserve"> Wyrok WSA w Warszawie</w:t>
      </w:r>
    </w:p>
    <w:tbl>
      <w:tblPr>
        <w:tblStyle w:val="Tabela-Siatka"/>
        <w:tblW w:w="0" w:type="auto"/>
        <w:tblBorders>
          <w:bottom w:val="none" w:sz="0" w:space="0" w:color="auto"/>
          <w:right w:val="none" w:sz="0" w:space="0" w:color="auto"/>
        </w:tblBorders>
        <w:tblLook w:val="04A0" w:firstRow="1" w:lastRow="0" w:firstColumn="1" w:lastColumn="0" w:noHBand="0" w:noVBand="1"/>
      </w:tblPr>
      <w:tblGrid>
        <w:gridCol w:w="1798"/>
        <w:gridCol w:w="7269"/>
      </w:tblGrid>
      <w:tr w:rsidR="00FB798E" w:rsidRPr="00EC4F25" w14:paraId="0D9A8C3C" w14:textId="77777777" w:rsidTr="00F45910">
        <w:tc>
          <w:tcPr>
            <w:tcW w:w="1809" w:type="dxa"/>
          </w:tcPr>
          <w:p w14:paraId="6801C843"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Data orzeczenia</w:t>
            </w:r>
          </w:p>
        </w:tc>
        <w:tc>
          <w:tcPr>
            <w:tcW w:w="7403" w:type="dxa"/>
          </w:tcPr>
          <w:p w14:paraId="276CA249" w14:textId="60ACB38C"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 xml:space="preserve">2004-10-18                                                               </w:t>
            </w:r>
            <w:r w:rsidRPr="00EC4F25">
              <w:rPr>
                <w:rFonts w:asciiTheme="minorHAnsi" w:hAnsiTheme="minorHAnsi" w:cstheme="minorHAnsi"/>
                <w:i/>
                <w:iCs/>
                <w:sz w:val="22"/>
                <w:szCs w:val="22"/>
              </w:rPr>
              <w:t>orzeczenie prawomoc</w:t>
            </w:r>
            <w:r w:rsidR="00557A40" w:rsidRPr="00EC4F25">
              <w:rPr>
                <w:rFonts w:asciiTheme="minorHAnsi" w:hAnsiTheme="minorHAnsi" w:cstheme="minorHAnsi"/>
                <w:i/>
                <w:iCs/>
                <w:sz w:val="22"/>
                <w:szCs w:val="22"/>
              </w:rPr>
              <w:t>ne</w:t>
            </w:r>
          </w:p>
        </w:tc>
      </w:tr>
      <w:tr w:rsidR="00FB798E" w:rsidRPr="00EC4F25" w14:paraId="0C71702F" w14:textId="77777777" w:rsidTr="00F45910">
        <w:tc>
          <w:tcPr>
            <w:tcW w:w="1809" w:type="dxa"/>
          </w:tcPr>
          <w:p w14:paraId="7D0298BC"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 xml:space="preserve">Data wpływu </w:t>
            </w:r>
          </w:p>
        </w:tc>
        <w:tc>
          <w:tcPr>
            <w:tcW w:w="7403" w:type="dxa"/>
          </w:tcPr>
          <w:p w14:paraId="67AA5450" w14:textId="77777777"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2003-08-28</w:t>
            </w:r>
          </w:p>
        </w:tc>
      </w:tr>
      <w:tr w:rsidR="00FB798E" w:rsidRPr="00EC4F25" w14:paraId="0C7673C7" w14:textId="77777777" w:rsidTr="00F45910">
        <w:tc>
          <w:tcPr>
            <w:tcW w:w="1809" w:type="dxa"/>
          </w:tcPr>
          <w:p w14:paraId="76E97CDC"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Sąd</w:t>
            </w:r>
          </w:p>
        </w:tc>
        <w:tc>
          <w:tcPr>
            <w:tcW w:w="7403" w:type="dxa"/>
          </w:tcPr>
          <w:p w14:paraId="7667F031" w14:textId="77777777"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Wojewódzki Sąd Administracyjny w Warszawie</w:t>
            </w:r>
          </w:p>
        </w:tc>
      </w:tr>
      <w:tr w:rsidR="00FB798E" w:rsidRPr="00EC4F25" w14:paraId="4F6CE08F" w14:textId="77777777" w:rsidTr="00F45910">
        <w:tc>
          <w:tcPr>
            <w:tcW w:w="1809" w:type="dxa"/>
          </w:tcPr>
          <w:p w14:paraId="37444307"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Sędziowie</w:t>
            </w:r>
          </w:p>
        </w:tc>
        <w:tc>
          <w:tcPr>
            <w:tcW w:w="7403" w:type="dxa"/>
          </w:tcPr>
          <w:p w14:paraId="50CC440D" w14:textId="77777777"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 xml:space="preserve">Andrzej Wieczorek </w:t>
            </w:r>
          </w:p>
          <w:p w14:paraId="475B7EC3" w14:textId="121D9C1C"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Jolanta Królikowska</w:t>
            </w:r>
          </w:p>
          <w:p w14:paraId="1C1AE917" w14:textId="77777777"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Przewłoka Stanisław Gronowski /przewodniczący sprawozdawca/</w:t>
            </w:r>
          </w:p>
        </w:tc>
      </w:tr>
      <w:tr w:rsidR="00FB798E" w:rsidRPr="00EC4F25" w14:paraId="47C57490" w14:textId="77777777" w:rsidTr="00F45910">
        <w:tc>
          <w:tcPr>
            <w:tcW w:w="1809" w:type="dxa"/>
          </w:tcPr>
          <w:p w14:paraId="1EEFB98C"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Sygn. powiązane</w:t>
            </w:r>
          </w:p>
        </w:tc>
        <w:tc>
          <w:tcPr>
            <w:tcW w:w="7403" w:type="dxa"/>
          </w:tcPr>
          <w:p w14:paraId="6DAE0367" w14:textId="22F6E80E"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 xml:space="preserve">II GSK 92/05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Wyrok NSA z 2005-06-29</w:t>
            </w:r>
          </w:p>
        </w:tc>
      </w:tr>
      <w:tr w:rsidR="00FB798E" w:rsidRPr="00EC4F25" w14:paraId="38F767C5" w14:textId="77777777" w:rsidTr="00F45910">
        <w:tc>
          <w:tcPr>
            <w:tcW w:w="1809" w:type="dxa"/>
          </w:tcPr>
          <w:p w14:paraId="7D1592BF"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Skarżony organ</w:t>
            </w:r>
          </w:p>
        </w:tc>
        <w:tc>
          <w:tcPr>
            <w:tcW w:w="7403" w:type="dxa"/>
          </w:tcPr>
          <w:p w14:paraId="3FABB2CE" w14:textId="77777777"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Urząd Patentowy RP</w:t>
            </w:r>
          </w:p>
        </w:tc>
      </w:tr>
      <w:tr w:rsidR="00FB798E" w:rsidRPr="00EC4F25" w14:paraId="08F59EC5" w14:textId="77777777" w:rsidTr="00F45910">
        <w:tc>
          <w:tcPr>
            <w:tcW w:w="1809" w:type="dxa"/>
          </w:tcPr>
          <w:p w14:paraId="0654CFBB" w14:textId="77777777" w:rsidR="00FB798E" w:rsidRPr="00EC4F25" w:rsidRDefault="00FB798E" w:rsidP="00F45910">
            <w:pPr>
              <w:rPr>
                <w:rFonts w:asciiTheme="minorHAnsi" w:hAnsiTheme="minorHAnsi" w:cstheme="minorHAnsi"/>
                <w:b/>
                <w:bCs/>
                <w:sz w:val="22"/>
                <w:szCs w:val="22"/>
              </w:rPr>
            </w:pPr>
            <w:r w:rsidRPr="00EC4F25">
              <w:rPr>
                <w:rFonts w:asciiTheme="minorHAnsi" w:hAnsiTheme="minorHAnsi" w:cstheme="minorHAnsi"/>
                <w:b/>
                <w:bCs/>
                <w:sz w:val="22"/>
                <w:szCs w:val="22"/>
              </w:rPr>
              <w:t>Treść wyniku</w:t>
            </w:r>
          </w:p>
        </w:tc>
        <w:tc>
          <w:tcPr>
            <w:tcW w:w="7403" w:type="dxa"/>
          </w:tcPr>
          <w:p w14:paraId="7EB1E044" w14:textId="77777777" w:rsidR="00FB798E" w:rsidRPr="00EC4F25" w:rsidRDefault="00FB798E" w:rsidP="00F45910">
            <w:pPr>
              <w:rPr>
                <w:rFonts w:asciiTheme="minorHAnsi" w:hAnsiTheme="minorHAnsi" w:cstheme="minorHAnsi"/>
                <w:sz w:val="22"/>
                <w:szCs w:val="22"/>
              </w:rPr>
            </w:pPr>
            <w:r w:rsidRPr="00EC4F25">
              <w:rPr>
                <w:rFonts w:asciiTheme="minorHAnsi" w:hAnsiTheme="minorHAnsi" w:cstheme="minorHAnsi"/>
                <w:sz w:val="22"/>
                <w:szCs w:val="22"/>
              </w:rPr>
              <w:t>Oddalono skargę</w:t>
            </w:r>
          </w:p>
        </w:tc>
      </w:tr>
      <w:tr w:rsidR="00FB798E" w:rsidRPr="00EC4F25" w14:paraId="0D8C45A6" w14:textId="77777777" w:rsidTr="00F45910">
        <w:tc>
          <w:tcPr>
            <w:tcW w:w="9212" w:type="dxa"/>
            <w:gridSpan w:val="2"/>
            <w:tcBorders>
              <w:bottom w:val="nil"/>
            </w:tcBorders>
          </w:tcPr>
          <w:p w14:paraId="51D8AE07" w14:textId="77777777" w:rsidR="00FB798E" w:rsidRPr="00EC4F25" w:rsidRDefault="00FB798E" w:rsidP="00F45910">
            <w:pPr>
              <w:jc w:val="center"/>
              <w:rPr>
                <w:rFonts w:asciiTheme="minorHAnsi" w:hAnsiTheme="minorHAnsi" w:cstheme="minorHAnsi"/>
                <w:b/>
                <w:bCs/>
                <w:sz w:val="22"/>
                <w:szCs w:val="22"/>
              </w:rPr>
            </w:pPr>
            <w:r w:rsidRPr="00EC4F25">
              <w:rPr>
                <w:rFonts w:asciiTheme="minorHAnsi" w:hAnsiTheme="minorHAnsi" w:cstheme="minorHAnsi"/>
                <w:b/>
                <w:bCs/>
                <w:sz w:val="22"/>
                <w:szCs w:val="22"/>
              </w:rPr>
              <w:t>SENTENCJA</w:t>
            </w:r>
          </w:p>
          <w:p w14:paraId="009920CF" w14:textId="3E38E489" w:rsidR="00FB798E" w:rsidRPr="00EC4F25" w:rsidRDefault="00FB798E" w:rsidP="00F45910">
            <w:pPr>
              <w:jc w:val="both"/>
              <w:rPr>
                <w:rFonts w:asciiTheme="minorHAnsi" w:hAnsiTheme="minorHAnsi" w:cstheme="minorHAnsi"/>
                <w:sz w:val="18"/>
                <w:szCs w:val="18"/>
              </w:rPr>
            </w:pPr>
            <w:r w:rsidRPr="00EC4F25">
              <w:rPr>
                <w:rFonts w:asciiTheme="minorHAnsi" w:hAnsiTheme="minorHAnsi" w:cstheme="minorHAnsi"/>
                <w:sz w:val="22"/>
                <w:szCs w:val="22"/>
              </w:rPr>
              <w:t xml:space="preserve">Wojewódzki Sąd Administracyjny w Warszawie w składzie następującym: Przewodniczący Sędzia NSA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Stanisław Gronowski (</w:t>
            </w:r>
            <w:proofErr w:type="spellStart"/>
            <w:r w:rsidRPr="00EC4F25">
              <w:rPr>
                <w:rFonts w:asciiTheme="minorHAnsi" w:hAnsiTheme="minorHAnsi" w:cstheme="minorHAnsi"/>
                <w:sz w:val="22"/>
                <w:szCs w:val="22"/>
              </w:rPr>
              <w:t>spr</w:t>
            </w:r>
            <w:proofErr w:type="spellEnd"/>
            <w:r w:rsidRPr="00EC4F25">
              <w:rPr>
                <w:rFonts w:asciiTheme="minorHAnsi" w:hAnsiTheme="minorHAnsi" w:cstheme="minorHAnsi"/>
                <w:sz w:val="22"/>
                <w:szCs w:val="22"/>
              </w:rPr>
              <w:t xml:space="preserve">.) Sędzia WSA.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Jolanta Królikowska-Przewłoka Asesor WSA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Andrzej Wieczorek Protokolant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Karolina </w:t>
            </w:r>
            <w:proofErr w:type="spellStart"/>
            <w:r w:rsidRPr="00EC4F25">
              <w:rPr>
                <w:rFonts w:asciiTheme="minorHAnsi" w:hAnsiTheme="minorHAnsi" w:cstheme="minorHAnsi"/>
                <w:sz w:val="22"/>
                <w:szCs w:val="22"/>
              </w:rPr>
              <w:t>Kanabus</w:t>
            </w:r>
            <w:proofErr w:type="spellEnd"/>
            <w:r w:rsidRPr="00EC4F25">
              <w:rPr>
                <w:rFonts w:asciiTheme="minorHAnsi" w:hAnsiTheme="minorHAnsi" w:cstheme="minorHAnsi"/>
                <w:sz w:val="22"/>
                <w:szCs w:val="22"/>
              </w:rPr>
              <w:t xml:space="preserve"> po rozpoznaniu na rozprawie w dniu 4 października 2004 r. sprawy ze skargi Lu Polska S.A. w Warszawie na decyzję Urzędu Patentowego RP z dnia 26 marca 2003 r. Sp215/01, 20/02, 55/02, 56/02, 75/2 w przedmiocie unieważnienia prawa z rejestracji znaku towarowego przestrzennego oddala skargę</w:t>
            </w:r>
            <w:r w:rsidRPr="00EC4F25">
              <w:rPr>
                <w:rFonts w:asciiTheme="minorHAnsi" w:hAnsiTheme="minorHAnsi" w:cstheme="minorHAnsi"/>
                <w:sz w:val="18"/>
                <w:szCs w:val="18"/>
              </w:rPr>
              <w:t xml:space="preserve"> </w:t>
            </w:r>
          </w:p>
        </w:tc>
      </w:tr>
      <w:tr w:rsidR="00FB798E" w:rsidRPr="00EC4F25" w14:paraId="17095FDC" w14:textId="77777777" w:rsidTr="00F45910">
        <w:tc>
          <w:tcPr>
            <w:tcW w:w="9212" w:type="dxa"/>
            <w:gridSpan w:val="2"/>
            <w:tcBorders>
              <w:top w:val="nil"/>
              <w:left w:val="single" w:sz="4" w:space="0" w:color="auto"/>
              <w:bottom w:val="nil"/>
            </w:tcBorders>
          </w:tcPr>
          <w:p w14:paraId="6070C989" w14:textId="77777777" w:rsidR="00C753A5" w:rsidRDefault="00C753A5" w:rsidP="00F45910">
            <w:pPr>
              <w:jc w:val="center"/>
              <w:rPr>
                <w:rFonts w:asciiTheme="minorHAnsi" w:hAnsiTheme="minorHAnsi" w:cstheme="minorHAnsi"/>
                <w:b/>
                <w:bCs/>
                <w:sz w:val="22"/>
                <w:szCs w:val="22"/>
              </w:rPr>
            </w:pPr>
          </w:p>
          <w:p w14:paraId="45DF1AD0" w14:textId="77777777" w:rsidR="0077740B" w:rsidRDefault="0077740B" w:rsidP="00F45910">
            <w:pPr>
              <w:jc w:val="center"/>
              <w:rPr>
                <w:rFonts w:asciiTheme="minorHAnsi" w:hAnsiTheme="minorHAnsi" w:cstheme="minorHAnsi"/>
                <w:b/>
                <w:bCs/>
                <w:sz w:val="22"/>
                <w:szCs w:val="22"/>
              </w:rPr>
            </w:pPr>
          </w:p>
          <w:p w14:paraId="78753BC6" w14:textId="77777777" w:rsidR="0077740B" w:rsidRDefault="0077740B" w:rsidP="00F45910">
            <w:pPr>
              <w:jc w:val="center"/>
              <w:rPr>
                <w:rFonts w:asciiTheme="minorHAnsi" w:hAnsiTheme="minorHAnsi" w:cstheme="minorHAnsi"/>
                <w:b/>
                <w:bCs/>
                <w:sz w:val="22"/>
                <w:szCs w:val="22"/>
              </w:rPr>
            </w:pPr>
          </w:p>
          <w:p w14:paraId="5958975E" w14:textId="2EA73A35" w:rsidR="00FB798E" w:rsidRDefault="00FB798E" w:rsidP="00F45910">
            <w:pPr>
              <w:jc w:val="center"/>
              <w:rPr>
                <w:rFonts w:asciiTheme="minorHAnsi" w:hAnsiTheme="minorHAnsi" w:cstheme="minorHAnsi"/>
                <w:b/>
                <w:bCs/>
                <w:sz w:val="22"/>
                <w:szCs w:val="22"/>
              </w:rPr>
            </w:pPr>
            <w:r w:rsidRPr="00EC4F25">
              <w:rPr>
                <w:rFonts w:asciiTheme="minorHAnsi" w:hAnsiTheme="minorHAnsi" w:cstheme="minorHAnsi"/>
                <w:b/>
                <w:bCs/>
                <w:sz w:val="22"/>
                <w:szCs w:val="22"/>
              </w:rPr>
              <w:t xml:space="preserve">UZASADNIENIE </w:t>
            </w:r>
          </w:p>
          <w:p w14:paraId="60CAE741" w14:textId="77777777" w:rsidR="00C753A5" w:rsidRPr="00EC4F25" w:rsidRDefault="00C753A5" w:rsidP="00F45910">
            <w:pPr>
              <w:jc w:val="center"/>
              <w:rPr>
                <w:rFonts w:asciiTheme="minorHAnsi" w:hAnsiTheme="minorHAnsi" w:cstheme="minorHAnsi"/>
                <w:b/>
                <w:bCs/>
                <w:sz w:val="22"/>
                <w:szCs w:val="22"/>
              </w:rPr>
            </w:pPr>
          </w:p>
          <w:p w14:paraId="36B3E0FB" w14:textId="50E96DF9" w:rsidR="00FB798E" w:rsidRPr="00EC4F25" w:rsidRDefault="00FB798E"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Decyzją Urzędu Patentowego z dnia 13 grudnia 1999 r. nr PP-ZR 116211 dokonano rejestracji znaku towarowego przestrzennego, z pierwszeństwem od dnia 5 maja 1994 r., do oznaczania pieczywa cukierniczego w klasie towarowej 30. W świetle opisu tego znaku zawartego w podaniu o jego rejestrację: </w:t>
            </w:r>
            <w:r w:rsidR="00D8166E">
              <w:rPr>
                <w:rFonts w:asciiTheme="minorHAnsi" w:hAnsiTheme="minorHAnsi" w:cstheme="minorHAnsi"/>
                <w:sz w:val="22"/>
                <w:szCs w:val="22"/>
              </w:rPr>
              <w:t>„</w:t>
            </w:r>
            <w:r w:rsidRPr="00EC4F25">
              <w:rPr>
                <w:rFonts w:asciiTheme="minorHAnsi" w:hAnsiTheme="minorHAnsi" w:cstheme="minorHAnsi"/>
                <w:sz w:val="22"/>
                <w:szCs w:val="22"/>
              </w:rPr>
              <w:t>Płaskie okrągłe ciastko, którego dolna część stanowiąca krążek z zaokrąglonymi brzegami jest w kolorze jasno-żółtym; na wierzchu ciastko posiada okrągłe wzniesienia o mniejszej średnicy, powierzchnia którego jest wypukła; prostokątna kratka; cała górna powierzchnia ciastka jest w kolorze ciemnego czekoladowego brązu</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Uprawnionym z tego znaku jest LU Polska S.A. w Warszawie, zwana dalej </w:t>
            </w:r>
            <w:r w:rsidR="00D8166E">
              <w:rPr>
                <w:rFonts w:asciiTheme="minorHAnsi" w:hAnsiTheme="minorHAnsi" w:cstheme="minorHAnsi"/>
                <w:sz w:val="22"/>
                <w:szCs w:val="22"/>
              </w:rPr>
              <w:t>„</w:t>
            </w:r>
            <w:r w:rsidRPr="00EC4F25">
              <w:rPr>
                <w:rFonts w:asciiTheme="minorHAnsi" w:hAnsiTheme="minorHAnsi" w:cstheme="minorHAnsi"/>
                <w:sz w:val="22"/>
                <w:szCs w:val="22"/>
              </w:rPr>
              <w:t>skarżącą</w:t>
            </w:r>
            <w:r w:rsidR="00D8166E">
              <w:rPr>
                <w:rFonts w:asciiTheme="minorHAnsi" w:hAnsiTheme="minorHAnsi" w:cstheme="minorHAnsi"/>
                <w:sz w:val="22"/>
                <w:szCs w:val="22"/>
              </w:rPr>
              <w:t>”</w:t>
            </w:r>
            <w:r w:rsidRPr="00EC4F25">
              <w:rPr>
                <w:rFonts w:asciiTheme="minorHAnsi" w:hAnsiTheme="minorHAnsi" w:cstheme="minorHAnsi"/>
                <w:sz w:val="22"/>
                <w:szCs w:val="22"/>
              </w:rPr>
              <w:t>.</w:t>
            </w:r>
          </w:p>
          <w:p w14:paraId="2DCAC7AA" w14:textId="77777777" w:rsidR="00FB798E" w:rsidRPr="00EC4F25" w:rsidRDefault="00FB798E" w:rsidP="00F45910">
            <w:pPr>
              <w:jc w:val="both"/>
              <w:rPr>
                <w:rFonts w:asciiTheme="minorHAnsi" w:hAnsiTheme="minorHAnsi" w:cstheme="minorHAnsi"/>
                <w:sz w:val="22"/>
                <w:szCs w:val="22"/>
              </w:rPr>
            </w:pPr>
          </w:p>
          <w:p w14:paraId="575A8D5D" w14:textId="77777777" w:rsidR="00FB798E" w:rsidRPr="00EC4F25" w:rsidRDefault="00FB798E" w:rsidP="00F45910">
            <w:pPr>
              <w:jc w:val="both"/>
              <w:rPr>
                <w:rFonts w:asciiTheme="minorHAnsi" w:hAnsiTheme="minorHAnsi" w:cstheme="minorHAnsi"/>
                <w:sz w:val="22"/>
                <w:szCs w:val="22"/>
              </w:rPr>
            </w:pPr>
            <w:r w:rsidRPr="00EC4F25">
              <w:rPr>
                <w:rFonts w:asciiTheme="minorHAnsi" w:hAnsiTheme="minorHAnsi" w:cstheme="minorHAnsi"/>
                <w:sz w:val="22"/>
                <w:szCs w:val="22"/>
              </w:rPr>
              <w:t>Wniosek o unieważnienie prawa z rejestracji wyżej wymienionego znaku towarowego złożyli:</w:t>
            </w:r>
          </w:p>
          <w:p w14:paraId="47EE0300" w14:textId="77777777" w:rsidR="00FB798E" w:rsidRPr="00EC4F25" w:rsidRDefault="00FB798E" w:rsidP="00F45910">
            <w:pPr>
              <w:jc w:val="both"/>
              <w:rPr>
                <w:rFonts w:asciiTheme="minorHAnsi" w:hAnsiTheme="minorHAnsi" w:cstheme="minorHAnsi"/>
                <w:sz w:val="22"/>
                <w:szCs w:val="22"/>
              </w:rPr>
            </w:pPr>
          </w:p>
          <w:p w14:paraId="10F5E527" w14:textId="77777777" w:rsidR="00FB798E" w:rsidRPr="00EC4F25" w:rsidRDefault="00FB798E" w:rsidP="001F6BE3">
            <w:pPr>
              <w:pStyle w:val="Akapitzlist"/>
              <w:numPr>
                <w:ilvl w:val="0"/>
                <w:numId w:val="27"/>
              </w:numPr>
              <w:tabs>
                <w:tab w:val="left" w:pos="264"/>
              </w:tabs>
              <w:ind w:left="264" w:hanging="264"/>
              <w:contextualSpacing/>
              <w:jc w:val="both"/>
              <w:rPr>
                <w:rFonts w:asciiTheme="minorHAnsi" w:hAnsiTheme="minorHAnsi" w:cstheme="minorHAnsi"/>
                <w:sz w:val="22"/>
                <w:szCs w:val="22"/>
              </w:rPr>
            </w:pPr>
            <w:r w:rsidRPr="00EC4F25">
              <w:rPr>
                <w:rFonts w:asciiTheme="minorHAnsi" w:hAnsiTheme="minorHAnsi" w:cstheme="minorHAnsi"/>
                <w:sz w:val="22"/>
                <w:szCs w:val="22"/>
              </w:rPr>
              <w:t>Zakład Produkcyjno-Handlowo-Usługowy „</w:t>
            </w:r>
            <w:proofErr w:type="spellStart"/>
            <w:r w:rsidRPr="00EC4F25">
              <w:rPr>
                <w:rFonts w:asciiTheme="minorHAnsi" w:hAnsiTheme="minorHAnsi" w:cstheme="minorHAnsi"/>
                <w:sz w:val="22"/>
                <w:szCs w:val="22"/>
              </w:rPr>
              <w:t>Delic</w:t>
            </w:r>
            <w:proofErr w:type="spellEnd"/>
            <w:r w:rsidRPr="00EC4F25">
              <w:rPr>
                <w:rFonts w:asciiTheme="minorHAnsi" w:hAnsiTheme="minorHAnsi" w:cstheme="minorHAnsi"/>
                <w:sz w:val="22"/>
                <w:szCs w:val="22"/>
              </w:rPr>
              <w:t>-Pol” Sp z o.o. w Lindowie, Lipie k/Częstochowy,</w:t>
            </w:r>
          </w:p>
          <w:p w14:paraId="4464CDF4" w14:textId="77777777" w:rsidR="00FB798E" w:rsidRPr="00EC4F25" w:rsidRDefault="00FB798E" w:rsidP="001F6BE3">
            <w:pPr>
              <w:pStyle w:val="Akapitzlist"/>
              <w:numPr>
                <w:ilvl w:val="0"/>
                <w:numId w:val="27"/>
              </w:numPr>
              <w:tabs>
                <w:tab w:val="left" w:pos="264"/>
              </w:tabs>
              <w:ind w:left="264" w:hanging="264"/>
              <w:contextualSpacing/>
              <w:jc w:val="both"/>
              <w:rPr>
                <w:rFonts w:asciiTheme="minorHAnsi" w:hAnsiTheme="minorHAnsi" w:cstheme="minorHAnsi"/>
                <w:sz w:val="22"/>
                <w:szCs w:val="22"/>
              </w:rPr>
            </w:pPr>
            <w:r w:rsidRPr="00EC4F25">
              <w:rPr>
                <w:rFonts w:asciiTheme="minorHAnsi" w:hAnsiTheme="minorHAnsi" w:cstheme="minorHAnsi"/>
                <w:sz w:val="22"/>
                <w:szCs w:val="22"/>
              </w:rPr>
              <w:t xml:space="preserve">Przedsiębiorstwo Usługowo-Produkcyjno-Handlowe </w:t>
            </w:r>
            <w:proofErr w:type="spellStart"/>
            <w:r w:rsidRPr="00EC4F25">
              <w:rPr>
                <w:rFonts w:asciiTheme="minorHAnsi" w:hAnsiTheme="minorHAnsi" w:cstheme="minorHAnsi"/>
                <w:sz w:val="22"/>
                <w:szCs w:val="22"/>
              </w:rPr>
              <w:t>Cuprod</w:t>
            </w:r>
            <w:proofErr w:type="spellEnd"/>
            <w:r w:rsidRPr="00EC4F25">
              <w:rPr>
                <w:rFonts w:asciiTheme="minorHAnsi" w:hAnsiTheme="minorHAnsi" w:cstheme="minorHAnsi"/>
                <w:sz w:val="22"/>
                <w:szCs w:val="22"/>
              </w:rPr>
              <w:t>,</w:t>
            </w:r>
          </w:p>
          <w:p w14:paraId="6A3DD9BD" w14:textId="776A6198" w:rsidR="00FB798E" w:rsidRPr="00EC4F25" w:rsidRDefault="00FB798E" w:rsidP="001F6BE3">
            <w:pPr>
              <w:pStyle w:val="Akapitzlist"/>
              <w:numPr>
                <w:ilvl w:val="0"/>
                <w:numId w:val="27"/>
              </w:numPr>
              <w:tabs>
                <w:tab w:val="left" w:pos="264"/>
              </w:tabs>
              <w:ind w:left="264" w:hanging="264"/>
              <w:contextualSpacing/>
              <w:jc w:val="both"/>
              <w:rPr>
                <w:rFonts w:asciiTheme="minorHAnsi" w:hAnsiTheme="minorHAnsi" w:cstheme="minorHAnsi"/>
                <w:sz w:val="22"/>
                <w:szCs w:val="22"/>
              </w:rPr>
            </w:pPr>
            <w:r w:rsidRPr="00EC4F25">
              <w:rPr>
                <w:rFonts w:asciiTheme="minorHAnsi" w:hAnsiTheme="minorHAnsi" w:cstheme="minorHAnsi"/>
                <w:sz w:val="22"/>
                <w:szCs w:val="22"/>
              </w:rPr>
              <w:t xml:space="preserve">Spółdzielnia Pracy </w:t>
            </w:r>
            <w:r w:rsidR="00D8166E">
              <w:rPr>
                <w:rFonts w:asciiTheme="minorHAnsi" w:hAnsiTheme="minorHAnsi" w:cstheme="minorHAnsi"/>
                <w:sz w:val="22"/>
                <w:szCs w:val="22"/>
              </w:rPr>
              <w:t>„</w:t>
            </w:r>
            <w:r w:rsidRPr="00EC4F25">
              <w:rPr>
                <w:rFonts w:asciiTheme="minorHAnsi" w:hAnsiTheme="minorHAnsi" w:cstheme="minorHAnsi"/>
                <w:sz w:val="22"/>
                <w:szCs w:val="22"/>
              </w:rPr>
              <w:t>Cukry Nyskie</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w Nysie,</w:t>
            </w:r>
          </w:p>
          <w:p w14:paraId="61D7082B" w14:textId="5C349D90" w:rsidR="00FB798E" w:rsidRPr="00EC4F25" w:rsidRDefault="00D8166E" w:rsidP="001F6BE3">
            <w:pPr>
              <w:pStyle w:val="Akapitzlist"/>
              <w:numPr>
                <w:ilvl w:val="0"/>
                <w:numId w:val="27"/>
              </w:numPr>
              <w:tabs>
                <w:tab w:val="left" w:pos="264"/>
              </w:tabs>
              <w:ind w:left="264" w:hanging="264"/>
              <w:contextualSpacing/>
              <w:jc w:val="both"/>
              <w:rPr>
                <w:rFonts w:asciiTheme="minorHAnsi" w:hAnsiTheme="minorHAnsi" w:cstheme="minorHAnsi"/>
                <w:sz w:val="22"/>
                <w:szCs w:val="22"/>
              </w:rPr>
            </w:pPr>
            <w:r>
              <w:rPr>
                <w:rFonts w:asciiTheme="minorHAnsi" w:hAnsiTheme="minorHAnsi" w:cstheme="minorHAnsi"/>
                <w:sz w:val="22"/>
                <w:szCs w:val="22"/>
              </w:rPr>
              <w:t>„</w:t>
            </w:r>
            <w:r w:rsidR="00FB798E" w:rsidRPr="00EC4F25">
              <w:rPr>
                <w:rFonts w:asciiTheme="minorHAnsi" w:hAnsiTheme="minorHAnsi" w:cstheme="minorHAnsi"/>
                <w:sz w:val="22"/>
                <w:szCs w:val="22"/>
              </w:rPr>
              <w:t>Pol-Mar.</w:t>
            </w:r>
            <w:r>
              <w:rPr>
                <w:rFonts w:asciiTheme="minorHAnsi" w:hAnsiTheme="minorHAnsi" w:cstheme="minorHAnsi"/>
                <w:sz w:val="22"/>
                <w:szCs w:val="22"/>
              </w:rPr>
              <w:t>”</w:t>
            </w:r>
            <w:r w:rsidR="00FB798E" w:rsidRPr="00EC4F25">
              <w:rPr>
                <w:rFonts w:asciiTheme="minorHAnsi" w:hAnsiTheme="minorHAnsi" w:cstheme="minorHAnsi"/>
                <w:sz w:val="22"/>
                <w:szCs w:val="22"/>
              </w:rPr>
              <w:t xml:space="preserve"> </w:t>
            </w:r>
            <w:proofErr w:type="spellStart"/>
            <w:r w:rsidR="00FB798E" w:rsidRPr="00EC4F25">
              <w:rPr>
                <w:rFonts w:asciiTheme="minorHAnsi" w:hAnsiTheme="minorHAnsi" w:cstheme="minorHAnsi"/>
                <w:sz w:val="22"/>
                <w:szCs w:val="22"/>
              </w:rPr>
              <w:t>Przedsięiorstwo</w:t>
            </w:r>
            <w:proofErr w:type="spellEnd"/>
            <w:r w:rsidR="00FB798E" w:rsidRPr="00EC4F25">
              <w:rPr>
                <w:rFonts w:asciiTheme="minorHAnsi" w:hAnsiTheme="minorHAnsi" w:cstheme="minorHAnsi"/>
                <w:sz w:val="22"/>
                <w:szCs w:val="22"/>
              </w:rPr>
              <w:t xml:space="preserve"> Produkcyjno-Handlowe „Export-Import” </w:t>
            </w:r>
            <w:proofErr w:type="spellStart"/>
            <w:proofErr w:type="gramStart"/>
            <w:r w:rsidR="00FB798E" w:rsidRPr="00EC4F25">
              <w:rPr>
                <w:rFonts w:asciiTheme="minorHAnsi" w:hAnsiTheme="minorHAnsi" w:cstheme="minorHAnsi"/>
                <w:sz w:val="22"/>
                <w:szCs w:val="22"/>
              </w:rPr>
              <w:t>CZUBA,Spółka</w:t>
            </w:r>
            <w:proofErr w:type="spellEnd"/>
            <w:proofErr w:type="gramEnd"/>
            <w:r w:rsidR="00FB798E" w:rsidRPr="00EC4F25">
              <w:rPr>
                <w:rFonts w:asciiTheme="minorHAnsi" w:hAnsiTheme="minorHAnsi" w:cstheme="minorHAnsi"/>
                <w:sz w:val="22"/>
                <w:szCs w:val="22"/>
              </w:rPr>
              <w:t xml:space="preserve"> Jawna w Łodzi,</w:t>
            </w:r>
          </w:p>
          <w:p w14:paraId="116131AA" w14:textId="77777777" w:rsidR="00FB798E" w:rsidRPr="00EC4F25" w:rsidRDefault="00FB798E" w:rsidP="001F6BE3">
            <w:pPr>
              <w:pStyle w:val="Akapitzlist"/>
              <w:numPr>
                <w:ilvl w:val="0"/>
                <w:numId w:val="27"/>
              </w:numPr>
              <w:tabs>
                <w:tab w:val="left" w:pos="264"/>
              </w:tabs>
              <w:ind w:left="264" w:hanging="264"/>
              <w:contextualSpacing/>
              <w:jc w:val="both"/>
              <w:rPr>
                <w:rFonts w:asciiTheme="minorHAnsi" w:hAnsiTheme="minorHAnsi" w:cstheme="minorHAnsi"/>
                <w:b/>
                <w:bCs/>
                <w:sz w:val="22"/>
                <w:szCs w:val="22"/>
              </w:rPr>
            </w:pPr>
            <w:r w:rsidRPr="00EC4F25">
              <w:rPr>
                <w:rFonts w:asciiTheme="minorHAnsi" w:hAnsiTheme="minorHAnsi" w:cstheme="minorHAnsi"/>
                <w:sz w:val="22"/>
                <w:szCs w:val="22"/>
              </w:rPr>
              <w:t>„</w:t>
            </w:r>
            <w:proofErr w:type="spellStart"/>
            <w:r w:rsidRPr="00EC4F25">
              <w:rPr>
                <w:rFonts w:asciiTheme="minorHAnsi" w:hAnsiTheme="minorHAnsi" w:cstheme="minorHAnsi"/>
                <w:sz w:val="22"/>
                <w:szCs w:val="22"/>
              </w:rPr>
              <w:t>Lider’s</w:t>
            </w:r>
            <w:proofErr w:type="spellEnd"/>
            <w:r w:rsidRPr="00EC4F25">
              <w:rPr>
                <w:rFonts w:asciiTheme="minorHAnsi" w:hAnsiTheme="minorHAnsi" w:cstheme="minorHAnsi"/>
                <w:sz w:val="22"/>
                <w:szCs w:val="22"/>
              </w:rPr>
              <w:t xml:space="preserve"> 2000” Sp z o.o. w Lipinach Starych</w:t>
            </w:r>
          </w:p>
          <w:p w14:paraId="58BB0AA4" w14:textId="77777777" w:rsidR="00FB798E" w:rsidRPr="00EC4F25" w:rsidRDefault="00FB798E" w:rsidP="00F45910">
            <w:pPr>
              <w:tabs>
                <w:tab w:val="left" w:pos="264"/>
              </w:tabs>
              <w:jc w:val="both"/>
              <w:rPr>
                <w:rFonts w:asciiTheme="minorHAnsi" w:hAnsiTheme="minorHAnsi" w:cstheme="minorHAnsi"/>
                <w:b/>
                <w:bCs/>
                <w:sz w:val="22"/>
                <w:szCs w:val="22"/>
              </w:rPr>
            </w:pPr>
          </w:p>
          <w:p w14:paraId="1A942526" w14:textId="32C1E904"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Wspomnianej rejestracji zarzucono w szczególności naruszenie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ust. 1,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ust. 1 i 2 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8 pkt 1 ustawy z dnia 31 stycznia 1985 r. o znakach towarowych (Dz. U. Nr 5, poz. 17 ze zm.), zwanej u.z.t. Stosownie do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ust. 1 u.z.t. znakiem towarowym, w rozumieniu ustawy, może być znak nadający się do odróżniania towarów lub usług określonego przedsiębiorstwa od towarów lub usług tego samego rodzaju innych przedsiębiorstw. W świetle zaś ust. 2 powołanego artykułu znakiem towarowym może być w szczególności wyraz, rysunek, ornament, kompozycja kolorystyczna, forma plastyczna, melodia lub inny sygnał dźwiękowy bądź zestawienie tych elementów. Zgodnie z </w:t>
            </w:r>
            <w:r w:rsidR="00D8166E">
              <w:rPr>
                <w:rFonts w:asciiTheme="minorHAnsi" w:hAnsiTheme="minorHAnsi" w:cstheme="minorHAnsi"/>
                <w:sz w:val="22"/>
                <w:szCs w:val="22"/>
              </w:rPr>
              <w:t>art</w:t>
            </w:r>
            <w:r w:rsidRPr="00EC4F25">
              <w:rPr>
                <w:rFonts w:asciiTheme="minorHAnsi" w:hAnsiTheme="minorHAnsi" w:cstheme="minorHAnsi"/>
                <w:sz w:val="22"/>
                <w:szCs w:val="22"/>
              </w:rPr>
              <w:t>. 7 ust. 1 u.z.t. jako znak towarowy może być zarejestrowany tylko znak, który ma dostateczne znamiona odróżniające w zwykłych warunkach obrotu gospodarczego. W myśl ust. 2 powołanego artykułu nie ma dostatecznych znamion odróżniających znak, który stanowi tylko nazwę rodzajową towaru lub informuje jedynie o właściwości, jakości, liczbie, ilości, masie, cenie, przeznaczeniu, sposobie, czasie lub miejscu wytworzenia, składzie, funkcji lub przydatności towaru, bądź inne podobne oznaczenie nie dające wystarczających podstaw odróżniających pochodzenie towaru.</w:t>
            </w:r>
          </w:p>
          <w:p w14:paraId="4061E80A" w14:textId="47AF57CD"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Stosownie zaś do </w:t>
            </w:r>
            <w:r w:rsidR="00D8166E">
              <w:rPr>
                <w:rFonts w:asciiTheme="minorHAnsi" w:hAnsiTheme="minorHAnsi" w:cstheme="minorHAnsi"/>
                <w:sz w:val="22"/>
                <w:szCs w:val="22"/>
              </w:rPr>
              <w:t>art</w:t>
            </w:r>
            <w:r w:rsidRPr="00EC4F25">
              <w:rPr>
                <w:rFonts w:asciiTheme="minorHAnsi" w:hAnsiTheme="minorHAnsi" w:cstheme="minorHAnsi"/>
                <w:sz w:val="22"/>
                <w:szCs w:val="22"/>
              </w:rPr>
              <w:t>. 8 pkt 1 u.z.t. niedopuszczalna jest rejestracja znaku, który jest sprzeczny z obowiązującym prawem lub zasadami współżycia społecznego.</w:t>
            </w:r>
          </w:p>
          <w:p w14:paraId="070F9B2F" w14:textId="77777777" w:rsidR="00FB798E" w:rsidRPr="00EC4F25" w:rsidRDefault="00FB798E" w:rsidP="00F45910">
            <w:pPr>
              <w:tabs>
                <w:tab w:val="left" w:pos="264"/>
              </w:tabs>
              <w:jc w:val="both"/>
              <w:rPr>
                <w:rFonts w:asciiTheme="minorHAnsi" w:hAnsiTheme="minorHAnsi" w:cstheme="minorHAnsi"/>
                <w:sz w:val="22"/>
                <w:szCs w:val="22"/>
              </w:rPr>
            </w:pPr>
          </w:p>
          <w:p w14:paraId="7CC0FB7D"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Ostateczną decyzją Urzędu Patentowego z dnia 26 marca 2003 r. Sp. 215/01, 20/02, 55/02, 56/02, 75/02 unieważniono prawo z rejestracji znaku towarowego przestrzennego nr R. 116211</w:t>
            </w:r>
          </w:p>
          <w:p w14:paraId="127CEB11" w14:textId="77777777" w:rsidR="00FB798E" w:rsidRPr="00EC4F25" w:rsidRDefault="00FB798E" w:rsidP="00F45910">
            <w:pPr>
              <w:tabs>
                <w:tab w:val="left" w:pos="264"/>
              </w:tabs>
              <w:jc w:val="both"/>
              <w:rPr>
                <w:rFonts w:asciiTheme="minorHAnsi" w:hAnsiTheme="minorHAnsi" w:cstheme="minorHAnsi"/>
                <w:sz w:val="22"/>
                <w:szCs w:val="22"/>
              </w:rPr>
            </w:pPr>
          </w:p>
          <w:p w14:paraId="5D529A01" w14:textId="60632DF2"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Według Urzędu Patentowego sporna rejestracja naruszyła w pierwszej kolejności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Urząd Patentowy dokonał wykładni tego przepisu przez pryzmat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3 pierwszej dyrektywy Rady Wspólnot Europejskich nr 89/104/EWG o harmonizacji przepisów Państw Członkowskich o znakach towarowych. W myśl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3 ust. 1 Dyrektywy </w:t>
            </w:r>
            <w:r w:rsidR="00D8166E">
              <w:rPr>
                <w:rFonts w:asciiTheme="minorHAnsi" w:hAnsiTheme="minorHAnsi" w:cstheme="minorHAnsi"/>
                <w:sz w:val="22"/>
                <w:szCs w:val="22"/>
              </w:rPr>
              <w:t>„</w:t>
            </w:r>
            <w:r w:rsidRPr="00EC4F25">
              <w:rPr>
                <w:rFonts w:asciiTheme="minorHAnsi" w:hAnsiTheme="minorHAnsi" w:cstheme="minorHAnsi"/>
                <w:sz w:val="22"/>
                <w:szCs w:val="22"/>
              </w:rPr>
              <w:t>Z rejestracji wyłączone są lub w przypadku ich zarejestrowania podlegają unieważnieniu następujące oznaczenia lub znaki towarowe:</w:t>
            </w:r>
          </w:p>
          <w:p w14:paraId="44EB065C" w14:textId="77777777" w:rsidR="00FB798E" w:rsidRPr="00EC4F25" w:rsidRDefault="00FB798E" w:rsidP="00F45910">
            <w:pPr>
              <w:tabs>
                <w:tab w:val="left" w:pos="264"/>
              </w:tabs>
              <w:jc w:val="both"/>
              <w:rPr>
                <w:rFonts w:asciiTheme="minorHAnsi" w:hAnsiTheme="minorHAnsi" w:cstheme="minorHAnsi"/>
                <w:sz w:val="22"/>
                <w:szCs w:val="22"/>
              </w:rPr>
            </w:pPr>
          </w:p>
          <w:p w14:paraId="075FC3C7" w14:textId="57E699BE" w:rsidR="00FB798E" w:rsidRPr="00D8166E" w:rsidRDefault="00FB798E" w:rsidP="00D8166E">
            <w:pPr>
              <w:pStyle w:val="Akapitzlist"/>
              <w:numPr>
                <w:ilvl w:val="1"/>
                <w:numId w:val="11"/>
              </w:numPr>
              <w:tabs>
                <w:tab w:val="left" w:pos="264"/>
              </w:tabs>
              <w:jc w:val="both"/>
              <w:rPr>
                <w:rFonts w:eastAsia="Times New Roman" w:cstheme="minorHAnsi"/>
              </w:rPr>
            </w:pPr>
            <w:r w:rsidRPr="00D8166E">
              <w:rPr>
                <w:rFonts w:eastAsia="Times New Roman" w:cstheme="minorHAnsi"/>
              </w:rPr>
              <w:t>oznaczenia, które nie są rejestrowane jako znaki towarowe,</w:t>
            </w:r>
          </w:p>
          <w:p w14:paraId="7FE66049" w14:textId="77777777" w:rsidR="00FB798E" w:rsidRPr="00EC4F25" w:rsidRDefault="00FB798E" w:rsidP="00F45910">
            <w:pPr>
              <w:tabs>
                <w:tab w:val="left" w:pos="264"/>
              </w:tabs>
              <w:jc w:val="both"/>
              <w:rPr>
                <w:rFonts w:asciiTheme="minorHAnsi" w:hAnsiTheme="minorHAnsi" w:cstheme="minorHAnsi"/>
                <w:sz w:val="22"/>
                <w:szCs w:val="22"/>
              </w:rPr>
            </w:pPr>
          </w:p>
          <w:p w14:paraId="4408DD29"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b) znaki towarowe, które nie posiadają zdolności odróżniającej,</w:t>
            </w:r>
          </w:p>
          <w:p w14:paraId="2319457D" w14:textId="77777777" w:rsidR="00FB798E" w:rsidRPr="00EC4F25" w:rsidRDefault="00FB798E" w:rsidP="00F45910">
            <w:pPr>
              <w:tabs>
                <w:tab w:val="left" w:pos="264"/>
              </w:tabs>
              <w:jc w:val="both"/>
              <w:rPr>
                <w:rFonts w:asciiTheme="minorHAnsi" w:hAnsiTheme="minorHAnsi" w:cstheme="minorHAnsi"/>
                <w:sz w:val="22"/>
                <w:szCs w:val="22"/>
              </w:rPr>
            </w:pPr>
          </w:p>
          <w:p w14:paraId="1B8B8CDA" w14:textId="18AAF620" w:rsidR="00FB798E" w:rsidRPr="00D8166E" w:rsidRDefault="00FB798E" w:rsidP="00D8166E">
            <w:pPr>
              <w:pStyle w:val="Akapitzlist"/>
              <w:numPr>
                <w:ilvl w:val="1"/>
                <w:numId w:val="11"/>
              </w:numPr>
              <w:tabs>
                <w:tab w:val="left" w:pos="264"/>
              </w:tabs>
              <w:jc w:val="both"/>
              <w:rPr>
                <w:rFonts w:eastAsia="Times New Roman" w:cstheme="minorHAnsi"/>
              </w:rPr>
            </w:pPr>
            <w:r w:rsidRPr="00D8166E">
              <w:rPr>
                <w:rFonts w:eastAsia="Times New Roman" w:cstheme="minorHAnsi"/>
              </w:rPr>
              <w:t>znaki towarowe, które składają się wyłącznie z oznaczeń lub danych, które mogą służyć w obrocie dla wskazania rodzaju, właściwości, ilości, przeznaczenia, wartości, pochodzenia geograficznego lub czasu wyprodukowania towaru lub świadczenia usługi lub do oznaczenia innych cech towaru lub usługi, d) znaki towarowe składające się wyłącznie z oznaczeń lub danych, które stały się powszechnymi w ogólnym użyciu językowym lub w ustalonych i prowadzonych w dobrej wierze praktykach handlowych,</w:t>
            </w:r>
          </w:p>
          <w:p w14:paraId="53A742C3" w14:textId="77777777" w:rsidR="00FB798E" w:rsidRPr="00EC4F25" w:rsidRDefault="00FB798E" w:rsidP="00F45910">
            <w:pPr>
              <w:tabs>
                <w:tab w:val="left" w:pos="264"/>
              </w:tabs>
              <w:jc w:val="both"/>
              <w:rPr>
                <w:rFonts w:asciiTheme="minorHAnsi" w:hAnsiTheme="minorHAnsi" w:cstheme="minorHAnsi"/>
                <w:sz w:val="22"/>
                <w:szCs w:val="22"/>
              </w:rPr>
            </w:pPr>
          </w:p>
          <w:p w14:paraId="52B91C30" w14:textId="52C3E386" w:rsidR="00FB798E" w:rsidRPr="00D8166E" w:rsidRDefault="00FB798E" w:rsidP="00D8166E">
            <w:pPr>
              <w:pStyle w:val="Akapitzlist"/>
              <w:numPr>
                <w:ilvl w:val="1"/>
                <w:numId w:val="11"/>
              </w:numPr>
              <w:tabs>
                <w:tab w:val="left" w:pos="264"/>
              </w:tabs>
              <w:jc w:val="both"/>
              <w:rPr>
                <w:rFonts w:eastAsia="Times New Roman" w:cstheme="minorHAnsi"/>
              </w:rPr>
            </w:pPr>
            <w:r w:rsidRPr="00D8166E">
              <w:rPr>
                <w:rFonts w:eastAsia="Times New Roman" w:cstheme="minorHAnsi"/>
              </w:rPr>
              <w:t>oznaczenia składające się wyłącznie z:</w:t>
            </w:r>
          </w:p>
          <w:p w14:paraId="227B461D" w14:textId="77777777" w:rsidR="00FB798E" w:rsidRPr="00EC4F25" w:rsidRDefault="00FB798E" w:rsidP="00F45910">
            <w:pPr>
              <w:tabs>
                <w:tab w:val="left" w:pos="264"/>
              </w:tabs>
              <w:jc w:val="both"/>
              <w:rPr>
                <w:rFonts w:asciiTheme="minorHAnsi" w:hAnsiTheme="minorHAnsi" w:cstheme="minorHAnsi"/>
                <w:sz w:val="22"/>
                <w:szCs w:val="22"/>
              </w:rPr>
            </w:pPr>
          </w:p>
          <w:p w14:paraId="6E3D96DB" w14:textId="1504988B" w:rsidR="00FB798E" w:rsidRPr="00D8166E" w:rsidRDefault="00FB798E" w:rsidP="00D8166E">
            <w:pPr>
              <w:pStyle w:val="Akapitzlist"/>
              <w:numPr>
                <w:ilvl w:val="1"/>
                <w:numId w:val="11"/>
              </w:numPr>
              <w:tabs>
                <w:tab w:val="left" w:pos="264"/>
              </w:tabs>
              <w:jc w:val="both"/>
              <w:rPr>
                <w:rFonts w:eastAsia="Times New Roman" w:cstheme="minorHAnsi"/>
              </w:rPr>
            </w:pPr>
            <w:r w:rsidRPr="00D8166E">
              <w:rPr>
                <w:rFonts w:eastAsia="Times New Roman" w:cstheme="minorHAnsi"/>
              </w:rPr>
              <w:t>kształtu, który uwarunkowany jest samym rodzajem towaru,</w:t>
            </w:r>
          </w:p>
          <w:p w14:paraId="4BD144F9" w14:textId="77777777" w:rsidR="00FB798E" w:rsidRPr="00EC4F25" w:rsidRDefault="00FB798E" w:rsidP="00F45910">
            <w:pPr>
              <w:tabs>
                <w:tab w:val="left" w:pos="264"/>
              </w:tabs>
              <w:jc w:val="both"/>
              <w:rPr>
                <w:rFonts w:asciiTheme="minorHAnsi" w:hAnsiTheme="minorHAnsi" w:cstheme="minorHAnsi"/>
                <w:sz w:val="22"/>
                <w:szCs w:val="22"/>
              </w:rPr>
            </w:pPr>
          </w:p>
          <w:p w14:paraId="364FD036"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ii) kształtu, który jest niezbędny dla uzyskania właściwości technicznych towaru,</w:t>
            </w:r>
          </w:p>
          <w:p w14:paraId="2EF37399" w14:textId="77777777" w:rsidR="00FB798E" w:rsidRPr="00EC4F25" w:rsidRDefault="00FB798E" w:rsidP="00F45910">
            <w:pPr>
              <w:tabs>
                <w:tab w:val="left" w:pos="264"/>
              </w:tabs>
              <w:jc w:val="both"/>
              <w:rPr>
                <w:rFonts w:asciiTheme="minorHAnsi" w:hAnsiTheme="minorHAnsi" w:cstheme="minorHAnsi"/>
                <w:sz w:val="22"/>
                <w:szCs w:val="22"/>
              </w:rPr>
            </w:pPr>
          </w:p>
          <w:p w14:paraId="4CA66F1A"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iii) kształtu, który nadaje towarom istotna wartość.</w:t>
            </w:r>
          </w:p>
          <w:p w14:paraId="28010CF7" w14:textId="77777777" w:rsidR="00FB798E" w:rsidRPr="00EC4F25" w:rsidRDefault="00FB798E" w:rsidP="00F45910">
            <w:pPr>
              <w:tabs>
                <w:tab w:val="left" w:pos="264"/>
              </w:tabs>
              <w:jc w:val="both"/>
              <w:rPr>
                <w:rFonts w:asciiTheme="minorHAnsi" w:hAnsiTheme="minorHAnsi" w:cstheme="minorHAnsi"/>
                <w:sz w:val="22"/>
                <w:szCs w:val="22"/>
              </w:rPr>
            </w:pPr>
          </w:p>
          <w:p w14:paraId="4B5B3560" w14:textId="357F7239"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ocenie Urzędu Patentowego kształt i kolorystyka ciastka opisanego i pokazanego w podaniu o rejestrację znaku R. 116211 należą według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3 ust. 1 lit. </w:t>
            </w:r>
            <w:r w:rsidR="00D8166E" w:rsidRPr="00EC4F25">
              <w:rPr>
                <w:rFonts w:asciiTheme="minorHAnsi" w:hAnsiTheme="minorHAnsi" w:cstheme="minorHAnsi"/>
                <w:sz w:val="22"/>
                <w:szCs w:val="22"/>
              </w:rPr>
              <w:t>E</w:t>
            </w:r>
            <w:r w:rsidRPr="00EC4F25">
              <w:rPr>
                <w:rFonts w:asciiTheme="minorHAnsi" w:hAnsiTheme="minorHAnsi" w:cstheme="minorHAnsi"/>
                <w:sz w:val="22"/>
                <w:szCs w:val="22"/>
              </w:rPr>
              <w:t xml:space="preserve"> pierwszej dyrektywy do kształtów uwarunkowanych samym rodzajem towaru (ciastko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Ponadto, na co zwrócił uwagę Urząd Patentowy, w rejestracji zastrzeżono również kolory ciasta (jasno żółty i czekoladowy), wynikające z samej natury produktów z jakich jest wykonane ciastko. Okrągłe zaś wzniesienie o mniejszej średnicy na ciastku jest następstwem usytuowania nadzienia w postaci krążka galaretki, zaś kratka wynika z technologii produkcji.</w:t>
            </w:r>
          </w:p>
          <w:p w14:paraId="051B6EF5" w14:textId="77777777" w:rsidR="00FB798E" w:rsidRPr="00EC4F25" w:rsidRDefault="00FB798E" w:rsidP="00F45910">
            <w:pPr>
              <w:tabs>
                <w:tab w:val="left" w:pos="264"/>
              </w:tabs>
              <w:jc w:val="both"/>
              <w:rPr>
                <w:rFonts w:asciiTheme="minorHAnsi" w:hAnsiTheme="minorHAnsi" w:cstheme="minorHAnsi"/>
                <w:sz w:val="22"/>
                <w:szCs w:val="22"/>
              </w:rPr>
            </w:pPr>
          </w:p>
          <w:p w14:paraId="087C60A2" w14:textId="2A6DBB51"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Zdaniem Urzędu Patentowego sporna rejestracja zapadła również z naruszeniem </w:t>
            </w:r>
            <w:r w:rsidR="00D8166E">
              <w:rPr>
                <w:rFonts w:asciiTheme="minorHAnsi" w:hAnsiTheme="minorHAnsi" w:cstheme="minorHAnsi"/>
                <w:sz w:val="22"/>
                <w:szCs w:val="22"/>
              </w:rPr>
              <w:t>art</w:t>
            </w:r>
            <w:r w:rsidRPr="00EC4F25">
              <w:rPr>
                <w:rFonts w:asciiTheme="minorHAnsi" w:hAnsiTheme="minorHAnsi" w:cstheme="minorHAnsi"/>
                <w:sz w:val="22"/>
                <w:szCs w:val="22"/>
              </w:rPr>
              <w:t>. 7 u.z.t., gdyż kształt i kolorystyka ciastka opisanego i pokazanego w podaniu o rejestrację znaku R. 116211 należy zakwalifikować do oznaczeń ogólnoinformacyjnych, niemających znamion odróżniających w świetle powołanego wyżej przepisu.</w:t>
            </w:r>
          </w:p>
          <w:p w14:paraId="2693E019" w14:textId="77777777" w:rsidR="00FB798E" w:rsidRPr="00EC4F25" w:rsidRDefault="00FB798E" w:rsidP="00F45910">
            <w:pPr>
              <w:tabs>
                <w:tab w:val="left" w:pos="264"/>
              </w:tabs>
              <w:jc w:val="both"/>
              <w:rPr>
                <w:rFonts w:asciiTheme="minorHAnsi" w:hAnsiTheme="minorHAnsi" w:cstheme="minorHAnsi"/>
                <w:b/>
                <w:bCs/>
                <w:sz w:val="22"/>
                <w:szCs w:val="22"/>
              </w:rPr>
            </w:pPr>
          </w:p>
          <w:p w14:paraId="1208F03C" w14:textId="29D46D50"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Ponadto w ocenie Urzędu Patentowego rejestracja omawianego znaku towarowego zapadła także z naruszeniem </w:t>
            </w:r>
            <w:r w:rsidR="00D8166E">
              <w:rPr>
                <w:rFonts w:asciiTheme="minorHAnsi" w:hAnsiTheme="minorHAnsi" w:cstheme="minorHAnsi"/>
                <w:sz w:val="22"/>
                <w:szCs w:val="22"/>
              </w:rPr>
              <w:t>art</w:t>
            </w:r>
            <w:r w:rsidRPr="00EC4F25">
              <w:rPr>
                <w:rFonts w:asciiTheme="minorHAnsi" w:hAnsiTheme="minorHAnsi" w:cstheme="minorHAnsi"/>
                <w:sz w:val="22"/>
                <w:szCs w:val="22"/>
              </w:rPr>
              <w:t>. 8 pkt 1 u.z.t. Skutkiem rejestracji jest bowiem ograniczenie konkurencji z naruszeniem prawa i zasad współżycia społecznego, gdyż eliminowani są z rynku przedsiębiorcy wytwarzający ciastka według wspomnianego wzoru przed datą zgłoszenia go przez skarżącą do rejestracji.</w:t>
            </w:r>
          </w:p>
          <w:p w14:paraId="7BF4D668" w14:textId="77777777" w:rsidR="00FB798E" w:rsidRPr="00EC4F25" w:rsidRDefault="00FB798E" w:rsidP="00F45910">
            <w:pPr>
              <w:tabs>
                <w:tab w:val="left" w:pos="264"/>
              </w:tabs>
              <w:jc w:val="both"/>
              <w:rPr>
                <w:rFonts w:asciiTheme="minorHAnsi" w:hAnsiTheme="minorHAnsi" w:cstheme="minorHAnsi"/>
                <w:sz w:val="22"/>
                <w:szCs w:val="22"/>
              </w:rPr>
            </w:pPr>
          </w:p>
          <w:p w14:paraId="7AD23EDA" w14:textId="36D6E871"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obszernej skardze na powyższą decyzję, wniesionej do Naczelnego Sądu Administracyjnego, skarżąca zarzuca naruszenie przepisów stanowiących podstawę unieważnienia spornego znaku towarowego. Upatruje także naruszenie w zaskarżonej decyzji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32 Konstytucji RP. W świetle ust. 1 powołanego artykułu wszyscy są wobec prawa równi. Wszyscy mają prawo do równego traktowania przez władze publiczne. Zgodnie zaś z ust. 2 nikt nie może być dyskryminowany w życiu politycznym, społecznym lub gospodarczym z jakiejkolwiek przyczyny. Zarzut naruszenia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32 Konstytucji RP skarżąca uzasadnia udzielaniem przez Urząd Patentowy ochrony dla przestrzennych znaków towarowych odzwierciedlających formę towaru, czego nie uczyniono w niniejszej sprawie. Ponadto, zdaniem skarżącej, zaskarżona decyzja zapadła również z naruszeniem przepisów postępowania administracyjnego, a w szczególności </w:t>
            </w:r>
            <w:r w:rsidR="00D8166E">
              <w:rPr>
                <w:rFonts w:asciiTheme="minorHAnsi" w:hAnsiTheme="minorHAnsi" w:cstheme="minorHAnsi"/>
                <w:sz w:val="22"/>
                <w:szCs w:val="22"/>
              </w:rPr>
              <w:t>art</w:t>
            </w:r>
            <w:r w:rsidRPr="00EC4F25">
              <w:rPr>
                <w:rFonts w:asciiTheme="minorHAnsi" w:hAnsiTheme="minorHAnsi" w:cstheme="minorHAnsi"/>
                <w:sz w:val="22"/>
                <w:szCs w:val="22"/>
              </w:rPr>
              <w:t>. 7, 77 i 107 k.p.a.</w:t>
            </w:r>
          </w:p>
          <w:p w14:paraId="6EC220C3" w14:textId="77777777" w:rsidR="00FB798E" w:rsidRPr="00EC4F25" w:rsidRDefault="00FB798E" w:rsidP="00F45910">
            <w:pPr>
              <w:tabs>
                <w:tab w:val="left" w:pos="264"/>
              </w:tabs>
              <w:jc w:val="both"/>
              <w:rPr>
                <w:rFonts w:asciiTheme="minorHAnsi" w:hAnsiTheme="minorHAnsi" w:cstheme="minorHAnsi"/>
                <w:sz w:val="22"/>
                <w:szCs w:val="22"/>
              </w:rPr>
            </w:pPr>
          </w:p>
          <w:p w14:paraId="286FC483"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Wojewódzki Sąd Administracyjny zważył, co następuje:</w:t>
            </w:r>
          </w:p>
          <w:p w14:paraId="62D2B02D" w14:textId="77777777" w:rsidR="00FB798E" w:rsidRPr="00EC4F25" w:rsidRDefault="00FB798E" w:rsidP="00F45910">
            <w:pPr>
              <w:tabs>
                <w:tab w:val="left" w:pos="264"/>
              </w:tabs>
              <w:jc w:val="both"/>
              <w:rPr>
                <w:rFonts w:asciiTheme="minorHAnsi" w:hAnsiTheme="minorHAnsi" w:cstheme="minorHAnsi"/>
                <w:sz w:val="22"/>
                <w:szCs w:val="22"/>
              </w:rPr>
            </w:pPr>
          </w:p>
          <w:p w14:paraId="47BD9F57"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 ustawa z dnia 25 lipca 2002 r. Prawo o ustroju sądów administracyjnych (Dz. U. Nr 153, poz. 1269), zwana </w:t>
            </w:r>
            <w:proofErr w:type="spellStart"/>
            <w:r w:rsidRPr="00EC4F25">
              <w:rPr>
                <w:rFonts w:asciiTheme="minorHAnsi" w:hAnsiTheme="minorHAnsi" w:cstheme="minorHAnsi"/>
                <w:sz w:val="22"/>
                <w:szCs w:val="22"/>
              </w:rPr>
              <w:t>u.s.a</w:t>
            </w:r>
            <w:proofErr w:type="spellEnd"/>
            <w:r w:rsidRPr="00EC4F25">
              <w:rPr>
                <w:rFonts w:asciiTheme="minorHAnsi" w:hAnsiTheme="minorHAnsi" w:cstheme="minorHAnsi"/>
                <w:sz w:val="22"/>
                <w:szCs w:val="22"/>
              </w:rPr>
              <w:t>.,</w:t>
            </w:r>
          </w:p>
          <w:p w14:paraId="5096A326" w14:textId="77777777" w:rsidR="00FB798E" w:rsidRPr="00EC4F25" w:rsidRDefault="00FB798E" w:rsidP="00F45910">
            <w:pPr>
              <w:tabs>
                <w:tab w:val="left" w:pos="264"/>
              </w:tabs>
              <w:jc w:val="both"/>
              <w:rPr>
                <w:rFonts w:asciiTheme="minorHAnsi" w:hAnsiTheme="minorHAnsi" w:cstheme="minorHAnsi"/>
                <w:sz w:val="22"/>
                <w:szCs w:val="22"/>
              </w:rPr>
            </w:pPr>
          </w:p>
          <w:p w14:paraId="3DFDBAC7"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 ustawa z dnia 30 sierpnia 2002 r. Prawo o postępowaniu przed sądami administracyjnymi (Dz. U. Nr 153, poz. 1270), zwana </w:t>
            </w:r>
            <w:proofErr w:type="spellStart"/>
            <w:r w:rsidRPr="00EC4F25">
              <w:rPr>
                <w:rFonts w:asciiTheme="minorHAnsi" w:hAnsiTheme="minorHAnsi" w:cstheme="minorHAnsi"/>
                <w:sz w:val="22"/>
                <w:szCs w:val="22"/>
              </w:rPr>
              <w:t>p.s.a</w:t>
            </w:r>
            <w:proofErr w:type="spellEnd"/>
            <w:r w:rsidRPr="00EC4F25">
              <w:rPr>
                <w:rFonts w:asciiTheme="minorHAnsi" w:hAnsiTheme="minorHAnsi" w:cstheme="minorHAnsi"/>
                <w:sz w:val="22"/>
                <w:szCs w:val="22"/>
              </w:rPr>
              <w:t>.,</w:t>
            </w:r>
          </w:p>
          <w:p w14:paraId="49F33331" w14:textId="77777777" w:rsidR="00FB798E" w:rsidRPr="00EC4F25" w:rsidRDefault="00FB798E" w:rsidP="00F45910">
            <w:pPr>
              <w:tabs>
                <w:tab w:val="left" w:pos="264"/>
              </w:tabs>
              <w:jc w:val="both"/>
              <w:rPr>
                <w:rFonts w:asciiTheme="minorHAnsi" w:hAnsiTheme="minorHAnsi" w:cstheme="minorHAnsi"/>
                <w:sz w:val="22"/>
                <w:szCs w:val="22"/>
              </w:rPr>
            </w:pPr>
          </w:p>
          <w:p w14:paraId="11FFC2E8" w14:textId="460372F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 ustawa z dnia 30 sierpnia 2002 r. Przepisy wprowadzające ustawę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Prawo o ustroju sądów administracyjnych i ustawę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Prawo o postępowaniu przed sądami administracyjnymi (Dz. U. Nr 153, poz. 1271), zwana </w:t>
            </w:r>
            <w:proofErr w:type="spellStart"/>
            <w:r w:rsidRPr="00EC4F25">
              <w:rPr>
                <w:rFonts w:asciiTheme="minorHAnsi" w:hAnsiTheme="minorHAnsi" w:cstheme="minorHAnsi"/>
                <w:sz w:val="22"/>
                <w:szCs w:val="22"/>
              </w:rPr>
              <w:t>p.w.u.p</w:t>
            </w:r>
            <w:proofErr w:type="spellEnd"/>
            <w:r w:rsidRPr="00EC4F25">
              <w:rPr>
                <w:rFonts w:asciiTheme="minorHAnsi" w:hAnsiTheme="minorHAnsi" w:cstheme="minorHAnsi"/>
                <w:sz w:val="22"/>
                <w:szCs w:val="22"/>
              </w:rPr>
              <w:t>.</w:t>
            </w:r>
          </w:p>
          <w:p w14:paraId="1BE50B89" w14:textId="77777777" w:rsidR="00FB798E" w:rsidRPr="00EC4F25" w:rsidRDefault="00FB798E" w:rsidP="00F45910">
            <w:pPr>
              <w:tabs>
                <w:tab w:val="left" w:pos="264"/>
              </w:tabs>
              <w:jc w:val="both"/>
              <w:rPr>
                <w:rFonts w:asciiTheme="minorHAnsi" w:hAnsiTheme="minorHAnsi" w:cstheme="minorHAnsi"/>
                <w:sz w:val="22"/>
                <w:szCs w:val="22"/>
              </w:rPr>
            </w:pPr>
          </w:p>
          <w:p w14:paraId="3CF844A9"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Jednocześnie uchylona została ustawa z dnia 11 maja 1995 r. o Naczelnym Sądzie Administracyjnym (Dz. U. Nr 74, poz. 368 ze zm.), która obowiązywała w dacie wniesienia skargi w niniejszej sprawie.</w:t>
            </w:r>
          </w:p>
          <w:p w14:paraId="1B6EE296" w14:textId="77777777" w:rsidR="00FB798E" w:rsidRPr="00EC4F25" w:rsidRDefault="00FB798E" w:rsidP="00F45910">
            <w:pPr>
              <w:tabs>
                <w:tab w:val="left" w:pos="264"/>
              </w:tabs>
              <w:jc w:val="both"/>
              <w:rPr>
                <w:rFonts w:asciiTheme="minorHAnsi" w:hAnsiTheme="minorHAnsi" w:cstheme="minorHAnsi"/>
                <w:sz w:val="22"/>
                <w:szCs w:val="22"/>
              </w:rPr>
            </w:pPr>
          </w:p>
          <w:p w14:paraId="07F74A25" w14:textId="5288D8A5"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świetle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97 § 1 </w:t>
            </w:r>
            <w:proofErr w:type="spellStart"/>
            <w:r w:rsidRPr="00EC4F25">
              <w:rPr>
                <w:rFonts w:asciiTheme="minorHAnsi" w:hAnsiTheme="minorHAnsi" w:cstheme="minorHAnsi"/>
                <w:sz w:val="22"/>
                <w:szCs w:val="22"/>
              </w:rPr>
              <w:t>p.w.u.p</w:t>
            </w:r>
            <w:proofErr w:type="spellEnd"/>
            <w:r w:rsidRPr="00EC4F25">
              <w:rPr>
                <w:rFonts w:asciiTheme="minorHAnsi" w:hAnsiTheme="minorHAnsi" w:cstheme="minorHAnsi"/>
                <w:sz w:val="22"/>
                <w:szCs w:val="22"/>
              </w:rPr>
              <w:t xml:space="preserve">. sprawy, w których skargi zostały wniesione do Naczelnego Sądu Administracyjnego przed dniem 1 stycznia 2004 r. i postępowanie nie zostało zakończone, podlegają rozpoznaniu przez właściwe wojewódzkie sądy administracyjne na podstawie przepisów ustawy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Prawo o postępowaniu przed sądami administracyjnymi. Taka sytuacja ma więc miejsce w niniejszej sprawie i dlatego postępowanie toczy się na podstawie </w:t>
            </w:r>
            <w:proofErr w:type="spellStart"/>
            <w:r w:rsidRPr="00EC4F25">
              <w:rPr>
                <w:rFonts w:asciiTheme="minorHAnsi" w:hAnsiTheme="minorHAnsi" w:cstheme="minorHAnsi"/>
                <w:sz w:val="22"/>
                <w:szCs w:val="22"/>
              </w:rPr>
              <w:t>p.s.a</w:t>
            </w:r>
            <w:proofErr w:type="spellEnd"/>
            <w:r w:rsidRPr="00EC4F25">
              <w:rPr>
                <w:rFonts w:asciiTheme="minorHAnsi" w:hAnsiTheme="minorHAnsi" w:cstheme="minorHAnsi"/>
                <w:sz w:val="22"/>
                <w:szCs w:val="22"/>
              </w:rPr>
              <w:t>.</w:t>
            </w:r>
          </w:p>
          <w:p w14:paraId="34E42304" w14:textId="77777777" w:rsidR="00FB798E" w:rsidRPr="00EC4F25" w:rsidRDefault="00FB798E" w:rsidP="00F45910">
            <w:pPr>
              <w:tabs>
                <w:tab w:val="left" w:pos="264"/>
              </w:tabs>
              <w:jc w:val="both"/>
              <w:rPr>
                <w:rFonts w:asciiTheme="minorHAnsi" w:hAnsiTheme="minorHAnsi" w:cstheme="minorHAnsi"/>
                <w:sz w:val="22"/>
                <w:szCs w:val="22"/>
              </w:rPr>
            </w:pPr>
          </w:p>
          <w:p w14:paraId="2F20256C" w14:textId="490A1571"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Zgodnie z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1 § 1 </w:t>
            </w:r>
            <w:proofErr w:type="spellStart"/>
            <w:r w:rsidRPr="00EC4F25">
              <w:rPr>
                <w:rFonts w:asciiTheme="minorHAnsi" w:hAnsiTheme="minorHAnsi" w:cstheme="minorHAnsi"/>
                <w:sz w:val="22"/>
                <w:szCs w:val="22"/>
              </w:rPr>
              <w:t>u.s.a</w:t>
            </w:r>
            <w:proofErr w:type="spellEnd"/>
            <w:r w:rsidRPr="00EC4F25">
              <w:rPr>
                <w:rFonts w:asciiTheme="minorHAnsi" w:hAnsiTheme="minorHAnsi" w:cstheme="minorHAnsi"/>
                <w:sz w:val="22"/>
                <w:szCs w:val="22"/>
              </w:rPr>
              <w:t xml:space="preserve">. sądy administracyjne sprawują wymiar sprawiedliwości przez kontrolę działalności administracji publicznej, przy czym w świetle paragrafu drugiego powołanego wyżej artykułu kontrola ta sprawowana jest pod względem zgodności z prawem, jeżeli ustawy nie stanowią inaczej. Innymi słowy, wchodzi tutaj w grę kontrola aktów lub czynności z zakresu administracji publicznej dokonywana pod względem ich zgodności z prawem materialnym i przepisami procesowymi, nie zaś według kryteriów </w:t>
            </w:r>
            <w:proofErr w:type="spellStart"/>
            <w:r w:rsidRPr="00EC4F25">
              <w:rPr>
                <w:rFonts w:asciiTheme="minorHAnsi" w:hAnsiTheme="minorHAnsi" w:cstheme="minorHAnsi"/>
                <w:sz w:val="22"/>
                <w:szCs w:val="22"/>
              </w:rPr>
              <w:t>słusznościowych</w:t>
            </w:r>
            <w:proofErr w:type="spellEnd"/>
            <w:r w:rsidRPr="00EC4F25">
              <w:rPr>
                <w:rFonts w:asciiTheme="minorHAnsi" w:hAnsiTheme="minorHAnsi" w:cstheme="minorHAnsi"/>
                <w:sz w:val="22"/>
                <w:szCs w:val="22"/>
              </w:rPr>
              <w:t>.</w:t>
            </w:r>
          </w:p>
          <w:p w14:paraId="7F487952" w14:textId="77777777" w:rsidR="00FB798E" w:rsidRPr="00EC4F25" w:rsidRDefault="00FB798E" w:rsidP="00F45910">
            <w:pPr>
              <w:tabs>
                <w:tab w:val="left" w:pos="264"/>
              </w:tabs>
              <w:jc w:val="both"/>
              <w:rPr>
                <w:rFonts w:asciiTheme="minorHAnsi" w:hAnsiTheme="minorHAnsi" w:cstheme="minorHAnsi"/>
                <w:sz w:val="22"/>
                <w:szCs w:val="22"/>
              </w:rPr>
            </w:pPr>
          </w:p>
          <w:p w14:paraId="1A633DDF"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lastRenderedPageBreak/>
              <w:t>Kontrolując zaskarżoną decyzję pod kątem powyższych kryteriów skarga nie zasługuje na uwzględnienie.</w:t>
            </w:r>
          </w:p>
          <w:p w14:paraId="6C4949E2" w14:textId="77777777" w:rsidR="00FB798E" w:rsidRPr="00EC4F25" w:rsidRDefault="00FB798E" w:rsidP="00F45910">
            <w:pPr>
              <w:tabs>
                <w:tab w:val="left" w:pos="264"/>
              </w:tabs>
              <w:jc w:val="both"/>
              <w:rPr>
                <w:rFonts w:asciiTheme="minorHAnsi" w:hAnsiTheme="minorHAnsi" w:cstheme="minorHAnsi"/>
                <w:sz w:val="22"/>
                <w:szCs w:val="22"/>
              </w:rPr>
            </w:pPr>
          </w:p>
          <w:p w14:paraId="52A453F1" w14:textId="3FD61920"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związku z wejściem w życie w dniu 22 sierpnia 2001 r. z dnia 30 czerwca 2000 r.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Prawo własności przemysłowej (tekst jedn. Dz.U. 2003 r. Nr 119, poz. 1117), zwanej p.w.p., zdolność ochronną znaków towarowych zarejestrowanych lub zgłoszonych do rejestracji przed 22 sierpnia 2001 r. ocenia się na podstawie dotychczasowych przepisów (por. </w:t>
            </w:r>
            <w:r w:rsidR="00D8166E">
              <w:rPr>
                <w:rFonts w:asciiTheme="minorHAnsi" w:hAnsiTheme="minorHAnsi" w:cstheme="minorHAnsi"/>
                <w:sz w:val="22"/>
                <w:szCs w:val="22"/>
              </w:rPr>
              <w:t>art</w:t>
            </w:r>
            <w:r w:rsidRPr="00EC4F25">
              <w:rPr>
                <w:rFonts w:asciiTheme="minorHAnsi" w:hAnsiTheme="minorHAnsi" w:cstheme="minorHAnsi"/>
                <w:sz w:val="22"/>
                <w:szCs w:val="22"/>
              </w:rPr>
              <w:t>. 315 ust. 3). Przepisami, stanowiącymi podstawę do oceny zdolności rejestracyjnej spornego znaku towarowego są zatem przepisy ustawy o znakach towarowych.</w:t>
            </w:r>
          </w:p>
          <w:p w14:paraId="053533AC" w14:textId="77777777" w:rsidR="00FB798E" w:rsidRPr="00EC4F25" w:rsidRDefault="00FB798E" w:rsidP="00F45910">
            <w:pPr>
              <w:tabs>
                <w:tab w:val="left" w:pos="264"/>
              </w:tabs>
              <w:jc w:val="both"/>
              <w:rPr>
                <w:rFonts w:asciiTheme="minorHAnsi" w:hAnsiTheme="minorHAnsi" w:cstheme="minorHAnsi"/>
                <w:sz w:val="22"/>
                <w:szCs w:val="22"/>
              </w:rPr>
            </w:pPr>
          </w:p>
          <w:p w14:paraId="650C0F45" w14:textId="321446B6"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świetle ustalonego orzecznictwa w sprawach o unieważnienie prawa z rejestracji znaku towarowego Urząd Patentowy, a także i sąd administracyjny kontrolujący decyzję wspomnianego organu, jest związany zakresem żądania wnioskodawcy, co odnosi się w szczególności do wskazanej podstawy prawnej (por. wyrok NSA w Warszawie z dnia 14 grudnia 2001 r., II SA 3446/01; ONSA 2003/1/27, z glosą M. Kępińskiego; OSP 2004/1/11). Stanowisko to, co wymaga podkreślenia, jest już obowiązujące na gruncie ustawy Prawo własności przemysłowej (por.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255 ust. 4 p.w.p.). Zatem, w niniejszej sprawie wchodzi w grę ocena zdolności rejestracyjnej omawianej rejestracji z przepisami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i </w:t>
            </w:r>
            <w:r w:rsidR="00D8166E">
              <w:rPr>
                <w:rFonts w:asciiTheme="minorHAnsi" w:hAnsiTheme="minorHAnsi" w:cstheme="minorHAnsi"/>
                <w:sz w:val="22"/>
                <w:szCs w:val="22"/>
              </w:rPr>
              <w:t>art</w:t>
            </w:r>
            <w:r w:rsidRPr="00EC4F25">
              <w:rPr>
                <w:rFonts w:asciiTheme="minorHAnsi" w:hAnsiTheme="minorHAnsi" w:cstheme="minorHAnsi"/>
                <w:sz w:val="22"/>
                <w:szCs w:val="22"/>
              </w:rPr>
              <w:t>. 8 pkt 1 u.z.t.</w:t>
            </w:r>
          </w:p>
          <w:p w14:paraId="1AB2B657" w14:textId="77777777" w:rsidR="00FB798E" w:rsidRPr="00EC4F25" w:rsidRDefault="00FB798E" w:rsidP="00F45910">
            <w:pPr>
              <w:tabs>
                <w:tab w:val="left" w:pos="264"/>
              </w:tabs>
              <w:jc w:val="both"/>
              <w:rPr>
                <w:rFonts w:asciiTheme="minorHAnsi" w:hAnsiTheme="minorHAnsi" w:cstheme="minorHAnsi"/>
                <w:sz w:val="22"/>
                <w:szCs w:val="22"/>
              </w:rPr>
            </w:pPr>
          </w:p>
          <w:p w14:paraId="5509ED23" w14:textId="25161440"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związku z zastosowaniem w sprawie przez Urząd Patentowy pierwszej dyrektywy Rady Wspólnot Europejskich nr 89/104/EWG o harmonizacji przepisów Państw Członkowskich o znakach towarowych na potrzeby wykładni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może wyłonić się kwestia legalności takiej wykładni, skoro w dacie wydania zaskarżonej decyzji (26 marca 2003 r.) Polska nie była jeszcze członkiem Unii Europejskiej. Wykładnia przepisów prawa może być statyczna bądź dynamiczna w zależności od kryterium woli ustawodawcy, odpowiednio z daty wydania aktu normatywnego albo z daty jego stosowania. Zważywszy na zobowiązania Polski w zakresie dostosowania swego ustawodawstwa do regulacji prawnych obowiązujących w Unii Europejskiej, co dotyczy w szczególności problematyki prawnej własności przemysłowej, nie tylko można było, a wręcz należało zastosować proeuropejską wykładnię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z uwzględnieniem postanowień wspomnianej dyrektywy Rady Wspólnot Europejskich nr 89/104/EWG. Pogląd taki przyjęty jest zresztą w orzecznictwie (por. wyrok NSA z dnia 12 lutego 2001 r. V SA 305/00; Lex nr 51327). Można dodać, iż postanowienia tej dyrektywy zostały przejęte do krajowego ustawodawstwa (por. </w:t>
            </w:r>
            <w:r w:rsidR="00D8166E">
              <w:rPr>
                <w:rFonts w:asciiTheme="minorHAnsi" w:hAnsiTheme="minorHAnsi" w:cstheme="minorHAnsi"/>
                <w:sz w:val="22"/>
                <w:szCs w:val="22"/>
              </w:rPr>
              <w:t>art</w:t>
            </w:r>
            <w:r w:rsidRPr="00EC4F25">
              <w:rPr>
                <w:rFonts w:asciiTheme="minorHAnsi" w:hAnsiTheme="minorHAnsi" w:cstheme="minorHAnsi"/>
                <w:sz w:val="22"/>
                <w:szCs w:val="22"/>
              </w:rPr>
              <w:t>. 131 ust. 2 pkt 6 p.w.p.).</w:t>
            </w:r>
          </w:p>
          <w:p w14:paraId="78DB4721" w14:textId="77777777" w:rsidR="00FB798E" w:rsidRPr="00EC4F25" w:rsidRDefault="00FB798E" w:rsidP="00F45910">
            <w:pPr>
              <w:tabs>
                <w:tab w:val="left" w:pos="264"/>
              </w:tabs>
              <w:jc w:val="both"/>
              <w:rPr>
                <w:rFonts w:asciiTheme="minorHAnsi" w:hAnsiTheme="minorHAnsi" w:cstheme="minorHAnsi"/>
                <w:sz w:val="22"/>
                <w:szCs w:val="22"/>
              </w:rPr>
            </w:pPr>
          </w:p>
          <w:p w14:paraId="0F44C104" w14:textId="6D788AA2"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Do oceny zdolności odróżniającej znaku przestrzennego dla oznaczania towarów określonego przedsiębiorstwa od towarów lub usług tego samego rodzaju innych przedsiębiorstw, stosuje się generalnie te same kryteria, które decydują o zdolności odróżniającej innych rodzajów znaków (słownych, obrazowych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Ponadto, co wymaga podkreślenia, znak towarowy powinien być oceniany jako całość, nawet jeżeli elementy składające się na kompozycję danego znaku nie miałyby same w sobie wspomnianej zdolności odróżniającej. Stanowisko takie jest ukształtowane w orzecznictwie (por. wyrok Sądu Najwyższego z dnia 13 marca 1999 r. </w:t>
            </w:r>
            <w:r w:rsidR="00D8166E">
              <w:rPr>
                <w:rFonts w:asciiTheme="minorHAnsi" w:hAnsiTheme="minorHAnsi" w:cstheme="minorHAnsi"/>
                <w:sz w:val="22"/>
                <w:szCs w:val="22"/>
              </w:rPr>
              <w:pgNum/>
            </w:r>
            <w:proofErr w:type="spellStart"/>
            <w:proofErr w:type="gramStart"/>
            <w:r w:rsidR="00D8166E">
              <w:rPr>
                <w:rFonts w:asciiTheme="minorHAnsi" w:hAnsiTheme="minorHAnsi" w:cstheme="minorHAnsi"/>
                <w:sz w:val="22"/>
                <w:szCs w:val="22"/>
              </w:rPr>
              <w:t>ygn</w:t>
            </w:r>
            <w:proofErr w:type="spellEnd"/>
            <w:r w:rsidR="00D8166E">
              <w:rPr>
                <w:rFonts w:asciiTheme="minorHAnsi" w:hAnsiTheme="minorHAnsi" w:cstheme="minorHAnsi"/>
                <w:sz w:val="22"/>
                <w:szCs w:val="22"/>
              </w:rPr>
              <w:t>.</w:t>
            </w:r>
            <w:r w:rsidRPr="00EC4F25">
              <w:rPr>
                <w:rFonts w:asciiTheme="minorHAnsi" w:hAnsiTheme="minorHAnsi" w:cstheme="minorHAnsi"/>
                <w:sz w:val="22"/>
                <w:szCs w:val="22"/>
              </w:rPr>
              <w:t>.</w:t>
            </w:r>
            <w:proofErr w:type="gramEnd"/>
            <w:r w:rsidRPr="00EC4F25">
              <w:rPr>
                <w:rFonts w:asciiTheme="minorHAnsi" w:hAnsiTheme="minorHAnsi" w:cstheme="minorHAnsi"/>
                <w:sz w:val="22"/>
                <w:szCs w:val="22"/>
              </w:rPr>
              <w:t xml:space="preserve"> akt III RN 136/99; OSNAP 2000/1/2).</w:t>
            </w:r>
          </w:p>
          <w:p w14:paraId="5BAD6C07" w14:textId="77777777" w:rsidR="00FB798E" w:rsidRPr="00EC4F25" w:rsidRDefault="00FB798E" w:rsidP="00F45910">
            <w:pPr>
              <w:tabs>
                <w:tab w:val="left" w:pos="264"/>
              </w:tabs>
              <w:jc w:val="both"/>
              <w:rPr>
                <w:rFonts w:asciiTheme="minorHAnsi" w:hAnsiTheme="minorHAnsi" w:cstheme="minorHAnsi"/>
                <w:sz w:val="22"/>
                <w:szCs w:val="22"/>
              </w:rPr>
            </w:pPr>
          </w:p>
          <w:p w14:paraId="27161D83" w14:textId="732D8622"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Przechodząc do kwestii zgodności spornej rejestracji z przepisem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wskazać należy, iż zdolność odróżniająca, o której mowa w tym przepisie, ma charakter abstrakcyjny. Innymi słowy, przepis ten ma znaczenie dla ustalenia, czy dane oznaczenie może być w ogóle znakiem towarowym, to znaczy czy pozwala na odróżnienie towarów tego samego rodzaju wytwarzanych przez skarżącą od podobnych towarów innych przedsiębiorców. Abstrakcyjną zdolność odróżniania, o której mowa w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należy odróżniać od konkretnie ujętej w </w:t>
            </w:r>
            <w:r w:rsidR="00D8166E">
              <w:rPr>
                <w:rFonts w:asciiTheme="minorHAnsi" w:hAnsiTheme="minorHAnsi" w:cstheme="minorHAnsi"/>
                <w:sz w:val="22"/>
                <w:szCs w:val="22"/>
              </w:rPr>
              <w:t>art</w:t>
            </w:r>
            <w:r w:rsidRPr="00EC4F25">
              <w:rPr>
                <w:rFonts w:asciiTheme="minorHAnsi" w:hAnsiTheme="minorHAnsi" w:cstheme="minorHAnsi"/>
                <w:sz w:val="22"/>
                <w:szCs w:val="22"/>
              </w:rPr>
              <w:t>. 7 zdolności odróżniającej. Dopiero po ustaleniu, że mamy do czynienia ze znakiem towarowym (</w:t>
            </w:r>
            <w:r w:rsidR="00D8166E">
              <w:rPr>
                <w:rFonts w:asciiTheme="minorHAnsi" w:hAnsiTheme="minorHAnsi" w:cstheme="minorHAnsi"/>
                <w:sz w:val="22"/>
                <w:szCs w:val="22"/>
              </w:rPr>
              <w:t>art</w:t>
            </w:r>
            <w:r w:rsidRPr="00EC4F25">
              <w:rPr>
                <w:rFonts w:asciiTheme="minorHAnsi" w:hAnsiTheme="minorHAnsi" w:cstheme="minorHAnsi"/>
                <w:sz w:val="22"/>
                <w:szCs w:val="22"/>
              </w:rPr>
              <w:t>. 4 u.z.t.), badaniu podlega jego zdolność odróżniająca in concreto (</w:t>
            </w:r>
            <w:r w:rsidR="00D8166E">
              <w:rPr>
                <w:rFonts w:asciiTheme="minorHAnsi" w:hAnsiTheme="minorHAnsi" w:cstheme="minorHAnsi"/>
                <w:sz w:val="22"/>
                <w:szCs w:val="22"/>
              </w:rPr>
              <w:t>art</w:t>
            </w:r>
            <w:r w:rsidRPr="00EC4F25">
              <w:rPr>
                <w:rFonts w:asciiTheme="minorHAnsi" w:hAnsiTheme="minorHAnsi" w:cstheme="minorHAnsi"/>
                <w:sz w:val="22"/>
                <w:szCs w:val="22"/>
              </w:rPr>
              <w:t>. 7 u.z.t.).</w:t>
            </w:r>
          </w:p>
          <w:p w14:paraId="167703AF" w14:textId="77777777" w:rsidR="00FB798E" w:rsidRPr="00EC4F25" w:rsidRDefault="00FB798E" w:rsidP="00F45910">
            <w:pPr>
              <w:tabs>
                <w:tab w:val="left" w:pos="264"/>
              </w:tabs>
              <w:jc w:val="both"/>
              <w:rPr>
                <w:rFonts w:asciiTheme="minorHAnsi" w:hAnsiTheme="minorHAnsi" w:cstheme="minorHAnsi"/>
                <w:sz w:val="22"/>
                <w:szCs w:val="22"/>
              </w:rPr>
            </w:pPr>
          </w:p>
          <w:p w14:paraId="6ED502EC" w14:textId="2646FBD3"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lastRenderedPageBreak/>
              <w:t xml:space="preserve">Dostrzegając możliwość odmiennej oceny zdolności zgłoszenia R 116211, jako znaku towarowego, w świetle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a to z uwagi na dokonywanie takiej oceny według w dużej mierze kryteriów subiektywnych, brak jest jednakże dostatecznych podstaw dla zanegowania abstrakcyjnej zdolności rejestracyjnej omawianego znaku dla oznaczania pieczywa cukierniczego, a więc nie tylko dla spornych ciastek. Opis tego znaku zawarty w zgłoszeniu w wystarczającym stopniu indywidualizuje ten znak pod wspomnianym wyżej kątem. W szczególności brak jest dostatecznych podstaw, aby znak towarowy w formie zaprezentowanej w zgłoszeniu, oceniany jako całość, uznać za zdeterminowany wyłącznie cechami funkcjonalnymi, czy też kształtem koniecznym dla uzyskania określonego rezultatu technicznego, aczkolwiek cześć elementów użytych w tym znaku niewątpliwie wynika z samej natury procesu technologicznego związanego z wypiekiem ciastek (kolory ciastka – żółty i brązowy). Nie można też, zdaniem Sądu, zasadnie twierdzić, aby wszystkie inne elementy składowe spornego przestrzennego znaku towarowego, a w szczególności okrągły kształt ciastka, okrągłe wzniesienie o mniejszej średnicy, powierzchnia którego jest wypukła oraz prostokątna kratka na powierzchni wspomnianego okrągłego wzniesienia, były wyłącznie efektem wynikającym z natury samego towaru, czy też kształtu koniecznego dla osiągnięcia zamierzonego rezultatu. Ogromna różnorodność kształtów pieczywa cukierniczego znajdująca się na rynku przeczy zarzutowi, jakoby sporny przestrzenny znak towarowy, oceniany jako całość, był efektem czynników, które w ostatecznym rachunku pozbawiają ten znak abstrakcyjnej zdolności odróżniającej w świetle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i </w:t>
            </w:r>
            <w:r w:rsidR="00D8166E">
              <w:rPr>
                <w:rFonts w:asciiTheme="minorHAnsi" w:hAnsiTheme="minorHAnsi" w:cstheme="minorHAnsi"/>
                <w:sz w:val="22"/>
                <w:szCs w:val="22"/>
              </w:rPr>
              <w:t>art</w:t>
            </w:r>
            <w:r w:rsidRPr="00EC4F25">
              <w:rPr>
                <w:rFonts w:asciiTheme="minorHAnsi" w:hAnsiTheme="minorHAnsi" w:cstheme="minorHAnsi"/>
                <w:sz w:val="22"/>
                <w:szCs w:val="22"/>
              </w:rPr>
              <w:t>. 3 ust. 1 powołanej dyrektywy nr 89/104/EWG.</w:t>
            </w:r>
          </w:p>
          <w:p w14:paraId="7CDE1A55" w14:textId="77777777" w:rsidR="00FB798E" w:rsidRPr="00EC4F25" w:rsidRDefault="00FB798E" w:rsidP="00F45910">
            <w:pPr>
              <w:tabs>
                <w:tab w:val="left" w:pos="264"/>
              </w:tabs>
              <w:jc w:val="both"/>
              <w:rPr>
                <w:rFonts w:asciiTheme="minorHAnsi" w:hAnsiTheme="minorHAnsi" w:cstheme="minorHAnsi"/>
                <w:sz w:val="22"/>
                <w:szCs w:val="22"/>
              </w:rPr>
            </w:pPr>
          </w:p>
          <w:p w14:paraId="6FA51FCB" w14:textId="6AB04F7E"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Urząd Patentowy przesądził, aczkolwiek tego prawidłowo nie uzasadnił, że sporna rejestracja naruszyła również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u.z.t. Zdolność odróżniająca wskazana w </w:t>
            </w:r>
            <w:r w:rsidR="00D8166E">
              <w:rPr>
                <w:rFonts w:asciiTheme="minorHAnsi" w:hAnsiTheme="minorHAnsi" w:cstheme="minorHAnsi"/>
                <w:sz w:val="22"/>
                <w:szCs w:val="22"/>
              </w:rPr>
              <w:t>art</w:t>
            </w:r>
            <w:r w:rsidRPr="00EC4F25">
              <w:rPr>
                <w:rFonts w:asciiTheme="minorHAnsi" w:hAnsiTheme="minorHAnsi" w:cstheme="minorHAnsi"/>
                <w:sz w:val="22"/>
                <w:szCs w:val="22"/>
              </w:rPr>
              <w:t>. 7 u.z.t. odnosi się, jak to już wyżej wskazano, do konkretnej zdolności odróżniającej znaku towarowego, który pozytywnie przeszedł test w zakresie abstrakcyjnej zdolności odróżniającej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u.z.t.). Przez konkretną zdolność odróżniającą znaku towarowego należy rozumieć ogół cech danego oznaczenia pozwalających odróżnić w zwykłych warunkach obrotu gospodarczego tak oznaczany towar od innych towarów danego rodzaju pochodzących z innego źródła. W zaskarżonej decyzji, co jest jej mankamentem, zdolność rejestracyjna spornego znaku przestrzennego nie była rozpatrywana z punktu widzenia konkretnej zdolności odróżniającej tego znaku, w rozumieniu </w:t>
            </w:r>
            <w:r w:rsidR="00D8166E">
              <w:rPr>
                <w:rFonts w:asciiTheme="minorHAnsi" w:hAnsiTheme="minorHAnsi" w:cstheme="minorHAnsi"/>
                <w:sz w:val="22"/>
                <w:szCs w:val="22"/>
              </w:rPr>
              <w:t>art</w:t>
            </w:r>
            <w:r w:rsidRPr="00EC4F25">
              <w:rPr>
                <w:rFonts w:asciiTheme="minorHAnsi" w:hAnsiTheme="minorHAnsi" w:cstheme="minorHAnsi"/>
                <w:sz w:val="22"/>
                <w:szCs w:val="22"/>
              </w:rPr>
              <w:t>. 7 u.z.t., biorąc pod uwagę stan sprawy z daty zgłoszenia tego znaku do rejestracji (</w:t>
            </w:r>
            <w:r w:rsidR="00D8166E">
              <w:rPr>
                <w:rFonts w:asciiTheme="minorHAnsi" w:hAnsiTheme="minorHAnsi" w:cstheme="minorHAnsi"/>
                <w:sz w:val="22"/>
                <w:szCs w:val="22"/>
              </w:rPr>
              <w:t>art</w:t>
            </w:r>
            <w:r w:rsidRPr="00EC4F25">
              <w:rPr>
                <w:rFonts w:asciiTheme="minorHAnsi" w:hAnsiTheme="minorHAnsi" w:cstheme="minorHAnsi"/>
                <w:sz w:val="22"/>
                <w:szCs w:val="22"/>
              </w:rPr>
              <w:t>. 11 u.z.t.).</w:t>
            </w:r>
          </w:p>
          <w:p w14:paraId="2CC1A4C2" w14:textId="77777777" w:rsidR="00FB798E" w:rsidRPr="00EC4F25" w:rsidRDefault="00FB798E" w:rsidP="00F45910">
            <w:pPr>
              <w:tabs>
                <w:tab w:val="left" w:pos="264"/>
              </w:tabs>
              <w:jc w:val="both"/>
              <w:rPr>
                <w:rFonts w:asciiTheme="minorHAnsi" w:hAnsiTheme="minorHAnsi" w:cstheme="minorHAnsi"/>
                <w:sz w:val="22"/>
                <w:szCs w:val="22"/>
              </w:rPr>
            </w:pPr>
          </w:p>
          <w:p w14:paraId="1BDA839D" w14:textId="35E27A59"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Wyłania się zatem istotna kwestia, jakie okoliczności są decydujące dla ustalenia faktu posiadania (bądź nie) przez znak towarowy konkretnej zdolności odróżniającej, a więc dostatecznych znamion odróżniających w zwykłych warunkach obrotu gospodarczego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ust. 1 u.z.t.), a w szczególności gdy, tak jak to ma miejsce w okolicznościach faktycznych niniejszej sprawy, w dacie zgłoszenia spornego znaku przestrzennego do rejestracji był on już używany przez innych przedsiębiorców. Na tak postawione pytanie przepis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ust. 1 u.z.t. nie udziela wprost odpowiedzi. Zważywszy na odwołanie się w przepisie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ust. 1 u.z.t. do zwykłych warunków obrotu gospodarczego, dla oceny konkretnej zdolności rejestracyjnej znaku towarowego powinna decydować ocena uczestników rynku, czy dane oznaczenie (w niniejszej sprawie kształt i kolor ciastka) pozwala zidentyfikować dany towar (usługę), jako pochodzący od danego przedsiębiorcy lub podmiotów z nim związanych, od towarów (usług) tego samego rodzaju pochodzących od innych przedsiębiorców. Przez uczestników rynku należałoby rozumieć nie tylko </w:t>
            </w:r>
            <w:proofErr w:type="gramStart"/>
            <w:r w:rsidRPr="00EC4F25">
              <w:rPr>
                <w:rFonts w:asciiTheme="minorHAnsi" w:hAnsiTheme="minorHAnsi" w:cstheme="minorHAnsi"/>
                <w:sz w:val="22"/>
                <w:szCs w:val="22"/>
              </w:rPr>
              <w:t>finalnych</w:t>
            </w:r>
            <w:proofErr w:type="gramEnd"/>
            <w:r w:rsidRPr="00EC4F25">
              <w:rPr>
                <w:rFonts w:asciiTheme="minorHAnsi" w:hAnsiTheme="minorHAnsi" w:cstheme="minorHAnsi"/>
                <w:sz w:val="22"/>
                <w:szCs w:val="22"/>
              </w:rPr>
              <w:t xml:space="preserve"> odbiorców, w tym konsumentów, ale także różne grupy przedsiębiorców (kontrahentów i konkurentów), którzy uczestniczą na różnych szczeblach obrotu towarowego związanych z towarami tego samego rodzaju, co towar oznaczany analizowanym znakiem towarowym. Aby więc uznać, iż rejestracja spornego znaku towarowego zapadła z naruszeniem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u.z.t. należałoby przeprowadzić test wśród uczestników rynku, według ich hipotetycznego stanu wiedzy na dzień złożenia wniosku o rejestrację spornego przestrzennego znaku towarowego (5 maja 1994 r.), na okoliczność znajomości spornego znaku towarowego. Jedynie wówczas, gdyby w ocenie nie nieznaczącej części uczestników rynku uczestniczących na różnych szczeblach obrotu towarowego związanych z towarami tego samego rodzaju, co towar oznaczany spornym znakiem towarowym, znak ten kojarzył się z innymi producentami </w:t>
            </w:r>
            <w:r w:rsidRPr="00EC4F25">
              <w:rPr>
                <w:rFonts w:asciiTheme="minorHAnsi" w:hAnsiTheme="minorHAnsi" w:cstheme="minorHAnsi"/>
                <w:sz w:val="22"/>
                <w:szCs w:val="22"/>
              </w:rPr>
              <w:lastRenderedPageBreak/>
              <w:t xml:space="preserve">(sprzedawcami) niż skarżąca, znak ten nie posiadałby znamion odróżniających (konkretnych) w świetle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ust. 1 u.z.t. Natomiast, gdyby w następstwie takiego hipotetycznego testu znak ten był przypisywany skarżącej jako uprawnionej albo gdyby był nieznany wspomnianemu kręgowi uczestników rynku, brak byłoby podstaw do kwestionowania konkretnej zdolności rejestracyjnej omawianego znaku, a tym samym powodów dla unieważnienia prawa z rejestracji na podstawie </w:t>
            </w:r>
            <w:r w:rsidR="00D8166E">
              <w:rPr>
                <w:rFonts w:asciiTheme="minorHAnsi" w:hAnsiTheme="minorHAnsi" w:cstheme="minorHAnsi"/>
                <w:sz w:val="22"/>
                <w:szCs w:val="22"/>
              </w:rPr>
              <w:t>art</w:t>
            </w:r>
            <w:r w:rsidRPr="00EC4F25">
              <w:rPr>
                <w:rFonts w:asciiTheme="minorHAnsi" w:hAnsiTheme="minorHAnsi" w:cstheme="minorHAnsi"/>
                <w:sz w:val="22"/>
                <w:szCs w:val="22"/>
              </w:rPr>
              <w:t>. 7 ust. 1 u.z.t. Ustaleń, w zakresie o którym wyżej mowa, nie poczyniono w zaskarżonej decyzji.</w:t>
            </w:r>
          </w:p>
          <w:p w14:paraId="28F7EF69" w14:textId="77777777" w:rsidR="00FB798E" w:rsidRPr="00EC4F25" w:rsidRDefault="00FB798E" w:rsidP="00F45910">
            <w:pPr>
              <w:tabs>
                <w:tab w:val="left" w:pos="264"/>
              </w:tabs>
              <w:jc w:val="both"/>
              <w:rPr>
                <w:rFonts w:asciiTheme="minorHAnsi" w:hAnsiTheme="minorHAnsi" w:cstheme="minorHAnsi"/>
                <w:sz w:val="22"/>
                <w:szCs w:val="22"/>
              </w:rPr>
            </w:pPr>
          </w:p>
          <w:p w14:paraId="4AA84CA9" w14:textId="3E46DDE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Zważywszy na znaczny upływ czasu od daty zgłoszenia wniosku o rejestrację spornego znaku towarowego wynik przeprowadzanego obecnie dowodu na okoliczność konkretnej zdolności odróżniającej tego znaku nie miałoby dostatecznego waloru dowodowego. Ewentualni respondenci zapewne ocenialiby konkretną zdolność odróżniającą tego znaku według stanu z chwili przeprowadzania odpowiedniego testu, nie zaś według stanu z chwili zgłoszenia znaku do rejestracji, a to zważywszy na znaczny już upływ czasu. Co najwyżej, można jedynie podjąć próbę ustalenia konkretnej zdolności odróżniającej spornego znaku towarowego, posiłkując się domniemaniem faktycznym. I tak, pieczywo cukiernicze oznaczane omawianym znakiem, co jest niesporne w sprawie, było od wielu już lat wytwarzane przez poprzedników prawnych skarżącej i to na długo przed podjęciem analogicznej produkcji przez konkurentów, a mianowicie od 1989 r. przez </w:t>
            </w:r>
            <w:proofErr w:type="spellStart"/>
            <w:r w:rsidRPr="00EC4F25">
              <w:rPr>
                <w:rFonts w:asciiTheme="minorHAnsi" w:hAnsiTheme="minorHAnsi" w:cstheme="minorHAnsi"/>
                <w:sz w:val="22"/>
                <w:szCs w:val="22"/>
              </w:rPr>
              <w:t>Cupord</w:t>
            </w:r>
            <w:proofErr w:type="spellEnd"/>
            <w:r w:rsidRPr="00EC4F25">
              <w:rPr>
                <w:rFonts w:asciiTheme="minorHAnsi" w:hAnsiTheme="minorHAnsi" w:cstheme="minorHAnsi"/>
                <w:sz w:val="22"/>
                <w:szCs w:val="22"/>
              </w:rPr>
              <w:t xml:space="preserve">, od 1991 r. przez </w:t>
            </w:r>
            <w:r w:rsidR="00D8166E">
              <w:rPr>
                <w:rFonts w:asciiTheme="minorHAnsi" w:hAnsiTheme="minorHAnsi" w:cstheme="minorHAnsi"/>
                <w:sz w:val="22"/>
                <w:szCs w:val="22"/>
              </w:rPr>
              <w:t>„</w:t>
            </w:r>
            <w:r w:rsidRPr="00EC4F25">
              <w:rPr>
                <w:rFonts w:asciiTheme="minorHAnsi" w:hAnsiTheme="minorHAnsi" w:cstheme="minorHAnsi"/>
                <w:sz w:val="22"/>
                <w:szCs w:val="22"/>
              </w:rPr>
              <w:t>POL-MAR.</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Czuba., od 1993 r. przez </w:t>
            </w:r>
            <w:r w:rsidR="00D8166E">
              <w:rPr>
                <w:rFonts w:asciiTheme="minorHAnsi" w:hAnsiTheme="minorHAnsi" w:cstheme="minorHAnsi"/>
                <w:sz w:val="22"/>
                <w:szCs w:val="22"/>
              </w:rPr>
              <w:t>„</w:t>
            </w:r>
            <w:proofErr w:type="spellStart"/>
            <w:r w:rsidRPr="00EC4F25">
              <w:rPr>
                <w:rFonts w:asciiTheme="minorHAnsi" w:hAnsiTheme="minorHAnsi" w:cstheme="minorHAnsi"/>
                <w:sz w:val="22"/>
                <w:szCs w:val="22"/>
              </w:rPr>
              <w:t>Delicpol</w:t>
            </w:r>
            <w:proofErr w:type="spellEnd"/>
            <w:r w:rsidR="00D8166E">
              <w:rPr>
                <w:rFonts w:asciiTheme="minorHAnsi" w:hAnsiTheme="minorHAnsi" w:cstheme="minorHAnsi"/>
                <w:sz w:val="22"/>
                <w:szCs w:val="22"/>
              </w:rPr>
              <w:t>”</w:t>
            </w:r>
            <w:r w:rsidRPr="00EC4F25">
              <w:rPr>
                <w:rFonts w:asciiTheme="minorHAnsi" w:hAnsiTheme="minorHAnsi" w:cstheme="minorHAnsi"/>
                <w:sz w:val="22"/>
                <w:szCs w:val="22"/>
              </w:rPr>
              <w:t xml:space="preserve">. Ponadto, co jest również bezsporne, wielkość produkcji wspomnianego pieczywa przez skarżącą była niewspółmiernie wyższa od konkurentów. W świetle opracowania Ośrodka Realizacji Badań Socjologicznych Instytutu Filozofii i Socjologii Polskiej Akademii Nauk z lutego 2002 r., poświęconego problematyce znajomości wśród konsumentów marki ciastek </w:t>
            </w:r>
            <w:r w:rsidR="00D8166E">
              <w:rPr>
                <w:rFonts w:asciiTheme="minorHAnsi" w:hAnsiTheme="minorHAnsi" w:cstheme="minorHAnsi"/>
                <w:sz w:val="22"/>
                <w:szCs w:val="22"/>
              </w:rPr>
              <w:t>„</w:t>
            </w:r>
            <w:r w:rsidRPr="00EC4F25">
              <w:rPr>
                <w:rFonts w:asciiTheme="minorHAnsi" w:hAnsiTheme="minorHAnsi" w:cstheme="minorHAnsi"/>
                <w:sz w:val="22"/>
                <w:szCs w:val="22"/>
              </w:rPr>
              <w:t>delicje</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znajomość istnienia na rynku tej marki jest bardzo wysoka. W pytaniach o spontaniczną znajomość, od 30-40 respondentów wymienia ją w pierwszej kolejności. Inne marki ciastek podobnych do delicji praktycznie nie istniały w świadomości konsumentów (wskazania w granicach 1%). Na producenta delicji (Wedla) wskazywało co najmniej 60% respondentów, zaś w pytaniach wspomaganych – 90%. Inni producenci podobnych do delicji ciastek nie byli wymieniani. W ocenie Sądu wspomnianemu opracowaniu, jako dokumentowi, nie można odmówić przynajmniej dostatecznego waloru dowodowego na okoliczność dużej znajomości wśród konsumentów ciastek delicji, a zatem i spornego znaku przestrzennego, który jest kopią wspomnianego ciastka. Opracowanie to, jak już wskazano, sporządzono w 2002 r., a zatem gdy już od co najmniej 10 lat ciastka o kształcie zbliżonym do spornego znaku przestrzennego wytwarzali konkurenci skarżącej. Skoro zatem w opinii respondentów w 2002 r. omawiane pieczywo cukiernicze, jak i sporny znak przestrzenny, były kojarzone z poprzednikiem prawnym skarżącej, nie zaś z jej konkurentami, tym bardziej można oczekiwać, że w dacie zgłoszenia spornego znaku do rejestracji (5 maja 1994 r.), kiedy konkurencja na rynku była znacznie mniejsza, sporny przestrzenny znak towarowy nie byłby kojarzony z innym producentem, aniżeli poprzednik prawny skarżącej. Nie ma zatem uzasadnionych powodów dla kwestionowania konkretnej zdolności odróżniającej omawianego znaku w dacie zgłoszenia go do rejestracji, a w szczególności, aby wówczas znak ten był kojarzony przez konsumentów z którymś z konkurentów zgłaszającego znak do ochrony. Tym samym Sąd nie podziela stanowiska zajętego w zaskarżonej decyzji jakoby rejestracja spornego znaku zapadła z naruszeniem </w:t>
            </w:r>
            <w:r w:rsidR="00D8166E">
              <w:rPr>
                <w:rFonts w:asciiTheme="minorHAnsi" w:hAnsiTheme="minorHAnsi" w:cstheme="minorHAnsi"/>
                <w:sz w:val="22"/>
                <w:szCs w:val="22"/>
              </w:rPr>
              <w:t>art</w:t>
            </w:r>
            <w:r w:rsidRPr="00EC4F25">
              <w:rPr>
                <w:rFonts w:asciiTheme="minorHAnsi" w:hAnsiTheme="minorHAnsi" w:cstheme="minorHAnsi"/>
                <w:sz w:val="22"/>
                <w:szCs w:val="22"/>
              </w:rPr>
              <w:t>. 7 u.z.t.</w:t>
            </w:r>
          </w:p>
          <w:p w14:paraId="3591CE1B" w14:textId="77777777" w:rsidR="00FB798E" w:rsidRPr="00EC4F25" w:rsidRDefault="00FB798E" w:rsidP="00F45910">
            <w:pPr>
              <w:tabs>
                <w:tab w:val="left" w:pos="264"/>
              </w:tabs>
              <w:jc w:val="both"/>
              <w:rPr>
                <w:rFonts w:asciiTheme="minorHAnsi" w:hAnsiTheme="minorHAnsi" w:cstheme="minorHAnsi"/>
                <w:sz w:val="22"/>
                <w:szCs w:val="22"/>
              </w:rPr>
            </w:pPr>
          </w:p>
          <w:p w14:paraId="359CAC10" w14:textId="2B7CD75D"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Niemniej jednak, skoro sporny przestrzenny znak towarowy stanowi wierne odwzorowanie produkowanych przez skarżącą ciastek oznaczanych słownym znakiem delicje, można zgodzić się ze stanowiskiem Urzędu Patentowego jedynie w tym zakresie, że w odniesieniu do owych ciastek wspomniane oznaczenie przestrzenne nie pełni funkcji znaku towarowego. Znaku towarowego nie można bowiem identyfikować z samym towarem, jak to ma miejsce w odniesieniu do omawianych ciastek. Funkcją znaku towarowego, co wymaga podkreślenia, jest bowiem odróżnianie towarów tego samego rodzaju danego przedsiębiorcy od podobnych towarów innych przedsiębiorców. Zatem, oznaczanie spornym znakiem przestrzennym produkowanych przez skarżącą ciastek (oznaczanych znakiem słownym delicje) należałoby raczej traktować, stosownie do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7 ust. 2 u.z.t., jako informację o tym towarze. Nie ma to jednakże istotnego znaczenia dla podważenia zdolności </w:t>
            </w:r>
            <w:r w:rsidRPr="00EC4F25">
              <w:rPr>
                <w:rFonts w:asciiTheme="minorHAnsi" w:hAnsiTheme="minorHAnsi" w:cstheme="minorHAnsi"/>
                <w:sz w:val="22"/>
                <w:szCs w:val="22"/>
              </w:rPr>
              <w:lastRenderedPageBreak/>
              <w:t xml:space="preserve">rejestracyjnej spornego znaku towarowego na podstawie </w:t>
            </w:r>
            <w:r w:rsidR="00D8166E">
              <w:rPr>
                <w:rFonts w:asciiTheme="minorHAnsi" w:hAnsiTheme="minorHAnsi" w:cstheme="minorHAnsi"/>
                <w:sz w:val="22"/>
                <w:szCs w:val="22"/>
              </w:rPr>
              <w:t>art</w:t>
            </w:r>
            <w:r w:rsidRPr="00EC4F25">
              <w:rPr>
                <w:rFonts w:asciiTheme="minorHAnsi" w:hAnsiTheme="minorHAnsi" w:cstheme="minorHAnsi"/>
                <w:sz w:val="22"/>
                <w:szCs w:val="22"/>
              </w:rPr>
              <w:t>. 7 u.z.t., gdyż sporny znak zastrzeżony został do oznaczania pieczywa cukierniczego. Rzeczą zaś skarżącej jest decydowanie o tym, jaki rodzaj pieczywa cukierniczego oznacza spornym znakiem towarowym.</w:t>
            </w:r>
          </w:p>
          <w:p w14:paraId="5681BBE0" w14:textId="77777777" w:rsidR="00FB798E" w:rsidRPr="00EC4F25" w:rsidRDefault="00FB798E" w:rsidP="00F45910">
            <w:pPr>
              <w:tabs>
                <w:tab w:val="left" w:pos="264"/>
              </w:tabs>
              <w:jc w:val="both"/>
              <w:rPr>
                <w:rFonts w:asciiTheme="minorHAnsi" w:hAnsiTheme="minorHAnsi" w:cstheme="minorHAnsi"/>
                <w:sz w:val="22"/>
                <w:szCs w:val="22"/>
              </w:rPr>
            </w:pPr>
          </w:p>
          <w:p w14:paraId="4A1166F4" w14:textId="0ECD5058"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Pozostaje do rozważenia zgodność spornej rejestracji z przepisem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8 pkt 1 u.z.t., stosownie do którego, jak to już wskazano, niedopuszczalna jest rejestracja znaku, który jest sprzeczny z obowiązującym prawem lub zasadami współżycia społecznego. Sprzeczność z prawem lub zasadami współżycia społecznego, stanowiącą przesłankę niedopuszczalności zarejestrowania znaku towarowego na podstawie powołanego wyżej przepisu, należy łączyć nie tylko bezpośrednio z samym znakiem, ale również i z okolicznościami towarzyszącymi rejestracji znaku, jeżeli zawierają one elementy sprzeczne z prawem lub zasadami współżycia społecznego. Kwestię tę wyjaśniano w orzecznictwie i w literaturze (R. Skubisz: Prawo znaków towarowych, komentarz, Warszawa 1997, s. 74 –75). Ponadto przez sprzeczność rejestracji z obowiązującym prawem, w rozumieniu </w:t>
            </w:r>
            <w:r w:rsidR="00D8166E">
              <w:rPr>
                <w:rFonts w:asciiTheme="minorHAnsi" w:hAnsiTheme="minorHAnsi" w:cstheme="minorHAnsi"/>
                <w:sz w:val="22"/>
                <w:szCs w:val="22"/>
              </w:rPr>
              <w:t>art</w:t>
            </w:r>
            <w:r w:rsidRPr="00EC4F25">
              <w:rPr>
                <w:rFonts w:asciiTheme="minorHAnsi" w:hAnsiTheme="minorHAnsi" w:cstheme="minorHAnsi"/>
                <w:sz w:val="22"/>
                <w:szCs w:val="22"/>
              </w:rPr>
              <w:t>. 8 pkt 1 u.z.t., należy rozumieć naruszenie przez rejestrację innych przepisów prawa niż zawartych w ustawie o znakach towarowych. Przepis ten stwarza więc potencjalnie szeroki zakres przeszkód dla rejestracji znaku towarowego, a w razie jego rejestracji, podstawę dla unieważnienia prawa z rejestracji (</w:t>
            </w:r>
            <w:r w:rsidR="00D8166E">
              <w:rPr>
                <w:rFonts w:asciiTheme="minorHAnsi" w:hAnsiTheme="minorHAnsi" w:cstheme="minorHAnsi"/>
                <w:sz w:val="22"/>
                <w:szCs w:val="22"/>
              </w:rPr>
              <w:t>art</w:t>
            </w:r>
            <w:r w:rsidRPr="00EC4F25">
              <w:rPr>
                <w:rFonts w:asciiTheme="minorHAnsi" w:hAnsiTheme="minorHAnsi" w:cstheme="minorHAnsi"/>
                <w:sz w:val="22"/>
                <w:szCs w:val="22"/>
              </w:rPr>
              <w:t>. 29 u.z.t.).</w:t>
            </w:r>
          </w:p>
          <w:p w14:paraId="18A76BAB" w14:textId="77777777" w:rsidR="00FB798E" w:rsidRPr="00EC4F25" w:rsidRDefault="00FB798E" w:rsidP="00F45910">
            <w:pPr>
              <w:tabs>
                <w:tab w:val="left" w:pos="264"/>
              </w:tabs>
              <w:jc w:val="both"/>
              <w:rPr>
                <w:rFonts w:asciiTheme="minorHAnsi" w:hAnsiTheme="minorHAnsi" w:cstheme="minorHAnsi"/>
                <w:sz w:val="22"/>
                <w:szCs w:val="22"/>
              </w:rPr>
            </w:pPr>
          </w:p>
          <w:p w14:paraId="69DA4E78" w14:textId="660B0568"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Według Urzędu Patentowego sporna rejestracja narusza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8 pkt 1 u.z.t. Odnosi się to do naruszenia zasad współżycia społecznego, gdyż sporny znak nawiązuje do znanego wcześniej ciastka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Ponadto zdaniem tego organu rejestracja naruszała również obowiązujące prawo. Skarżąca zmierzała bowiem tym sposobem do wyeliminowania z rynku dotychczasowych przedsiębiorców wytwarzających ciastka według wspomnianego znaku towarowego przestrzennego, a więc dążyła do monopolizacji rynku. O takim zamiarze skarżącej świadczą powództwa sądowe wytoczone producentom wytwarzającym podobne ciastka, a w szczególności również i tym, którzy te ciastka wytwarzali jeszcze przed datą zgłoszenia przez skarżącą omawianego znaku do rejestracji.</w:t>
            </w:r>
          </w:p>
          <w:p w14:paraId="77013924" w14:textId="77777777" w:rsidR="00FB798E" w:rsidRPr="00EC4F25" w:rsidRDefault="00FB798E" w:rsidP="00F45910">
            <w:pPr>
              <w:tabs>
                <w:tab w:val="left" w:pos="264"/>
              </w:tabs>
              <w:jc w:val="both"/>
              <w:rPr>
                <w:rFonts w:asciiTheme="minorHAnsi" w:hAnsiTheme="minorHAnsi" w:cstheme="minorHAnsi"/>
                <w:sz w:val="22"/>
                <w:szCs w:val="22"/>
              </w:rPr>
            </w:pPr>
          </w:p>
          <w:p w14:paraId="04FA1B55"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Rejestracja znaków dla oznaczania towarów jest elementem strategii konkurencji, która pozwala uprawnionemu z rejestracji w lepszym stopniu rywalizować o nabywcę niż ma to miejsce w odniesieniu do przedsiębiorców, którzy nie chronią swych towarów znakami towarowymi. Rejestracja jest prawem </w:t>
            </w:r>
          </w:p>
          <w:p w14:paraId="09F74C19" w14:textId="77777777" w:rsidR="00FB798E" w:rsidRPr="00EC4F25" w:rsidRDefault="00FB798E" w:rsidP="00F45910">
            <w:pPr>
              <w:tabs>
                <w:tab w:val="left" w:pos="264"/>
              </w:tabs>
              <w:jc w:val="both"/>
              <w:rPr>
                <w:rFonts w:asciiTheme="minorHAnsi" w:hAnsiTheme="minorHAnsi" w:cstheme="minorHAnsi"/>
                <w:sz w:val="22"/>
                <w:szCs w:val="22"/>
              </w:rPr>
            </w:pPr>
          </w:p>
          <w:p w14:paraId="6F2F01BE" w14:textId="6EE6261D"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przedsiębiorcy, z którego może on skorzystać lub nie. Jednakże wprowadzając do obrotu towar nieoznaczony znakiem towarowym przedsiębiorca musi się liczyć, że towar ten nie jest w dostatecznym stopniu chroniony przed naśladownictwem ze strony konkurentów. Co więcej, jeżeli dopiero po wprowadzeniu do obrotu towarów danego rodzaju ów przedsiębiorca zdecyduje się zgłosić do rejestracji znak towarowy dla oznaczania takich towarów, mogą ku temu zaistnieć przeszkody. Takiej rejestracji może być bowiem postawiony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zarzut ograniczenia konkurentom swobody prowadzenia działalności gospodarczej, celem nieuzasadnionej monopolizacji rynku towarów danego rodzaju. Swoboda działalności gospodarczej była i jest chroniona prawem. W dacie zgłoszenia spornego znaku przestrzennego do rejestracji (5 maja 1994 r.) swoboda ta była chroniona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6 ówczesnej konstytucji, a także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w:t>
            </w:r>
            <w:r w:rsidR="00D8166E" w:rsidRPr="00EC4F25">
              <w:rPr>
                <w:rFonts w:asciiTheme="minorHAnsi" w:hAnsiTheme="minorHAnsi" w:cstheme="minorHAnsi"/>
                <w:sz w:val="22"/>
                <w:szCs w:val="22"/>
              </w:rPr>
              <w:t>L</w:t>
            </w:r>
            <w:r w:rsidRPr="00EC4F25">
              <w:rPr>
                <w:rFonts w:asciiTheme="minorHAnsi" w:hAnsiTheme="minorHAnsi" w:cstheme="minorHAnsi"/>
                <w:sz w:val="22"/>
                <w:szCs w:val="22"/>
              </w:rPr>
              <w:t xml:space="preserve"> 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ust. 1 ustawy z dnia 23 grudnia 1988 r. o działalności gospodarczej (Dz. U. Nr 41, poz. 324 ze zm.). Stosownie do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6 konstytucji Rzeczpospolita Polska gwarantuje swobodę działalności gospodarczej bez względu na formę własności; ograniczenie tej swobody może nastąpić jedynie w ustawie. W myśl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1 cytowanej ustawy o działalności gospodarczej podejmowanie i prowadzenie działalności gospodarczej </w:t>
            </w:r>
            <w:proofErr w:type="gramStart"/>
            <w:r w:rsidRPr="00EC4F25">
              <w:rPr>
                <w:rFonts w:asciiTheme="minorHAnsi" w:hAnsiTheme="minorHAnsi" w:cstheme="minorHAnsi"/>
                <w:sz w:val="22"/>
                <w:szCs w:val="22"/>
              </w:rPr>
              <w:t>jest</w:t>
            </w:r>
            <w:proofErr w:type="gramEnd"/>
            <w:r w:rsidRPr="00EC4F25">
              <w:rPr>
                <w:rFonts w:asciiTheme="minorHAnsi" w:hAnsiTheme="minorHAnsi" w:cstheme="minorHAnsi"/>
                <w:sz w:val="22"/>
                <w:szCs w:val="22"/>
              </w:rPr>
              <w:t xml:space="preserve"> wolne i dozwolone każdemu na równych prawach, z zachowaniem warunków określonych przepisami prawa. Zgodnie zaś z </w:t>
            </w:r>
            <w:r w:rsidR="00D8166E">
              <w:rPr>
                <w:rFonts w:asciiTheme="minorHAnsi" w:hAnsiTheme="minorHAnsi" w:cstheme="minorHAnsi"/>
                <w:sz w:val="22"/>
                <w:szCs w:val="22"/>
              </w:rPr>
              <w:t>art</w:t>
            </w:r>
            <w:r w:rsidRPr="00EC4F25">
              <w:rPr>
                <w:rFonts w:asciiTheme="minorHAnsi" w:hAnsiTheme="minorHAnsi" w:cstheme="minorHAnsi"/>
                <w:sz w:val="22"/>
                <w:szCs w:val="22"/>
              </w:rPr>
              <w:t>. 4 ust. 1 powołanej ustawy podmioty gospodarcze mogą w ramach prowadzonej działalności gospodarczej dokonywać czynności oraz działań, które nie są przez prawo zabronione.</w:t>
            </w:r>
          </w:p>
          <w:p w14:paraId="7962CBBC" w14:textId="77777777" w:rsidR="00FB798E" w:rsidRPr="00EC4F25" w:rsidRDefault="00FB798E" w:rsidP="00F45910">
            <w:pPr>
              <w:tabs>
                <w:tab w:val="left" w:pos="264"/>
              </w:tabs>
              <w:jc w:val="both"/>
              <w:rPr>
                <w:rFonts w:asciiTheme="minorHAnsi" w:hAnsiTheme="minorHAnsi" w:cstheme="minorHAnsi"/>
                <w:sz w:val="22"/>
                <w:szCs w:val="22"/>
              </w:rPr>
            </w:pPr>
          </w:p>
          <w:p w14:paraId="5E2ED2EC" w14:textId="46E7B1A9"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Swoboda działalności gospodarczej nie jest jednak prawem chronionym absolutnie i może być ograniczona ustawą. Jednym z takich ustawowych ograniczeń jest prawo z rejestracji znaku </w:t>
            </w:r>
            <w:r w:rsidRPr="00EC4F25">
              <w:rPr>
                <w:rFonts w:asciiTheme="minorHAnsi" w:hAnsiTheme="minorHAnsi" w:cstheme="minorHAnsi"/>
                <w:sz w:val="22"/>
                <w:szCs w:val="22"/>
              </w:rPr>
              <w:lastRenderedPageBreak/>
              <w:t xml:space="preserve">towarowego należące do przedsiębiorcy, które nie może być naruszane przez jego konkurenta. W świetle bowiem </w:t>
            </w:r>
            <w:r w:rsidR="00D8166E">
              <w:rPr>
                <w:rFonts w:asciiTheme="minorHAnsi" w:hAnsiTheme="minorHAnsi" w:cstheme="minorHAnsi"/>
                <w:sz w:val="22"/>
                <w:szCs w:val="22"/>
              </w:rPr>
              <w:t>art</w:t>
            </w:r>
            <w:r w:rsidRPr="00EC4F25">
              <w:rPr>
                <w:rFonts w:asciiTheme="minorHAnsi" w:hAnsiTheme="minorHAnsi" w:cstheme="minorHAnsi"/>
                <w:sz w:val="22"/>
                <w:szCs w:val="22"/>
              </w:rPr>
              <w:t>. 13 ust. 1 u.z.t. przedsiębiorstwo, na którego rzecz został zarejestrowany znak towarowy, nabywa wyłączne prawo używania znaku w obrocie gospodarczym na całym terytorium państwa dla towarów objętych rejestracją.</w:t>
            </w:r>
          </w:p>
          <w:p w14:paraId="455E89AA" w14:textId="77777777" w:rsidR="00FB798E" w:rsidRPr="00EC4F25" w:rsidRDefault="00FB798E" w:rsidP="00F45910">
            <w:pPr>
              <w:tabs>
                <w:tab w:val="left" w:pos="264"/>
              </w:tabs>
              <w:jc w:val="both"/>
              <w:rPr>
                <w:rFonts w:asciiTheme="minorHAnsi" w:hAnsiTheme="minorHAnsi" w:cstheme="minorHAnsi"/>
                <w:sz w:val="22"/>
                <w:szCs w:val="22"/>
              </w:rPr>
            </w:pPr>
          </w:p>
          <w:p w14:paraId="56D4281B" w14:textId="094696CB"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Stosownie do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29 u.z.t. prawo z rejestracji znaku towarowego może być unieważnione w całości lub w części, jeżeli nie były spełnione ustawowe warunki wymagane do rejestracji, określone w przepisach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4, 6 </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9 i 32. W kontekście podstawy unieważnienia opartej na przepisie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8 pkt 1 u.z.t., uznającym za niedopuszczalną rejestrację znaku, który jest sprzeczny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z obowiązującym prawem, wyłania się istotna dla sprawy kwestia, kiedy rejestracja znaku towarowego, przyznająca wyłączność na jego używanie, jest sprzeczna z obowiązującym prawem, a w szczególności naruszająca swobodę działalności gospodarczej konkurentów podmiotu uprawnionego z takiego znaku, stanowiąc tym samym stanowi podstawę dla unieważnienia prawa z rejestracji takiego znaku. Niewątpliwie w pełni zgodna ze społeczno-gospodarczym przeznaczeniem prawa wyłączności jest rejestracja znaku towarowego ukierunkowana na ochronę konkurencji potencjalnej, a więc jeszcze nieistniejącej realnie, tak aby w następstwie rejestracji przeciwdziałać sytuacji spotkania się nabywcy towarów oznaczonych danym znakiem z podobnym znakiem dla oznaczenia towarów tego samego rodzaju pochodzących od innego przedsiębiorcy. Rejestracja znaku towarowego w swej istocie sprzyja wówczas rozwojowi konkurencji, nadając jej walor konkurencji uczciwej, gdyż z analogicznymi wnioskami o rejestrację swych znaków mogą wystąpić konkurenci. Stąd rejestracji, przeciwdziałającej ex </w:t>
            </w:r>
            <w:proofErr w:type="spellStart"/>
            <w:r w:rsidRPr="00EC4F25">
              <w:rPr>
                <w:rFonts w:asciiTheme="minorHAnsi" w:hAnsiTheme="minorHAnsi" w:cstheme="minorHAnsi"/>
                <w:sz w:val="22"/>
                <w:szCs w:val="22"/>
              </w:rPr>
              <w:t>ante</w:t>
            </w:r>
            <w:proofErr w:type="spellEnd"/>
            <w:r w:rsidRPr="00EC4F25">
              <w:rPr>
                <w:rFonts w:asciiTheme="minorHAnsi" w:hAnsiTheme="minorHAnsi" w:cstheme="minorHAnsi"/>
                <w:sz w:val="22"/>
                <w:szCs w:val="22"/>
              </w:rPr>
              <w:t xml:space="preserve"> sytuacji występowania na rynku podobieństwa oznaczeń na towary tego samego rodzaju pochodzących od różnych przedsiębiorców, nie można postawić zarzutu naruszenia przepisów o swobodzie działalności gospodarczej, a w szczególności przepisów wyżej powołanych.</w:t>
            </w:r>
          </w:p>
          <w:p w14:paraId="24137C7C" w14:textId="77777777" w:rsidR="00FB798E" w:rsidRPr="00EC4F25" w:rsidRDefault="00FB798E" w:rsidP="00F45910">
            <w:pPr>
              <w:tabs>
                <w:tab w:val="left" w:pos="264"/>
              </w:tabs>
              <w:jc w:val="both"/>
              <w:rPr>
                <w:rFonts w:asciiTheme="minorHAnsi" w:hAnsiTheme="minorHAnsi" w:cstheme="minorHAnsi"/>
                <w:sz w:val="22"/>
                <w:szCs w:val="22"/>
              </w:rPr>
            </w:pPr>
          </w:p>
          <w:p w14:paraId="1A9B715F"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Natomiast zgoła odmiennie należałoby ocenić sytuację istniejącą na rynku konkurencyjnym w zakresie danego produktu, gdzie nabywca realnie dysponuje alternatywnymi ofertami co najmniej dwóch przedsiębiorców w zakresie towarów tego samego rodzaju oznaczanych podobnym znakiem towarowym, co ma miejsce w okolicznościach faktycznych niniejszej sprawy. Niewątpliwie, gdy prowadzi to do mylenia źródła pochodzenia towarów, nie jest to pożądany stan rzeczy. W odniesieniu do spornego rodzaju pieczywa cukierniczego myleniu źródła pochodzenia skutecznie przeciwdziała oznaczanie przez skarżącą swych ciastek znakiem słownym delicje. Konkurenci wytwarzający podobny rodzaj ciastek także oznaczają swoje wyroby własnymi oznaczeniami. W rezultacie, co najwyżej, jedynie bardzo nieuważny konsument mógłby pomylić źródło pochodzenia omawianych ciastek.</w:t>
            </w:r>
          </w:p>
          <w:p w14:paraId="5859188F" w14:textId="77777777" w:rsidR="00FB798E" w:rsidRPr="00EC4F25" w:rsidRDefault="00FB798E" w:rsidP="00F45910">
            <w:pPr>
              <w:tabs>
                <w:tab w:val="left" w:pos="264"/>
              </w:tabs>
              <w:jc w:val="both"/>
              <w:rPr>
                <w:rFonts w:asciiTheme="minorHAnsi" w:hAnsiTheme="minorHAnsi" w:cstheme="minorHAnsi"/>
                <w:sz w:val="22"/>
                <w:szCs w:val="22"/>
              </w:rPr>
            </w:pPr>
          </w:p>
          <w:p w14:paraId="6D1017FD" w14:textId="1D689B11"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Do 1988 r. sporne ciastka były wytwarzane wyłącznie przez poprzednika prawnego skarżącej. W związku z nastaniem w Polsce warunków dla rozwoju gospodarki rynkowej produkcję omawianego rodzaju pieczywa cukierniczego podjęli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w 1989 r. </w:t>
            </w:r>
            <w:proofErr w:type="spellStart"/>
            <w:r w:rsidRPr="00EC4F25">
              <w:rPr>
                <w:rFonts w:asciiTheme="minorHAnsi" w:hAnsiTheme="minorHAnsi" w:cstheme="minorHAnsi"/>
                <w:sz w:val="22"/>
                <w:szCs w:val="22"/>
              </w:rPr>
              <w:t>Cuprod</w:t>
            </w:r>
            <w:proofErr w:type="spellEnd"/>
            <w:r w:rsidRPr="00EC4F25">
              <w:rPr>
                <w:rFonts w:asciiTheme="minorHAnsi" w:hAnsiTheme="minorHAnsi" w:cstheme="minorHAnsi"/>
                <w:sz w:val="22"/>
                <w:szCs w:val="22"/>
              </w:rPr>
              <w:t xml:space="preserve">, w 1991 r. </w:t>
            </w:r>
            <w:r w:rsidR="00D8166E">
              <w:rPr>
                <w:rFonts w:asciiTheme="minorHAnsi" w:hAnsiTheme="minorHAnsi" w:cstheme="minorHAnsi"/>
                <w:sz w:val="22"/>
                <w:szCs w:val="22"/>
              </w:rPr>
              <w:t>„</w:t>
            </w:r>
            <w:r w:rsidRPr="00EC4F25">
              <w:rPr>
                <w:rFonts w:asciiTheme="minorHAnsi" w:hAnsiTheme="minorHAnsi" w:cstheme="minorHAnsi"/>
                <w:sz w:val="22"/>
                <w:szCs w:val="22"/>
              </w:rPr>
              <w:t>POL-MAR</w:t>
            </w:r>
            <w:r w:rsidR="00D8166E">
              <w:rPr>
                <w:rFonts w:asciiTheme="minorHAnsi" w:hAnsiTheme="minorHAnsi" w:cstheme="minorHAnsi"/>
                <w:sz w:val="22"/>
                <w:szCs w:val="22"/>
              </w:rPr>
              <w:t>”</w:t>
            </w:r>
            <w:r w:rsidRPr="00EC4F25">
              <w:rPr>
                <w:rFonts w:asciiTheme="minorHAnsi" w:hAnsiTheme="minorHAnsi" w:cstheme="minorHAnsi"/>
                <w:sz w:val="22"/>
                <w:szCs w:val="22"/>
              </w:rPr>
              <w:t xml:space="preserve"> Czuba, zaś od 1993 r. </w:t>
            </w:r>
            <w:r w:rsidR="00D8166E">
              <w:rPr>
                <w:rFonts w:asciiTheme="minorHAnsi" w:hAnsiTheme="minorHAnsi" w:cstheme="minorHAnsi"/>
                <w:sz w:val="22"/>
                <w:szCs w:val="22"/>
              </w:rPr>
              <w:t>„</w:t>
            </w:r>
            <w:proofErr w:type="spellStart"/>
            <w:r w:rsidRPr="00EC4F25">
              <w:rPr>
                <w:rFonts w:asciiTheme="minorHAnsi" w:hAnsiTheme="minorHAnsi" w:cstheme="minorHAnsi"/>
                <w:sz w:val="22"/>
                <w:szCs w:val="22"/>
              </w:rPr>
              <w:t>Delic</w:t>
            </w:r>
            <w:proofErr w:type="spellEnd"/>
            <w:r w:rsidRPr="00EC4F25">
              <w:rPr>
                <w:rFonts w:asciiTheme="minorHAnsi" w:hAnsiTheme="minorHAnsi" w:cstheme="minorHAnsi"/>
                <w:sz w:val="22"/>
                <w:szCs w:val="22"/>
              </w:rPr>
              <w:t>-Pol</w:t>
            </w:r>
            <w:r w:rsidR="00D8166E">
              <w:rPr>
                <w:rFonts w:asciiTheme="minorHAnsi" w:hAnsiTheme="minorHAnsi" w:cstheme="minorHAnsi"/>
                <w:sz w:val="22"/>
                <w:szCs w:val="22"/>
              </w:rPr>
              <w:t>”</w:t>
            </w:r>
            <w:r w:rsidRPr="00EC4F25">
              <w:rPr>
                <w:rFonts w:asciiTheme="minorHAnsi" w:hAnsiTheme="minorHAnsi" w:cstheme="minorHAnsi"/>
                <w:sz w:val="22"/>
                <w:szCs w:val="22"/>
              </w:rPr>
              <w:t>. Na powyższą okoliczność wspomniani uczestnicy postępowania przedłożyli niebudzące wątpliwości Sądu dowody, a w szczególności liczne faktury dotyczące wprowadzania do obrotu towarowego omawianych ciastek. W związku z postępującą konkurencją, aczkolwiek nie zagrażającą pozycji dotychczasowego lidera na tym rynku, poprzednicy prawni skarżącej w 1992 r. złożyli wniosek o ochronę znaku towarowego słownego delicje i uzyskali taką rejestrację.</w:t>
            </w:r>
          </w:p>
          <w:p w14:paraId="1D753049" w14:textId="77777777" w:rsidR="00FB798E" w:rsidRPr="00EC4F25" w:rsidRDefault="00FB798E" w:rsidP="00F45910">
            <w:pPr>
              <w:tabs>
                <w:tab w:val="left" w:pos="264"/>
              </w:tabs>
              <w:jc w:val="both"/>
              <w:rPr>
                <w:rFonts w:asciiTheme="minorHAnsi" w:hAnsiTheme="minorHAnsi" w:cstheme="minorHAnsi"/>
                <w:sz w:val="22"/>
                <w:szCs w:val="22"/>
              </w:rPr>
            </w:pPr>
          </w:p>
          <w:p w14:paraId="33CA1F3C" w14:textId="6294175A"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 dacie zgłoszenia wniosku o rejestrację spornego znaku przestrzennego (5 maja 1994 r.), będącego wierną kopią omawianego pieczywa cukierniczego, wytwarzanego zarówno przez poprzednika prawnego skarżącej, jak i uczestników postępowania, odnośny rynek pieczywa był rynkiem konkurencyjnym, zaś producenci tych ciastek byli już na tym rynku dość dobrze osadzeni. Nie może ulegać wątpliwości, co zresztą w całej rozciągłości, potwierdziły późniejsze procesy cywilne wytoczone przez skarżącą uczestnikom niniejszego postępowania, iż zasadniczym celem zgłoszenia do rejestracji spornego znaku przestrzennego był zamiar zmonopolizowania tym sposobem całej produkcji przedmiotowego pieczywa cukierniczego, poprzez ograniczenie dotychczasowym </w:t>
            </w:r>
            <w:r w:rsidRPr="00EC4F25">
              <w:rPr>
                <w:rFonts w:asciiTheme="minorHAnsi" w:hAnsiTheme="minorHAnsi" w:cstheme="minorHAnsi"/>
                <w:sz w:val="22"/>
                <w:szCs w:val="22"/>
              </w:rPr>
              <w:lastRenderedPageBreak/>
              <w:t xml:space="preserve">konkurentom swobody działalności gospodarczej w zakresie produkcji takiego pieczywa. Reasumując, narusza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8 pkt 1 u.z.t. w związku z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6 konstytucji oraz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1 i </w:t>
            </w:r>
            <w:r w:rsidR="00D8166E">
              <w:rPr>
                <w:rFonts w:asciiTheme="minorHAnsi" w:hAnsiTheme="minorHAnsi" w:cstheme="minorHAnsi"/>
                <w:sz w:val="22"/>
                <w:szCs w:val="22"/>
              </w:rPr>
              <w:t>art</w:t>
            </w:r>
            <w:r w:rsidRPr="00EC4F25">
              <w:rPr>
                <w:rFonts w:asciiTheme="minorHAnsi" w:hAnsiTheme="minorHAnsi" w:cstheme="minorHAnsi"/>
                <w:sz w:val="22"/>
                <w:szCs w:val="22"/>
              </w:rPr>
              <w:t>. 4 ust. 1 cytowanej ustawy o działalności gospodarczej rejestracja znaku towarowego przestrzennego, której wyłącznym celem jest zmonopolizowanie rynku określonego produktu i pozbawienie tym samym dotychczas działających na tym rynku konkurentów swobody prowadzenia działalności gospodarczej w zakresie możliwości dalszej produkcji takiego samego towaru.</w:t>
            </w:r>
          </w:p>
          <w:p w14:paraId="6C1D1BE8" w14:textId="77777777" w:rsidR="00FB798E" w:rsidRPr="00EC4F25" w:rsidRDefault="00FB798E" w:rsidP="00F45910">
            <w:pPr>
              <w:tabs>
                <w:tab w:val="left" w:pos="264"/>
              </w:tabs>
              <w:jc w:val="both"/>
              <w:rPr>
                <w:rFonts w:asciiTheme="minorHAnsi" w:hAnsiTheme="minorHAnsi" w:cstheme="minorHAnsi"/>
                <w:sz w:val="22"/>
                <w:szCs w:val="22"/>
              </w:rPr>
            </w:pPr>
          </w:p>
          <w:p w14:paraId="33C48EB0" w14:textId="249EBF11"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Wspomnianej rejestracji można także postawić zarzut naruszenia zasad współżycia społecznego, o których mowa w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8 pkt 1 u.z.t. Pomimo produkowania przez uczestników postępowania omawianego pieczywa od wielu już lat skarżąca, w następstwie uzyskania wyłączności na ten rodzaj pieczywa cukierniczego przez sporną rejestrację, stawia uczestników postępowania przed koniecznością zmiany profilu produkcji, co wiąże się z poniesieniem znacznych kosztów, niewątpliwie niewspółmiernie wyższych niż w przypadku zmian organizacyjnych wywołanych potrzebą zmiany oznaczania wyrobów znakiem słownym lub </w:t>
            </w:r>
            <w:proofErr w:type="spellStart"/>
            <w:r w:rsidRPr="00EC4F25">
              <w:rPr>
                <w:rFonts w:asciiTheme="minorHAnsi" w:hAnsiTheme="minorHAnsi" w:cstheme="minorHAnsi"/>
                <w:sz w:val="22"/>
                <w:szCs w:val="22"/>
              </w:rPr>
              <w:t>słownograficznym</w:t>
            </w:r>
            <w:proofErr w:type="spellEnd"/>
            <w:r w:rsidRPr="00EC4F25">
              <w:rPr>
                <w:rFonts w:asciiTheme="minorHAnsi" w:hAnsiTheme="minorHAnsi" w:cstheme="minorHAnsi"/>
                <w:sz w:val="22"/>
                <w:szCs w:val="22"/>
              </w:rPr>
              <w:t>. Chcąc dalej wytwarzać ciastka biszkoptowe o walorach smakowo-użytkowych będących dla konsumentów substytutem w stosunku do produktu skarżącej uczestnicy postępowania niewątpliwie musieliby dostosować, a być może i wymienić, dotychczasowy park maszynowy, a także ponieść znaczne koszty reklamy nowego produktu. Produkując zaś od lat sporny rodzaj pieczywa uczestnicy postępowania w miarę swych możliwości również promują wśród konsumentów spożycie tego rodzaju pieczywa cukierniczego. W przypadku zaprzestania takiej produkcji przez uczestników postępowania wszelkie korzyści, będące następstwem działań marketingowych uczestników postępowania, przypadłyby nieekwiwalentnie skarżącej.</w:t>
            </w:r>
          </w:p>
          <w:p w14:paraId="16A2D613" w14:textId="77777777" w:rsidR="00FB798E" w:rsidRPr="00EC4F25" w:rsidRDefault="00FB798E" w:rsidP="00F45910">
            <w:pPr>
              <w:tabs>
                <w:tab w:val="left" w:pos="264"/>
              </w:tabs>
              <w:jc w:val="both"/>
              <w:rPr>
                <w:rFonts w:asciiTheme="minorHAnsi" w:hAnsiTheme="minorHAnsi" w:cstheme="minorHAnsi"/>
                <w:sz w:val="22"/>
                <w:szCs w:val="22"/>
              </w:rPr>
            </w:pPr>
          </w:p>
          <w:p w14:paraId="7FFB4C19" w14:textId="2A556329"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Sąd nie dopatrzył się zasadności podniesionego w skardze zarzutu naruszenia </w:t>
            </w:r>
            <w:r w:rsidR="00D8166E">
              <w:rPr>
                <w:rFonts w:asciiTheme="minorHAnsi" w:hAnsiTheme="minorHAnsi" w:cstheme="minorHAnsi"/>
                <w:sz w:val="22"/>
                <w:szCs w:val="22"/>
              </w:rPr>
              <w:t>art</w:t>
            </w:r>
            <w:r w:rsidRPr="00EC4F25">
              <w:rPr>
                <w:rFonts w:asciiTheme="minorHAnsi" w:hAnsiTheme="minorHAnsi" w:cstheme="minorHAnsi"/>
                <w:sz w:val="22"/>
                <w:szCs w:val="22"/>
              </w:rPr>
              <w:t>. 32 Konstytucji RP, gdyż w zaskarżonej decyzji trudno dopatrzyć się dyskryminacji skarżącej.</w:t>
            </w:r>
          </w:p>
          <w:p w14:paraId="66A359EF" w14:textId="77777777" w:rsidR="00FB798E" w:rsidRPr="00EC4F25" w:rsidRDefault="00FB798E" w:rsidP="00F45910">
            <w:pPr>
              <w:tabs>
                <w:tab w:val="left" w:pos="264"/>
              </w:tabs>
              <w:jc w:val="both"/>
              <w:rPr>
                <w:rFonts w:asciiTheme="minorHAnsi" w:hAnsiTheme="minorHAnsi" w:cstheme="minorHAnsi"/>
                <w:sz w:val="22"/>
                <w:szCs w:val="22"/>
              </w:rPr>
            </w:pPr>
          </w:p>
          <w:p w14:paraId="23BE1399" w14:textId="77777777"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Nie naruszono również w zaskarżonej decyzji przepisów postępowania administracyjnego wymienionych w skardze, przynajmniej w stopniu uzasadniającym uchylenie tej decyzji.</w:t>
            </w:r>
          </w:p>
          <w:p w14:paraId="4E028C07" w14:textId="77777777" w:rsidR="00FB798E" w:rsidRPr="00EC4F25" w:rsidRDefault="00FB798E" w:rsidP="00F45910">
            <w:pPr>
              <w:tabs>
                <w:tab w:val="left" w:pos="264"/>
              </w:tabs>
              <w:jc w:val="both"/>
              <w:rPr>
                <w:rFonts w:asciiTheme="minorHAnsi" w:hAnsiTheme="minorHAnsi" w:cstheme="minorHAnsi"/>
                <w:sz w:val="22"/>
                <w:szCs w:val="22"/>
              </w:rPr>
            </w:pPr>
          </w:p>
          <w:p w14:paraId="52C2D244" w14:textId="43D32A20" w:rsidR="00FB798E" w:rsidRPr="00EC4F25" w:rsidRDefault="00FB798E" w:rsidP="00F45910">
            <w:pPr>
              <w:tabs>
                <w:tab w:val="left" w:pos="264"/>
              </w:tabs>
              <w:jc w:val="both"/>
              <w:rPr>
                <w:rFonts w:asciiTheme="minorHAnsi" w:hAnsiTheme="minorHAnsi" w:cstheme="minorHAnsi"/>
                <w:sz w:val="22"/>
                <w:szCs w:val="22"/>
              </w:rPr>
            </w:pPr>
            <w:r w:rsidRPr="00EC4F25">
              <w:rPr>
                <w:rFonts w:asciiTheme="minorHAnsi" w:hAnsiTheme="minorHAnsi" w:cstheme="minorHAnsi"/>
                <w:sz w:val="22"/>
                <w:szCs w:val="22"/>
              </w:rPr>
              <w:t xml:space="preserve">Skoro zatem unieważnienie przez Urząd Patentowy zaskarżoną decyzją prawa z rejestracji spornego przestrzennego znaku towarowego znajdowało uzasadnienie w świetle </w:t>
            </w:r>
            <w:r w:rsidR="00D8166E">
              <w:rPr>
                <w:rFonts w:asciiTheme="minorHAnsi" w:hAnsiTheme="minorHAnsi" w:cstheme="minorHAnsi"/>
                <w:sz w:val="22"/>
                <w:szCs w:val="22"/>
              </w:rPr>
              <w:t>art</w:t>
            </w:r>
            <w:r w:rsidRPr="00EC4F25">
              <w:rPr>
                <w:rFonts w:asciiTheme="minorHAnsi" w:hAnsiTheme="minorHAnsi" w:cstheme="minorHAnsi"/>
                <w:sz w:val="22"/>
                <w:szCs w:val="22"/>
              </w:rPr>
              <w:t>. 8 pkt 1 u.z.t., skargę na tę decyzję należało oddalić jako nieuzasadnioną (</w:t>
            </w:r>
            <w:r w:rsidR="00D8166E">
              <w:rPr>
                <w:rFonts w:asciiTheme="minorHAnsi" w:hAnsiTheme="minorHAnsi" w:cstheme="minorHAnsi"/>
                <w:sz w:val="22"/>
                <w:szCs w:val="22"/>
              </w:rPr>
              <w:t>art</w:t>
            </w:r>
            <w:r w:rsidRPr="00EC4F25">
              <w:rPr>
                <w:rFonts w:asciiTheme="minorHAnsi" w:hAnsiTheme="minorHAnsi" w:cstheme="minorHAnsi"/>
                <w:sz w:val="22"/>
                <w:szCs w:val="22"/>
              </w:rPr>
              <w:t xml:space="preserve">. 151 </w:t>
            </w:r>
            <w:proofErr w:type="spellStart"/>
            <w:r w:rsidRPr="00EC4F25">
              <w:rPr>
                <w:rFonts w:asciiTheme="minorHAnsi" w:hAnsiTheme="minorHAnsi" w:cstheme="minorHAnsi"/>
                <w:sz w:val="22"/>
                <w:szCs w:val="22"/>
              </w:rPr>
              <w:t>p.s.a</w:t>
            </w:r>
            <w:proofErr w:type="spellEnd"/>
            <w:r w:rsidRPr="00EC4F25">
              <w:rPr>
                <w:rFonts w:asciiTheme="minorHAnsi" w:hAnsiTheme="minorHAnsi" w:cstheme="minorHAnsi"/>
                <w:sz w:val="22"/>
                <w:szCs w:val="22"/>
              </w:rPr>
              <w:t>.).</w:t>
            </w:r>
          </w:p>
        </w:tc>
      </w:tr>
    </w:tbl>
    <w:p w14:paraId="6CAEF7AE" w14:textId="77777777" w:rsidR="003C4BC6" w:rsidRDefault="003C4BC6" w:rsidP="00972F3D">
      <w:pPr>
        <w:spacing w:after="0"/>
        <w:jc w:val="center"/>
        <w:rPr>
          <w:rFonts w:cstheme="minorHAnsi"/>
          <w:b/>
          <w:bCs/>
          <w:sz w:val="24"/>
          <w:szCs w:val="24"/>
        </w:rPr>
      </w:pPr>
    </w:p>
    <w:p w14:paraId="0EDE95A3" w14:textId="77777777" w:rsidR="003C4BC6" w:rsidRDefault="003C4BC6" w:rsidP="00972F3D">
      <w:pPr>
        <w:spacing w:after="0"/>
        <w:jc w:val="center"/>
        <w:rPr>
          <w:rFonts w:cstheme="minorHAnsi"/>
          <w:b/>
          <w:bCs/>
          <w:sz w:val="24"/>
          <w:szCs w:val="24"/>
        </w:rPr>
      </w:pPr>
    </w:p>
    <w:p w14:paraId="312D4BAC" w14:textId="0F60C7D3" w:rsidR="00972F3D" w:rsidRDefault="00972F3D" w:rsidP="00972F3D">
      <w:pPr>
        <w:spacing w:after="0"/>
        <w:jc w:val="center"/>
        <w:rPr>
          <w:rFonts w:cstheme="minorHAnsi"/>
          <w:b/>
          <w:bCs/>
          <w:sz w:val="24"/>
          <w:szCs w:val="24"/>
        </w:rPr>
      </w:pPr>
      <w:r>
        <w:rPr>
          <w:rFonts w:cstheme="minorHAnsi"/>
          <w:b/>
          <w:bCs/>
          <w:sz w:val="24"/>
          <w:szCs w:val="24"/>
        </w:rPr>
        <w:t>* * *</w:t>
      </w:r>
    </w:p>
    <w:p w14:paraId="3491332E" w14:textId="77777777" w:rsidR="00972F3D" w:rsidRDefault="00972F3D" w:rsidP="00972F3D">
      <w:pPr>
        <w:spacing w:after="0"/>
        <w:jc w:val="center"/>
        <w:rPr>
          <w:rFonts w:cstheme="minorHAnsi"/>
          <w:b/>
          <w:bCs/>
          <w:sz w:val="6"/>
          <w:szCs w:val="6"/>
        </w:rPr>
      </w:pPr>
    </w:p>
    <w:p w14:paraId="3A17781E" w14:textId="00E438B3" w:rsidR="0077740B" w:rsidRDefault="0077740B" w:rsidP="0077740B">
      <w:pPr>
        <w:tabs>
          <w:tab w:val="left" w:pos="567"/>
        </w:tabs>
        <w:spacing w:after="0"/>
        <w:rPr>
          <w:rFonts w:cstheme="minorHAnsi"/>
          <w:b/>
          <w:bCs/>
          <w:sz w:val="24"/>
          <w:szCs w:val="24"/>
        </w:rPr>
      </w:pPr>
      <w:r>
        <w:rPr>
          <w:noProof/>
          <w:sz w:val="20"/>
          <w:szCs w:val="20"/>
          <w:lang w:eastAsia="pl-PL"/>
        </w:rPr>
        <w:t xml:space="preserve">                                                                               </w:t>
      </w:r>
      <w:r w:rsidRPr="00EC4F25">
        <w:rPr>
          <w:noProof/>
          <w:sz w:val="20"/>
          <w:szCs w:val="20"/>
          <w:lang w:eastAsia="pl-PL"/>
        </w:rPr>
        <w:drawing>
          <wp:inline distT="0" distB="0" distL="0" distR="0" wp14:anchorId="3167E56D" wp14:editId="79D947DB">
            <wp:extent cx="1168400" cy="927100"/>
            <wp:effectExtent l="0" t="0" r="0" b="6350"/>
            <wp:docPr id="53757704" name="Obraz 1" descr="Obraz zawierający jedze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7704" name="Obraz 1" descr="Obraz zawierający jedzenie&#10;&#10;Opis wygenerowany automatyczni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68400" cy="927100"/>
                    </a:xfrm>
                    <a:prstGeom prst="rect">
                      <a:avLst/>
                    </a:prstGeom>
                    <a:noFill/>
                    <a:ln>
                      <a:noFill/>
                    </a:ln>
                  </pic:spPr>
                </pic:pic>
              </a:graphicData>
            </a:graphic>
          </wp:inline>
        </w:drawing>
      </w:r>
    </w:p>
    <w:p w14:paraId="3C523DBE" w14:textId="77777777" w:rsidR="0077740B" w:rsidRDefault="0077740B" w:rsidP="0077740B">
      <w:pPr>
        <w:pStyle w:val="USTustnpkodeksu"/>
        <w:spacing w:line="240" w:lineRule="auto"/>
        <w:ind w:firstLine="0"/>
        <w:jc w:val="center"/>
        <w:rPr>
          <w:rStyle w:val="Nagwek2Znak"/>
          <w:rFonts w:asciiTheme="minorHAnsi" w:hAnsiTheme="minorHAnsi"/>
        </w:rPr>
      </w:pPr>
    </w:p>
    <w:p w14:paraId="279E9B66" w14:textId="0C588E28" w:rsidR="00DC3A5D" w:rsidRPr="00E76D44" w:rsidRDefault="00DC3A5D" w:rsidP="0077740B">
      <w:pPr>
        <w:pStyle w:val="USTustnpkodeksu"/>
        <w:spacing w:line="240" w:lineRule="auto"/>
        <w:ind w:firstLine="0"/>
        <w:jc w:val="center"/>
        <w:rPr>
          <w:rFonts w:cstheme="minorHAnsi"/>
          <w:b/>
          <w:bCs w:val="0"/>
          <w:noProof/>
          <w:szCs w:val="24"/>
        </w:rPr>
      </w:pPr>
      <w:bookmarkStart w:id="109" w:name="_Toc170117986"/>
      <w:r w:rsidRPr="00DC3A5D">
        <w:rPr>
          <w:rStyle w:val="Nagwek2Znak"/>
          <w:rFonts w:asciiTheme="minorHAnsi" w:hAnsiTheme="minorHAnsi"/>
        </w:rPr>
        <w:t>Unieważniono prawo z rejestracji znaku towarowego w kształcie 3D w postaci ciastka delicje R-116211</w:t>
      </w:r>
      <w:r w:rsidRPr="00E76D44">
        <w:rPr>
          <w:rStyle w:val="Nagwek2Znak"/>
          <w:rFonts w:asciiTheme="minorHAnsi" w:hAnsiTheme="minorHAnsi"/>
        </w:rPr>
        <w:t>.</w:t>
      </w:r>
      <w:bookmarkEnd w:id="109"/>
    </w:p>
    <w:p w14:paraId="62CD0C15" w14:textId="466A7D79" w:rsidR="00DC3A5D" w:rsidRPr="00017FFD" w:rsidRDefault="00DC3A5D" w:rsidP="0077740B">
      <w:pPr>
        <w:pStyle w:val="nrbrzegowy2"/>
        <w:numPr>
          <w:ilvl w:val="0"/>
          <w:numId w:val="0"/>
        </w:numPr>
        <w:jc w:val="center"/>
        <w:rPr>
          <w:rFonts w:ascii="Raleway" w:hAnsi="Raleway"/>
          <w:color w:val="2E74B5" w:themeColor="accent5" w:themeShade="BF"/>
          <w:shd w:val="clear" w:color="auto" w:fill="FFFFFF"/>
          <w:lang w:val="en-US"/>
        </w:rPr>
      </w:pPr>
      <w:r w:rsidRPr="00017FFD">
        <w:rPr>
          <w:rFonts w:cstheme="minorHAnsi"/>
          <w:b/>
          <w:color w:val="2E74B5" w:themeColor="accent5" w:themeShade="BF"/>
          <w:szCs w:val="24"/>
          <w:lang w:val="en-GB"/>
        </w:rPr>
        <w:t xml:space="preserve">The registration right regarding a 3D shape </w:t>
      </w:r>
      <w:proofErr w:type="gramStart"/>
      <w:r w:rsidRPr="00017FFD">
        <w:rPr>
          <w:rFonts w:cstheme="minorHAnsi"/>
          <w:b/>
          <w:color w:val="2E74B5" w:themeColor="accent5" w:themeShade="BF"/>
          <w:szCs w:val="24"/>
          <w:lang w:val="en-GB"/>
        </w:rPr>
        <w:t>trade mark</w:t>
      </w:r>
      <w:proofErr w:type="gramEnd"/>
      <w:r w:rsidRPr="00017FFD">
        <w:rPr>
          <w:rFonts w:cstheme="minorHAnsi"/>
          <w:b/>
          <w:color w:val="2E74B5" w:themeColor="accent5" w:themeShade="BF"/>
          <w:szCs w:val="24"/>
          <w:lang w:val="en-GB"/>
        </w:rPr>
        <w:t xml:space="preserve"> in the form of a </w:t>
      </w:r>
      <w:proofErr w:type="spellStart"/>
      <w:r w:rsidRPr="00017FFD">
        <w:rPr>
          <w:rFonts w:cstheme="minorHAnsi"/>
          <w:b/>
          <w:color w:val="2E74B5" w:themeColor="accent5" w:themeShade="BF"/>
          <w:szCs w:val="24"/>
          <w:lang w:val="en-GB"/>
        </w:rPr>
        <w:t>delicje</w:t>
      </w:r>
      <w:proofErr w:type="spellEnd"/>
      <w:r w:rsidRPr="00017FFD">
        <w:rPr>
          <w:rFonts w:cstheme="minorHAnsi"/>
          <w:b/>
          <w:color w:val="2E74B5" w:themeColor="accent5" w:themeShade="BF"/>
          <w:szCs w:val="24"/>
          <w:lang w:val="en-GB"/>
        </w:rPr>
        <w:t xml:space="preserve"> biscuit R-116211 has been invalidated</w:t>
      </w:r>
    </w:p>
    <w:p w14:paraId="6DAEB7C6" w14:textId="77777777" w:rsidR="00DC3A5D" w:rsidRDefault="00DC3A5D" w:rsidP="005A25AA">
      <w:pPr>
        <w:tabs>
          <w:tab w:val="left" w:pos="567"/>
        </w:tabs>
        <w:spacing w:after="0"/>
        <w:rPr>
          <w:rFonts w:cstheme="minorHAnsi"/>
          <w:b/>
          <w:bCs/>
          <w:sz w:val="24"/>
          <w:szCs w:val="24"/>
          <w:lang w:val="en-US"/>
        </w:rPr>
      </w:pPr>
    </w:p>
    <w:p w14:paraId="09C60944" w14:textId="77777777" w:rsidR="004A7BB2" w:rsidRPr="007245E7" w:rsidRDefault="004A7BB2" w:rsidP="004A7BB2">
      <w:pPr>
        <w:spacing w:after="0" w:line="240" w:lineRule="auto"/>
        <w:rPr>
          <w:sz w:val="24"/>
          <w:szCs w:val="24"/>
          <w:lang w:val="en-US"/>
        </w:rPr>
      </w:pPr>
      <w:proofErr w:type="spellStart"/>
      <w:r w:rsidRPr="007245E7">
        <w:rPr>
          <w:b/>
          <w:bCs/>
          <w:sz w:val="24"/>
          <w:szCs w:val="24"/>
          <w:lang w:val="en-US"/>
        </w:rPr>
        <w:t>Podsumowanie</w:t>
      </w:r>
      <w:proofErr w:type="spellEnd"/>
      <w:r w:rsidRPr="007245E7">
        <w:rPr>
          <w:b/>
          <w:bCs/>
          <w:sz w:val="24"/>
          <w:szCs w:val="24"/>
          <w:lang w:val="en-US"/>
        </w:rPr>
        <w:t xml:space="preserve"> </w:t>
      </w:r>
      <w:proofErr w:type="spellStart"/>
      <w:r w:rsidRPr="007245E7">
        <w:rPr>
          <w:b/>
          <w:bCs/>
          <w:sz w:val="24"/>
          <w:szCs w:val="24"/>
          <w:lang w:val="en-US"/>
        </w:rPr>
        <w:t>uwag</w:t>
      </w:r>
      <w:proofErr w:type="spellEnd"/>
      <w:r w:rsidRPr="007245E7">
        <w:rPr>
          <w:b/>
          <w:bCs/>
          <w:sz w:val="24"/>
          <w:szCs w:val="24"/>
          <w:lang w:val="en-US"/>
        </w:rPr>
        <w:t xml:space="preserve"> </w:t>
      </w:r>
      <w:proofErr w:type="spellStart"/>
      <w:r w:rsidRPr="007245E7">
        <w:rPr>
          <w:b/>
          <w:bCs/>
          <w:sz w:val="24"/>
          <w:szCs w:val="24"/>
          <w:lang w:val="en-US"/>
        </w:rPr>
        <w:t>Redakcji</w:t>
      </w:r>
      <w:proofErr w:type="spellEnd"/>
      <w:r w:rsidRPr="007245E7">
        <w:rPr>
          <w:sz w:val="24"/>
          <w:szCs w:val="24"/>
          <w:lang w:val="en-US"/>
        </w:rPr>
        <w:t>:</w:t>
      </w:r>
    </w:p>
    <w:p w14:paraId="21F69640" w14:textId="28843F49" w:rsidR="004A7BB2" w:rsidRPr="007245E7" w:rsidRDefault="004A7BB2" w:rsidP="004A7BB2">
      <w:pPr>
        <w:spacing w:after="0" w:line="240" w:lineRule="auto"/>
        <w:rPr>
          <w:b/>
          <w:bCs/>
          <w:color w:val="2E74B5" w:themeColor="accent5" w:themeShade="BF"/>
          <w:kern w:val="0"/>
          <w:sz w:val="24"/>
          <w:szCs w:val="24"/>
          <w:lang w:val="en-US"/>
        </w:rPr>
      </w:pPr>
      <w:r w:rsidRPr="007245E7">
        <w:rPr>
          <w:b/>
          <w:bCs/>
          <w:color w:val="2E74B5" w:themeColor="accent5" w:themeShade="BF"/>
          <w:kern w:val="0"/>
          <w:sz w:val="24"/>
          <w:szCs w:val="24"/>
          <w:lang w:val="en-US"/>
        </w:rPr>
        <w:t>Conclusion</w:t>
      </w:r>
      <w:r w:rsidR="00171978" w:rsidRPr="007245E7">
        <w:rPr>
          <w:b/>
          <w:bCs/>
          <w:color w:val="2E74B5" w:themeColor="accent5" w:themeShade="BF"/>
          <w:kern w:val="0"/>
          <w:sz w:val="24"/>
          <w:szCs w:val="24"/>
          <w:lang w:val="en-US"/>
        </w:rPr>
        <w:t xml:space="preserve"> of </w:t>
      </w:r>
      <w:r w:rsidRPr="007245E7">
        <w:rPr>
          <w:b/>
          <w:bCs/>
          <w:color w:val="2E74B5" w:themeColor="accent5" w:themeShade="BF"/>
          <w:kern w:val="0"/>
          <w:sz w:val="24"/>
          <w:szCs w:val="24"/>
          <w:lang w:val="en-US"/>
        </w:rPr>
        <w:t>Editor's Note:</w:t>
      </w:r>
    </w:p>
    <w:p w14:paraId="40D4E8C1" w14:textId="77777777" w:rsidR="004A7BB2" w:rsidRPr="007245E7" w:rsidRDefault="004A7BB2" w:rsidP="004A7BB2">
      <w:pPr>
        <w:spacing w:after="0" w:line="240" w:lineRule="auto"/>
        <w:rPr>
          <w:b/>
          <w:bCs/>
          <w:kern w:val="0"/>
          <w:sz w:val="10"/>
          <w:szCs w:val="10"/>
          <w:lang w:val="en-US"/>
        </w:rPr>
      </w:pPr>
    </w:p>
    <w:p w14:paraId="4232E103" w14:textId="73E26701" w:rsidR="00DC3A5D" w:rsidRDefault="00972F3D" w:rsidP="00792825">
      <w:pPr>
        <w:pStyle w:val="nrbrzegowy2"/>
        <w:numPr>
          <w:ilvl w:val="0"/>
          <w:numId w:val="0"/>
        </w:numPr>
        <w:rPr>
          <w:rFonts w:ascii="Raleway" w:hAnsi="Raleway"/>
          <w:shd w:val="clear" w:color="auto" w:fill="FFFFFF"/>
          <w:lang w:val="en-US"/>
        </w:rPr>
      </w:pPr>
      <w:r w:rsidRPr="00DC3A5D">
        <w:rPr>
          <w:shd w:val="clear" w:color="auto" w:fill="FFFFFF"/>
        </w:rPr>
        <w:lastRenderedPageBreak/>
        <w:t>W wyroku WSA oddalono skargę na decyzję, którą Urząd Patentowy UP RP unieważnił prawo</w:t>
      </w:r>
      <w:r w:rsidR="00792825">
        <w:rPr>
          <w:shd w:val="clear" w:color="auto" w:fill="FFFFFF"/>
        </w:rPr>
        <w:t xml:space="preserve"> </w:t>
      </w:r>
      <w:r w:rsidRPr="00DC3A5D">
        <w:rPr>
          <w:shd w:val="clear" w:color="auto" w:fill="FFFFFF"/>
        </w:rPr>
        <w:t xml:space="preserve">z rejestracji przestrzennego znaku towarowego delicje. W odniesieniu do ciastek delicje wspomniane oznaczenie przestrzenne nie może pełnić funkcji znaku towarowego. </w:t>
      </w:r>
      <w:proofErr w:type="spellStart"/>
      <w:r w:rsidRPr="00DC3A5D">
        <w:rPr>
          <w:shd w:val="clear" w:color="auto" w:fill="FFFFFF"/>
          <w:lang w:val="en-US"/>
        </w:rPr>
        <w:t>Znaku</w:t>
      </w:r>
      <w:proofErr w:type="spellEnd"/>
      <w:r w:rsidRPr="00DC3A5D">
        <w:rPr>
          <w:shd w:val="clear" w:color="auto" w:fill="FFFFFF"/>
          <w:lang w:val="en-US"/>
        </w:rPr>
        <w:t xml:space="preserve"> </w:t>
      </w:r>
      <w:proofErr w:type="spellStart"/>
      <w:r w:rsidRPr="00DC3A5D">
        <w:rPr>
          <w:shd w:val="clear" w:color="auto" w:fill="FFFFFF"/>
          <w:lang w:val="en-US"/>
        </w:rPr>
        <w:t>towarowego</w:t>
      </w:r>
      <w:proofErr w:type="spellEnd"/>
      <w:r w:rsidRPr="00DC3A5D">
        <w:rPr>
          <w:shd w:val="clear" w:color="auto" w:fill="FFFFFF"/>
          <w:lang w:val="en-US"/>
        </w:rPr>
        <w:t xml:space="preserve"> </w:t>
      </w:r>
      <w:proofErr w:type="spellStart"/>
      <w:r w:rsidRPr="00DC3A5D">
        <w:rPr>
          <w:shd w:val="clear" w:color="auto" w:fill="FFFFFF"/>
          <w:lang w:val="en-US"/>
        </w:rPr>
        <w:t>nie</w:t>
      </w:r>
      <w:proofErr w:type="spellEnd"/>
      <w:r w:rsidRPr="00DC3A5D">
        <w:rPr>
          <w:shd w:val="clear" w:color="auto" w:fill="FFFFFF"/>
          <w:lang w:val="en-US"/>
        </w:rPr>
        <w:t xml:space="preserve"> </w:t>
      </w:r>
      <w:proofErr w:type="spellStart"/>
      <w:r w:rsidRPr="00DC3A5D">
        <w:rPr>
          <w:shd w:val="clear" w:color="auto" w:fill="FFFFFF"/>
          <w:lang w:val="en-US"/>
        </w:rPr>
        <w:t>można</w:t>
      </w:r>
      <w:proofErr w:type="spellEnd"/>
      <w:r w:rsidRPr="00DC3A5D">
        <w:rPr>
          <w:shd w:val="clear" w:color="auto" w:fill="FFFFFF"/>
          <w:lang w:val="en-US"/>
        </w:rPr>
        <w:t xml:space="preserve"> </w:t>
      </w:r>
      <w:proofErr w:type="spellStart"/>
      <w:r w:rsidRPr="00DC3A5D">
        <w:rPr>
          <w:shd w:val="clear" w:color="auto" w:fill="FFFFFF"/>
          <w:lang w:val="en-US"/>
        </w:rPr>
        <w:t>bowiem</w:t>
      </w:r>
      <w:proofErr w:type="spellEnd"/>
      <w:r w:rsidRPr="00DC3A5D">
        <w:rPr>
          <w:shd w:val="clear" w:color="auto" w:fill="FFFFFF"/>
          <w:lang w:val="en-US"/>
        </w:rPr>
        <w:t xml:space="preserve"> </w:t>
      </w:r>
      <w:proofErr w:type="spellStart"/>
      <w:r w:rsidRPr="00DC3A5D">
        <w:rPr>
          <w:shd w:val="clear" w:color="auto" w:fill="FFFFFF"/>
          <w:lang w:val="en-US"/>
        </w:rPr>
        <w:t>identyfikować</w:t>
      </w:r>
      <w:proofErr w:type="spellEnd"/>
      <w:r w:rsidRPr="00DC3A5D">
        <w:rPr>
          <w:shd w:val="clear" w:color="auto" w:fill="FFFFFF"/>
          <w:lang w:val="en-US"/>
        </w:rPr>
        <w:t xml:space="preserve"> z </w:t>
      </w:r>
      <w:proofErr w:type="spellStart"/>
      <w:r w:rsidRPr="00DC3A5D">
        <w:rPr>
          <w:shd w:val="clear" w:color="auto" w:fill="FFFFFF"/>
          <w:lang w:val="en-US"/>
        </w:rPr>
        <w:t>samym</w:t>
      </w:r>
      <w:proofErr w:type="spellEnd"/>
      <w:r w:rsidRPr="00DC3A5D">
        <w:rPr>
          <w:shd w:val="clear" w:color="auto" w:fill="FFFFFF"/>
          <w:lang w:val="en-US"/>
        </w:rPr>
        <w:t xml:space="preserve"> </w:t>
      </w:r>
      <w:proofErr w:type="spellStart"/>
      <w:r w:rsidRPr="00DC3A5D">
        <w:rPr>
          <w:shd w:val="clear" w:color="auto" w:fill="FFFFFF"/>
          <w:lang w:val="en-US"/>
        </w:rPr>
        <w:t>towarem</w:t>
      </w:r>
      <w:proofErr w:type="spellEnd"/>
      <w:r w:rsidRPr="00DC3A5D">
        <w:rPr>
          <w:rFonts w:ascii="Raleway" w:hAnsi="Raleway"/>
          <w:shd w:val="clear" w:color="auto" w:fill="FFFFFF"/>
          <w:lang w:val="en-US"/>
        </w:rPr>
        <w:t>.</w:t>
      </w:r>
    </w:p>
    <w:p w14:paraId="2CDF2473" w14:textId="19C07CD9" w:rsidR="007B31C8" w:rsidRPr="00017FFD" w:rsidRDefault="007B31C8" w:rsidP="00792825">
      <w:pPr>
        <w:pStyle w:val="nrbrzegowy2"/>
        <w:numPr>
          <w:ilvl w:val="0"/>
          <w:numId w:val="0"/>
        </w:numPr>
        <w:rPr>
          <w:rFonts w:ascii="Raleway" w:hAnsi="Raleway"/>
          <w:color w:val="2E74B5" w:themeColor="accent5" w:themeShade="BF"/>
          <w:shd w:val="clear" w:color="auto" w:fill="FFFFFF"/>
          <w:lang w:val="en-US"/>
        </w:rPr>
      </w:pPr>
      <w:r w:rsidRPr="00017FFD">
        <w:rPr>
          <w:rFonts w:cstheme="minorHAnsi"/>
          <w:color w:val="2E74B5" w:themeColor="accent5" w:themeShade="BF"/>
          <w:szCs w:val="24"/>
          <w:shd w:val="clear" w:color="auto" w:fill="FFFFFF"/>
          <w:lang w:val="en-GB"/>
        </w:rPr>
        <w:t xml:space="preserve">The judgment of the Voivodeship Administrative Court dismissed the complaint against the decision by which the Patent Office of the Republic of Poland invalidated the registration right to the 3D shape mark </w:t>
      </w:r>
      <w:proofErr w:type="spellStart"/>
      <w:r w:rsidRPr="00017FFD">
        <w:rPr>
          <w:rFonts w:cstheme="minorHAnsi"/>
          <w:color w:val="2E74B5" w:themeColor="accent5" w:themeShade="BF"/>
          <w:szCs w:val="24"/>
          <w:shd w:val="clear" w:color="auto" w:fill="FFFFFF"/>
          <w:lang w:val="en-GB"/>
        </w:rPr>
        <w:t>delicje</w:t>
      </w:r>
      <w:proofErr w:type="spellEnd"/>
      <w:r w:rsidRPr="00017FFD">
        <w:rPr>
          <w:rFonts w:cstheme="minorHAnsi"/>
          <w:color w:val="2E74B5" w:themeColor="accent5" w:themeShade="BF"/>
          <w:szCs w:val="24"/>
          <w:shd w:val="clear" w:color="auto" w:fill="FFFFFF"/>
          <w:lang w:val="en-GB"/>
        </w:rPr>
        <w:t xml:space="preserve">. In relation to </w:t>
      </w:r>
      <w:proofErr w:type="spellStart"/>
      <w:r w:rsidRPr="00017FFD">
        <w:rPr>
          <w:rFonts w:cstheme="minorHAnsi"/>
          <w:color w:val="2E74B5" w:themeColor="accent5" w:themeShade="BF"/>
          <w:szCs w:val="24"/>
          <w:shd w:val="clear" w:color="auto" w:fill="FFFFFF"/>
          <w:lang w:val="en-GB"/>
        </w:rPr>
        <w:t>delicje</w:t>
      </w:r>
      <w:proofErr w:type="spellEnd"/>
      <w:r w:rsidRPr="00017FFD">
        <w:rPr>
          <w:rFonts w:cstheme="minorHAnsi"/>
          <w:color w:val="2E74B5" w:themeColor="accent5" w:themeShade="BF"/>
          <w:szCs w:val="24"/>
          <w:shd w:val="clear" w:color="auto" w:fill="FFFFFF"/>
          <w:lang w:val="en-GB"/>
        </w:rPr>
        <w:t xml:space="preserve"> biscuits, the said 3D shape mark cannot perform the function of a </w:t>
      </w:r>
      <w:proofErr w:type="gramStart"/>
      <w:r w:rsidRPr="00017FFD">
        <w:rPr>
          <w:rFonts w:cstheme="minorHAnsi"/>
          <w:color w:val="2E74B5" w:themeColor="accent5" w:themeShade="BF"/>
          <w:szCs w:val="24"/>
          <w:shd w:val="clear" w:color="auto" w:fill="FFFFFF"/>
          <w:lang w:val="en-GB"/>
        </w:rPr>
        <w:t>trade mark</w:t>
      </w:r>
      <w:proofErr w:type="gramEnd"/>
      <w:r w:rsidRPr="00017FFD">
        <w:rPr>
          <w:rFonts w:cstheme="minorHAnsi"/>
          <w:color w:val="2E74B5" w:themeColor="accent5" w:themeShade="BF"/>
          <w:szCs w:val="24"/>
          <w:shd w:val="clear" w:color="auto" w:fill="FFFFFF"/>
          <w:lang w:val="en-GB"/>
        </w:rPr>
        <w:t xml:space="preserve">. Indeed, the </w:t>
      </w:r>
      <w:proofErr w:type="gramStart"/>
      <w:r w:rsidRPr="00017FFD">
        <w:rPr>
          <w:rFonts w:cstheme="minorHAnsi"/>
          <w:color w:val="2E74B5" w:themeColor="accent5" w:themeShade="BF"/>
          <w:szCs w:val="24"/>
          <w:shd w:val="clear" w:color="auto" w:fill="FFFFFF"/>
          <w:lang w:val="en-GB"/>
        </w:rPr>
        <w:t>trade mark</w:t>
      </w:r>
      <w:proofErr w:type="gramEnd"/>
      <w:r w:rsidRPr="00017FFD">
        <w:rPr>
          <w:rFonts w:cstheme="minorHAnsi"/>
          <w:color w:val="2E74B5" w:themeColor="accent5" w:themeShade="BF"/>
          <w:szCs w:val="24"/>
          <w:shd w:val="clear" w:color="auto" w:fill="FFFFFF"/>
          <w:lang w:val="en-GB"/>
        </w:rPr>
        <w:t xml:space="preserve"> cannot be identified with the goods themselves.</w:t>
      </w:r>
    </w:p>
    <w:p w14:paraId="2517BD34" w14:textId="77777777" w:rsidR="0001114C" w:rsidRPr="008B5A97" w:rsidRDefault="0001114C" w:rsidP="0001114C">
      <w:pPr>
        <w:spacing w:after="0"/>
        <w:rPr>
          <w:rFonts w:cstheme="minorHAnsi"/>
          <w:b/>
          <w:bCs/>
          <w:sz w:val="10"/>
          <w:szCs w:val="10"/>
          <w:lang w:val="en-US"/>
        </w:rPr>
      </w:pPr>
    </w:p>
    <w:p w14:paraId="721F49FA" w14:textId="3565FFEB" w:rsidR="0001114C" w:rsidRPr="00017FFD" w:rsidRDefault="0001114C" w:rsidP="0001114C">
      <w:pPr>
        <w:spacing w:after="0"/>
        <w:rPr>
          <w:rFonts w:cstheme="minorHAnsi"/>
          <w:color w:val="2E74B5" w:themeColor="accent5" w:themeShade="BF"/>
          <w:sz w:val="24"/>
          <w:szCs w:val="24"/>
        </w:rPr>
      </w:pPr>
      <w:r w:rsidRPr="002428B7">
        <w:rPr>
          <w:rFonts w:cstheme="minorHAnsi"/>
          <w:b/>
          <w:bCs/>
          <w:sz w:val="24"/>
          <w:szCs w:val="24"/>
        </w:rPr>
        <w:t xml:space="preserve">Miejsce publikacji: </w:t>
      </w:r>
      <w:hyperlink r:id="rId138" w:history="1">
        <w:r w:rsidRPr="00046454">
          <w:rPr>
            <w:rStyle w:val="Hipercze"/>
            <w:rFonts w:cstheme="minorHAnsi"/>
            <w:color w:val="2E74B5" w:themeColor="accent5" w:themeShade="BF"/>
            <w:sz w:val="24"/>
            <w:szCs w:val="24"/>
          </w:rPr>
          <w:t>https://stowi.pl/pwp-art.-315w-odniesieniu-do-ciastek-delicje-oznaczenie-przestrzenne-w-postaci-takiego-ciastka-nie-art.-pelnic-funkcji-znaku-towarowego-wyrok-wsa/</w:t>
        </w:r>
      </w:hyperlink>
      <w:r w:rsidRPr="00046454">
        <w:rPr>
          <w:rFonts w:cstheme="minorHAnsi"/>
          <w:b/>
          <w:bCs/>
          <w:color w:val="2E74B5" w:themeColor="accent5" w:themeShade="BF"/>
          <w:sz w:val="24"/>
          <w:szCs w:val="24"/>
        </w:rPr>
        <w:t xml:space="preserve"> </w:t>
      </w:r>
    </w:p>
    <w:p w14:paraId="53FC6CDB" w14:textId="6DDABF39" w:rsidR="00FB798E" w:rsidRPr="0001114C" w:rsidRDefault="00FB798E">
      <w:r w:rsidRPr="0001114C">
        <w:br w:type="page"/>
      </w:r>
    </w:p>
    <w:p w14:paraId="69496BD5" w14:textId="25E740B8" w:rsidR="001634E6" w:rsidRPr="00004768" w:rsidRDefault="00004768" w:rsidP="003F6CA0">
      <w:pPr>
        <w:pStyle w:val="Nagwek2"/>
        <w:rPr>
          <w:noProof/>
          <w:lang w:eastAsia="pl-PL"/>
        </w:rPr>
      </w:pPr>
      <w:bookmarkStart w:id="110" w:name="_Hlk159267529"/>
      <w:r w:rsidRPr="00B07E4D">
        <w:rPr>
          <w:noProof/>
          <w:lang w:eastAsia="pl-PL"/>
        </w:rPr>
        <w:lastRenderedPageBreak/>
        <w:br/>
      </w:r>
      <w:bookmarkStart w:id="111" w:name="_Toc170117987"/>
      <w:r w:rsidR="001634E6" w:rsidRPr="00004768">
        <w:rPr>
          <w:noProof/>
          <w:lang w:eastAsia="pl-PL"/>
        </w:rPr>
        <w:drawing>
          <wp:anchor distT="0" distB="0" distL="114300" distR="114300" simplePos="0" relativeHeight="251893760" behindDoc="0" locked="0" layoutInCell="1" allowOverlap="1" wp14:anchorId="302C5087" wp14:editId="3BCBEC2B">
            <wp:simplePos x="0" y="0"/>
            <wp:positionH relativeFrom="column">
              <wp:posOffset>27305</wp:posOffset>
            </wp:positionH>
            <wp:positionV relativeFrom="paragraph">
              <wp:posOffset>40005</wp:posOffset>
            </wp:positionV>
            <wp:extent cx="1980000" cy="1080000"/>
            <wp:effectExtent l="0" t="0" r="1270" b="6350"/>
            <wp:wrapThrough wrapText="bothSides">
              <wp:wrapPolygon edited="0">
                <wp:start x="0" y="0"/>
                <wp:lineTo x="0" y="21346"/>
                <wp:lineTo x="21406" y="21346"/>
                <wp:lineTo x="21406" y="0"/>
                <wp:lineTo x="0" y="0"/>
              </wp:wrapPolygon>
            </wp:wrapThrough>
            <wp:docPr id="1153242405" name="Obraz 7" descr="Obraz zawierający owoce, Przekąska, Słodycz, jedzenie&#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3242405" name="Obraz 7" descr="Obraz zawierający owoce, Przekąska, Słodycz, jedzenie&#10;&#10;Opis wygenerowany automatyczni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34E6" w:rsidRPr="00004768">
        <w:rPr>
          <w:noProof/>
          <w:color w:val="C00000"/>
          <w:lang w:eastAsia="pl-PL"/>
        </w:rPr>
        <mc:AlternateContent>
          <mc:Choice Requires="wps">
            <w:drawing>
              <wp:anchor distT="0" distB="0" distL="114300" distR="114300" simplePos="0" relativeHeight="251891712" behindDoc="0" locked="0" layoutInCell="1" allowOverlap="1" wp14:anchorId="244AA060" wp14:editId="7D4BBC54">
                <wp:simplePos x="0" y="0"/>
                <wp:positionH relativeFrom="margin">
                  <wp:posOffset>-98755</wp:posOffset>
                </wp:positionH>
                <wp:positionV relativeFrom="paragraph">
                  <wp:posOffset>-383540</wp:posOffset>
                </wp:positionV>
                <wp:extent cx="527050" cy="372745"/>
                <wp:effectExtent l="0" t="0" r="6350" b="8255"/>
                <wp:wrapNone/>
                <wp:docPr id="1303259343"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60AF895E" w14:textId="3C248CFF" w:rsidR="00541DD6" w:rsidRPr="00142068" w:rsidRDefault="00E758CD" w:rsidP="0033040A">
                            <w:pPr>
                              <w:pStyle w:val="NumeracjaRozdzial"/>
                            </w:pPr>
                            <w:r>
                              <w:t>6</w:t>
                            </w:r>
                            <w:r w:rsidR="00541DD6" w:rsidRPr="00142068">
                              <w:t>.</w:t>
                            </w:r>
                          </w:p>
                          <w:p w14:paraId="4935BDAE" w14:textId="77777777" w:rsidR="00541DD6" w:rsidRDefault="00541DD6" w:rsidP="001634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4AA060" id="_x0000_s1043" type="#_x0000_t202" style="position:absolute;margin-left:-7.8pt;margin-top:-30.2pt;width:41.5pt;height:29.35pt;z-index:2518917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O2LUjy8CAABbBAAADgAAAAAAAAAAAAAAAAAu&#10;AgAAZHJzL2Uyb0RvYy54bWxQSwECLQAUAAYACAAAACEAokroqeEAAAAJAQAADwAAAAAAAAAAAAAA&#10;AACJBAAAZHJzL2Rvd25yZXYueG1sUEsFBgAAAAAEAAQA8wAAAJcFAAAAAA==&#10;" fillcolor="white [3201]" stroked="f" strokeweight=".5pt">
                <v:textbox>
                  <w:txbxContent>
                    <w:p w14:paraId="60AF895E" w14:textId="3C248CFF" w:rsidR="00541DD6" w:rsidRPr="00142068" w:rsidRDefault="00E758CD" w:rsidP="0033040A">
                      <w:pPr>
                        <w:pStyle w:val="NumeracjaRozdzial"/>
                      </w:pPr>
                      <w:r>
                        <w:t>6</w:t>
                      </w:r>
                      <w:r w:rsidR="00541DD6" w:rsidRPr="00142068">
                        <w:t>.</w:t>
                      </w:r>
                    </w:p>
                    <w:p w14:paraId="4935BDAE" w14:textId="77777777" w:rsidR="00541DD6" w:rsidRDefault="00541DD6" w:rsidP="001634E6"/>
                  </w:txbxContent>
                </v:textbox>
                <w10:wrap anchorx="margin"/>
              </v:shape>
            </w:pict>
          </mc:Fallback>
        </mc:AlternateContent>
      </w:r>
      <w:r w:rsidR="0077740B">
        <w:rPr>
          <w:noProof/>
          <w:lang w:eastAsia="pl-PL"/>
        </w:rPr>
        <w:t xml:space="preserve">Naczelny Sąd Administracyjny podzielił pogląd </w:t>
      </w:r>
      <w:r w:rsidR="00F1624C">
        <w:rPr>
          <w:noProof/>
          <w:lang w:eastAsia="pl-PL"/>
        </w:rPr>
        <w:t xml:space="preserve">o trafności </w:t>
      </w:r>
      <w:r w:rsidR="0077740B">
        <w:rPr>
          <w:noProof/>
          <w:lang w:eastAsia="pl-PL"/>
        </w:rPr>
        <w:t>uniew</w:t>
      </w:r>
      <w:r w:rsidR="00F1624C">
        <w:rPr>
          <w:noProof/>
          <w:lang w:eastAsia="pl-PL"/>
        </w:rPr>
        <w:t xml:space="preserve">ażnienia prawa ochronnego na </w:t>
      </w:r>
      <w:r w:rsidR="001634E6" w:rsidRPr="00004768">
        <w:rPr>
          <w:noProof/>
          <w:lang w:eastAsia="pl-PL"/>
        </w:rPr>
        <w:t>przestrzenn</w:t>
      </w:r>
      <w:r w:rsidR="00F1624C">
        <w:rPr>
          <w:noProof/>
          <w:lang w:eastAsia="pl-PL"/>
        </w:rPr>
        <w:t xml:space="preserve">y </w:t>
      </w:r>
      <w:r w:rsidR="001634E6" w:rsidRPr="00004768">
        <w:rPr>
          <w:noProof/>
          <w:lang w:eastAsia="pl-PL"/>
        </w:rPr>
        <w:t>znak towarow</w:t>
      </w:r>
      <w:r w:rsidR="00F1624C">
        <w:rPr>
          <w:noProof/>
          <w:lang w:eastAsia="pl-PL"/>
        </w:rPr>
        <w:t>y</w:t>
      </w:r>
      <w:r w:rsidR="001634E6" w:rsidRPr="00004768">
        <w:rPr>
          <w:noProof/>
          <w:lang w:eastAsia="pl-PL"/>
        </w:rPr>
        <w:t xml:space="preserve"> w postaci ciastka delicje R-116211 </w:t>
      </w:r>
      <w:r w:rsidR="00F1624C">
        <w:rPr>
          <w:noProof/>
          <w:lang w:eastAsia="pl-PL"/>
        </w:rPr>
        <w:t xml:space="preserve">- </w:t>
      </w:r>
      <w:r w:rsidR="001634E6" w:rsidRPr="00004768">
        <w:rPr>
          <w:noProof/>
          <w:lang w:eastAsia="pl-PL"/>
        </w:rPr>
        <w:t xml:space="preserve">NSA </w:t>
      </w:r>
      <w:r w:rsidR="00F1624C" w:rsidRPr="00004768">
        <w:rPr>
          <w:noProof/>
          <w:lang w:eastAsia="pl-PL"/>
        </w:rPr>
        <w:t>wyro</w:t>
      </w:r>
      <w:r w:rsidR="00F1624C">
        <w:rPr>
          <w:noProof/>
          <w:lang w:eastAsia="pl-PL"/>
        </w:rPr>
        <w:t>kiem</w:t>
      </w:r>
      <w:r w:rsidR="00F1624C" w:rsidRPr="00004768">
        <w:rPr>
          <w:noProof/>
          <w:lang w:eastAsia="pl-PL"/>
        </w:rPr>
        <w:t xml:space="preserve"> </w:t>
      </w:r>
      <w:r w:rsidR="001634E6" w:rsidRPr="00004768">
        <w:rPr>
          <w:noProof/>
          <w:lang w:eastAsia="pl-PL"/>
        </w:rPr>
        <w:t>z dnia 29.06.2005 r. oddal</w:t>
      </w:r>
      <w:r w:rsidR="00F1624C">
        <w:rPr>
          <w:noProof/>
          <w:lang w:eastAsia="pl-PL"/>
        </w:rPr>
        <w:t xml:space="preserve">ił </w:t>
      </w:r>
      <w:r w:rsidR="001E25CE" w:rsidRPr="00004768">
        <w:rPr>
          <w:noProof/>
          <w:lang w:eastAsia="pl-PL"/>
        </w:rPr>
        <w:t>skargę kasacyjną</w:t>
      </w:r>
      <w:bookmarkEnd w:id="111"/>
      <w:r w:rsidR="001E25CE" w:rsidRPr="00004768">
        <w:rPr>
          <w:noProof/>
          <w:lang w:eastAsia="pl-PL"/>
        </w:rPr>
        <w:t xml:space="preserve"> </w:t>
      </w:r>
    </w:p>
    <w:p w14:paraId="56F9E8F6" w14:textId="7C7F1D84" w:rsidR="001E25CE" w:rsidRDefault="001E25CE" w:rsidP="00BF5FEB">
      <w:pPr>
        <w:spacing w:after="0"/>
        <w:rPr>
          <w:b/>
          <w:bCs/>
          <w:sz w:val="30"/>
          <w:szCs w:val="30"/>
        </w:rPr>
      </w:pPr>
    </w:p>
    <w:p w14:paraId="546067E8" w14:textId="77777777" w:rsidR="00792825" w:rsidRPr="001F61C2" w:rsidRDefault="00792825" w:rsidP="0001114C">
      <w:pPr>
        <w:spacing w:after="0"/>
        <w:jc w:val="center"/>
        <w:rPr>
          <w:sz w:val="12"/>
          <w:szCs w:val="12"/>
        </w:rPr>
      </w:pPr>
    </w:p>
    <w:p w14:paraId="7649CFB3" w14:textId="075148BE" w:rsidR="00720642" w:rsidRDefault="0001114C" w:rsidP="0001114C">
      <w:pPr>
        <w:spacing w:after="0"/>
        <w:jc w:val="center"/>
        <w:rPr>
          <w:sz w:val="24"/>
          <w:szCs w:val="24"/>
        </w:rPr>
      </w:pPr>
      <w:r>
        <w:rPr>
          <w:sz w:val="24"/>
          <w:szCs w:val="24"/>
        </w:rPr>
        <w:t>* * *</w:t>
      </w:r>
    </w:p>
    <w:p w14:paraId="2FD6E07E" w14:textId="77777777" w:rsidR="00720642" w:rsidRPr="001F61C2" w:rsidRDefault="00720642" w:rsidP="00865DD7">
      <w:pPr>
        <w:spacing w:after="0"/>
        <w:rPr>
          <w:sz w:val="8"/>
          <w:szCs w:val="8"/>
        </w:rPr>
      </w:pPr>
    </w:p>
    <w:p w14:paraId="5805CDEE" w14:textId="7A29ED7F" w:rsidR="00865DD7" w:rsidRPr="001F61C2" w:rsidRDefault="00865DD7" w:rsidP="00865DD7">
      <w:pPr>
        <w:rPr>
          <w:b/>
          <w:bCs/>
          <w:sz w:val="24"/>
          <w:szCs w:val="24"/>
        </w:rPr>
      </w:pPr>
      <w:r w:rsidRPr="001F61C2">
        <w:rPr>
          <w:b/>
          <w:bCs/>
          <w:sz w:val="24"/>
          <w:szCs w:val="24"/>
        </w:rPr>
        <w:t>II GSK 92/05 - Wyrok NSA z 2005-06-29</w:t>
      </w:r>
    </w:p>
    <w:p w14:paraId="71B9FB6D" w14:textId="3589260F" w:rsidR="00865DD7" w:rsidRPr="00EC4F25" w:rsidRDefault="00865DD7" w:rsidP="00865DD7">
      <w:pPr>
        <w:spacing w:after="0"/>
        <w:rPr>
          <w:rFonts w:cstheme="minorHAnsi"/>
          <w:b/>
          <w:bCs/>
        </w:rPr>
      </w:pPr>
    </w:p>
    <w:tbl>
      <w:tblPr>
        <w:tblStyle w:val="Tabela-Siatka"/>
        <w:tblW w:w="0" w:type="auto"/>
        <w:tblBorders>
          <w:bottom w:val="none" w:sz="0" w:space="0" w:color="auto"/>
          <w:right w:val="none" w:sz="0" w:space="0" w:color="auto"/>
        </w:tblBorders>
        <w:tblLook w:val="04A0" w:firstRow="1" w:lastRow="0" w:firstColumn="1" w:lastColumn="0" w:noHBand="0" w:noVBand="1"/>
      </w:tblPr>
      <w:tblGrid>
        <w:gridCol w:w="2212"/>
        <w:gridCol w:w="6855"/>
      </w:tblGrid>
      <w:tr w:rsidR="00865DD7" w:rsidRPr="00EC4F25" w14:paraId="6CB960E7" w14:textId="77777777" w:rsidTr="00F45910">
        <w:tc>
          <w:tcPr>
            <w:tcW w:w="2235" w:type="dxa"/>
          </w:tcPr>
          <w:p w14:paraId="06EF67E2"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Data orzeczenia</w:t>
            </w:r>
          </w:p>
        </w:tc>
        <w:tc>
          <w:tcPr>
            <w:tcW w:w="6977" w:type="dxa"/>
          </w:tcPr>
          <w:p w14:paraId="2970F024"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 xml:space="preserve">2005-06-29                                                    </w:t>
            </w:r>
            <w:r w:rsidRPr="00EC4F25">
              <w:rPr>
                <w:rFonts w:asciiTheme="minorHAnsi" w:hAnsiTheme="minorHAnsi" w:cstheme="minorHAnsi"/>
                <w:i/>
                <w:iCs/>
                <w:sz w:val="22"/>
                <w:szCs w:val="22"/>
              </w:rPr>
              <w:t>orzeczenie prawomocne</w:t>
            </w:r>
          </w:p>
        </w:tc>
      </w:tr>
      <w:tr w:rsidR="00865DD7" w:rsidRPr="00EC4F25" w14:paraId="5B694824" w14:textId="77777777" w:rsidTr="00F45910">
        <w:tc>
          <w:tcPr>
            <w:tcW w:w="2235" w:type="dxa"/>
          </w:tcPr>
          <w:p w14:paraId="1EC7773B"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 xml:space="preserve">Data wpływu </w:t>
            </w:r>
          </w:p>
        </w:tc>
        <w:tc>
          <w:tcPr>
            <w:tcW w:w="6977" w:type="dxa"/>
          </w:tcPr>
          <w:p w14:paraId="6535C8E8"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2005-05-12</w:t>
            </w:r>
          </w:p>
        </w:tc>
      </w:tr>
      <w:tr w:rsidR="00865DD7" w:rsidRPr="00EC4F25" w14:paraId="769D47AD" w14:textId="77777777" w:rsidTr="00F45910">
        <w:tc>
          <w:tcPr>
            <w:tcW w:w="2235" w:type="dxa"/>
          </w:tcPr>
          <w:p w14:paraId="71018170"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Sąd</w:t>
            </w:r>
          </w:p>
        </w:tc>
        <w:tc>
          <w:tcPr>
            <w:tcW w:w="6977" w:type="dxa"/>
          </w:tcPr>
          <w:p w14:paraId="61CFA943"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Naczelny Sąd Administracyjny</w:t>
            </w:r>
          </w:p>
        </w:tc>
      </w:tr>
      <w:tr w:rsidR="00865DD7" w:rsidRPr="00EC4F25" w14:paraId="789BA29B" w14:textId="77777777" w:rsidTr="00F45910">
        <w:tc>
          <w:tcPr>
            <w:tcW w:w="2235" w:type="dxa"/>
          </w:tcPr>
          <w:p w14:paraId="0AD3BDF9"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Sędziowie</w:t>
            </w:r>
          </w:p>
        </w:tc>
        <w:tc>
          <w:tcPr>
            <w:tcW w:w="6977" w:type="dxa"/>
          </w:tcPr>
          <w:p w14:paraId="782BB253"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Andrzej Kuba /sprawozdawca/</w:t>
            </w:r>
          </w:p>
          <w:p w14:paraId="3F65152F"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Kazimierz Brzeziński /przewodniczący/</w:t>
            </w:r>
          </w:p>
          <w:p w14:paraId="23EA8FCE"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Rafał Batorowicz</w:t>
            </w:r>
          </w:p>
        </w:tc>
      </w:tr>
      <w:tr w:rsidR="00865DD7" w:rsidRPr="00EC4F25" w14:paraId="5BDEB550" w14:textId="77777777" w:rsidTr="00F45910">
        <w:tc>
          <w:tcPr>
            <w:tcW w:w="2235" w:type="dxa"/>
          </w:tcPr>
          <w:p w14:paraId="05BA0D2C"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Symbol z opisem</w:t>
            </w:r>
          </w:p>
        </w:tc>
        <w:tc>
          <w:tcPr>
            <w:tcW w:w="6977" w:type="dxa"/>
          </w:tcPr>
          <w:p w14:paraId="4D980403"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6460 Znaki towarowe</w:t>
            </w:r>
          </w:p>
        </w:tc>
      </w:tr>
      <w:tr w:rsidR="00865DD7" w:rsidRPr="00EC4F25" w14:paraId="553660D2" w14:textId="77777777" w:rsidTr="00F45910">
        <w:tc>
          <w:tcPr>
            <w:tcW w:w="2235" w:type="dxa"/>
          </w:tcPr>
          <w:p w14:paraId="09DEB02F"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Hasła tematyczne</w:t>
            </w:r>
          </w:p>
        </w:tc>
        <w:tc>
          <w:tcPr>
            <w:tcW w:w="6977" w:type="dxa"/>
          </w:tcPr>
          <w:p w14:paraId="3F19A0B0"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Własność przemysłowa</w:t>
            </w:r>
          </w:p>
        </w:tc>
      </w:tr>
      <w:tr w:rsidR="00865DD7" w:rsidRPr="00EC4F25" w14:paraId="7F6AE78B" w14:textId="77777777" w:rsidTr="00F45910">
        <w:tc>
          <w:tcPr>
            <w:tcW w:w="2235" w:type="dxa"/>
          </w:tcPr>
          <w:p w14:paraId="222D2CCF"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Sygn. powiązane</w:t>
            </w:r>
          </w:p>
        </w:tc>
        <w:tc>
          <w:tcPr>
            <w:tcW w:w="6977" w:type="dxa"/>
          </w:tcPr>
          <w:p w14:paraId="3A1CD6D8"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II SA 3199/03 - Wyrok WSA w Warszawie z 2004-10-18</w:t>
            </w:r>
          </w:p>
        </w:tc>
      </w:tr>
      <w:tr w:rsidR="00865DD7" w:rsidRPr="00EC4F25" w14:paraId="1117EB12" w14:textId="77777777" w:rsidTr="00F45910">
        <w:tc>
          <w:tcPr>
            <w:tcW w:w="2235" w:type="dxa"/>
          </w:tcPr>
          <w:p w14:paraId="4341BFD9"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Skarżony organ</w:t>
            </w:r>
          </w:p>
        </w:tc>
        <w:tc>
          <w:tcPr>
            <w:tcW w:w="6977" w:type="dxa"/>
          </w:tcPr>
          <w:p w14:paraId="4C69C784"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Urząd Patentowy RP</w:t>
            </w:r>
          </w:p>
        </w:tc>
      </w:tr>
      <w:tr w:rsidR="00865DD7" w:rsidRPr="00EC4F25" w14:paraId="40193EE7" w14:textId="77777777" w:rsidTr="00F45910">
        <w:tc>
          <w:tcPr>
            <w:tcW w:w="2235" w:type="dxa"/>
          </w:tcPr>
          <w:p w14:paraId="5DA1DC64"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Treść wyniku</w:t>
            </w:r>
          </w:p>
        </w:tc>
        <w:tc>
          <w:tcPr>
            <w:tcW w:w="6977" w:type="dxa"/>
          </w:tcPr>
          <w:p w14:paraId="2590D3C7"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Oddalono skargę kasacyjną</w:t>
            </w:r>
          </w:p>
        </w:tc>
      </w:tr>
      <w:tr w:rsidR="00865DD7" w:rsidRPr="00EC4F25" w14:paraId="4D10B5D4" w14:textId="77777777" w:rsidTr="00F45910">
        <w:tc>
          <w:tcPr>
            <w:tcW w:w="2235" w:type="dxa"/>
          </w:tcPr>
          <w:p w14:paraId="238EF3F2" w14:textId="77777777" w:rsidR="00865DD7" w:rsidRPr="00EC4F25" w:rsidRDefault="00865DD7" w:rsidP="00F45910">
            <w:pPr>
              <w:rPr>
                <w:rFonts w:asciiTheme="minorHAnsi" w:hAnsiTheme="minorHAnsi" w:cstheme="minorHAnsi"/>
                <w:b/>
                <w:bCs/>
                <w:sz w:val="22"/>
                <w:szCs w:val="22"/>
              </w:rPr>
            </w:pPr>
            <w:r w:rsidRPr="00EC4F25">
              <w:rPr>
                <w:rFonts w:asciiTheme="minorHAnsi" w:hAnsiTheme="minorHAnsi" w:cstheme="minorHAnsi"/>
                <w:b/>
                <w:bCs/>
                <w:sz w:val="22"/>
                <w:szCs w:val="22"/>
              </w:rPr>
              <w:t>Powołane przepisy</w:t>
            </w:r>
          </w:p>
        </w:tc>
        <w:tc>
          <w:tcPr>
            <w:tcW w:w="6977" w:type="dxa"/>
          </w:tcPr>
          <w:p w14:paraId="3E313E17"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 xml:space="preserve">Dz.U. 2002 nr 153 </w:t>
            </w:r>
            <w:proofErr w:type="spellStart"/>
            <w:r w:rsidRPr="00EC4F25">
              <w:rPr>
                <w:rFonts w:asciiTheme="minorHAnsi" w:hAnsiTheme="minorHAnsi" w:cstheme="minorHAnsi"/>
                <w:sz w:val="22"/>
                <w:szCs w:val="22"/>
              </w:rPr>
              <w:t>poz</w:t>
            </w:r>
            <w:proofErr w:type="spellEnd"/>
            <w:r w:rsidRPr="00EC4F25">
              <w:rPr>
                <w:rFonts w:asciiTheme="minorHAnsi" w:hAnsiTheme="minorHAnsi" w:cstheme="minorHAnsi"/>
                <w:sz w:val="22"/>
                <w:szCs w:val="22"/>
              </w:rPr>
              <w:t xml:space="preserve"> 1270 art. 184 </w:t>
            </w:r>
          </w:p>
          <w:p w14:paraId="0227D485" w14:textId="77777777" w:rsidR="00865DD7" w:rsidRPr="00EC4F25" w:rsidRDefault="00865DD7" w:rsidP="00F45910">
            <w:pPr>
              <w:rPr>
                <w:rFonts w:asciiTheme="minorHAnsi" w:hAnsiTheme="minorHAnsi" w:cstheme="minorHAnsi"/>
                <w:sz w:val="22"/>
                <w:szCs w:val="22"/>
              </w:rPr>
            </w:pPr>
            <w:r w:rsidRPr="00EC4F25">
              <w:rPr>
                <w:rFonts w:asciiTheme="minorHAnsi" w:hAnsiTheme="minorHAnsi" w:cstheme="minorHAnsi"/>
                <w:sz w:val="22"/>
                <w:szCs w:val="22"/>
              </w:rPr>
              <w:t>Ustawa z dnia 30 sierpnia 2002 r. Prawo o postępowaniu przed sądami administracyjnymi.</w:t>
            </w:r>
          </w:p>
        </w:tc>
      </w:tr>
      <w:tr w:rsidR="00865DD7" w:rsidRPr="00EC4F25" w14:paraId="48959441" w14:textId="77777777" w:rsidTr="00F45910">
        <w:tc>
          <w:tcPr>
            <w:tcW w:w="9212" w:type="dxa"/>
            <w:gridSpan w:val="2"/>
          </w:tcPr>
          <w:p w14:paraId="151C52BF" w14:textId="77777777" w:rsidR="00865DD7" w:rsidRPr="00EC4F25" w:rsidRDefault="00865DD7" w:rsidP="00F45910">
            <w:pPr>
              <w:jc w:val="center"/>
              <w:rPr>
                <w:rFonts w:asciiTheme="minorHAnsi" w:hAnsiTheme="minorHAnsi" w:cstheme="minorHAnsi"/>
                <w:b/>
                <w:bCs/>
                <w:sz w:val="22"/>
                <w:szCs w:val="22"/>
              </w:rPr>
            </w:pPr>
            <w:r w:rsidRPr="00EC4F25">
              <w:rPr>
                <w:rFonts w:asciiTheme="minorHAnsi" w:hAnsiTheme="minorHAnsi" w:cstheme="minorHAnsi"/>
                <w:b/>
                <w:bCs/>
                <w:sz w:val="22"/>
                <w:szCs w:val="22"/>
              </w:rPr>
              <w:t>TEZY</w:t>
            </w:r>
          </w:p>
          <w:p w14:paraId="7A9F33DD" w14:textId="77777777" w:rsidR="00865DD7" w:rsidRPr="00EC4F25" w:rsidRDefault="00865DD7" w:rsidP="00F45910">
            <w:pPr>
              <w:jc w:val="both"/>
              <w:rPr>
                <w:rFonts w:cstheme="minorHAnsi"/>
                <w:sz w:val="22"/>
                <w:szCs w:val="22"/>
              </w:rPr>
            </w:pPr>
            <w:r w:rsidRPr="00EC4F25">
              <w:rPr>
                <w:rFonts w:asciiTheme="minorHAnsi" w:hAnsiTheme="minorHAnsi" w:cstheme="minorHAnsi"/>
                <w:sz w:val="22"/>
                <w:szCs w:val="22"/>
              </w:rPr>
              <w:t>Taki znak, jak wyrób cukierniczy, ciasteczko zwane delicją, nie powinien zostać zarejestrowany. Nie można dokonać rejestracji towaru, podlega jej jedynie określony kształt.</w:t>
            </w:r>
          </w:p>
        </w:tc>
      </w:tr>
      <w:tr w:rsidR="00865DD7" w:rsidRPr="00EC4F25" w14:paraId="4D008615" w14:textId="77777777" w:rsidTr="00F45910">
        <w:tc>
          <w:tcPr>
            <w:tcW w:w="9212" w:type="dxa"/>
            <w:gridSpan w:val="2"/>
            <w:tcBorders>
              <w:bottom w:val="nil"/>
            </w:tcBorders>
          </w:tcPr>
          <w:p w14:paraId="2D655BE7" w14:textId="77777777" w:rsidR="00865DD7" w:rsidRPr="00EC4F25" w:rsidRDefault="00865DD7" w:rsidP="00F45910">
            <w:pPr>
              <w:jc w:val="center"/>
              <w:rPr>
                <w:rFonts w:asciiTheme="minorHAnsi" w:hAnsiTheme="minorHAnsi" w:cstheme="minorHAnsi"/>
                <w:b/>
                <w:bCs/>
                <w:sz w:val="22"/>
                <w:szCs w:val="22"/>
              </w:rPr>
            </w:pPr>
            <w:r w:rsidRPr="00EC4F25">
              <w:rPr>
                <w:rFonts w:asciiTheme="minorHAnsi" w:hAnsiTheme="minorHAnsi" w:cstheme="minorHAnsi"/>
                <w:b/>
                <w:bCs/>
                <w:sz w:val="22"/>
                <w:szCs w:val="22"/>
              </w:rPr>
              <w:t>SENTENCJA</w:t>
            </w:r>
          </w:p>
          <w:p w14:paraId="2483820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Naczelny Sąd Administracyjny w składzie następującym: Przewodniczący Sędzia NSA Kazimierz Brzeziński, Sędziowie NSA Rafał Batorowicz, Andrzej Kuba (</w:t>
            </w:r>
            <w:proofErr w:type="spellStart"/>
            <w:r w:rsidRPr="00EC4F25">
              <w:rPr>
                <w:rFonts w:asciiTheme="minorHAnsi" w:hAnsiTheme="minorHAnsi" w:cstheme="minorHAnsi"/>
                <w:sz w:val="22"/>
                <w:szCs w:val="22"/>
              </w:rPr>
              <w:t>spr</w:t>
            </w:r>
            <w:proofErr w:type="spellEnd"/>
            <w:r w:rsidRPr="00EC4F25">
              <w:rPr>
                <w:rFonts w:asciiTheme="minorHAnsi" w:hAnsiTheme="minorHAnsi" w:cstheme="minorHAnsi"/>
                <w:sz w:val="22"/>
                <w:szCs w:val="22"/>
              </w:rPr>
              <w:t>.), Protokolant Agnieszka Romaniuk, po rozpoznaniu w dniu 29 czerwca 2005 r. na rozprawie w Izbie Gospodarczej skargi kasacyjnej Lu Polska S.A. w Warszawie od wyroku Wojewódzkiego Sądu Administracyjnego w Warszawie z dnia 18 października 2004 r. sygn. akt 6 II SA 3199/03 w sprawie ze skargi Lu Polska S.A. w Warszawie na decyzję Urzędu Patentowego Rzeczypospolitej Polskiej z dnia 26 marca 2003 r. Nr SP.215/01, 20/02, 55/02, 56/02, 75/02 w przedmiocie unieważnienia prawa ochronnego na znak towarowy oddala skargę kasacyjną.</w:t>
            </w:r>
          </w:p>
          <w:p w14:paraId="64207A4B" w14:textId="77777777" w:rsidR="00865DD7" w:rsidRPr="00EC4F25" w:rsidRDefault="00865DD7" w:rsidP="00F45910">
            <w:pPr>
              <w:jc w:val="center"/>
              <w:rPr>
                <w:rFonts w:cstheme="minorHAnsi"/>
                <w:b/>
                <w:bCs/>
                <w:sz w:val="22"/>
                <w:szCs w:val="22"/>
              </w:rPr>
            </w:pPr>
          </w:p>
        </w:tc>
      </w:tr>
      <w:tr w:rsidR="00865DD7" w:rsidRPr="00EC4F25" w14:paraId="0B232090" w14:textId="77777777" w:rsidTr="00F45910">
        <w:tc>
          <w:tcPr>
            <w:tcW w:w="9212" w:type="dxa"/>
            <w:gridSpan w:val="2"/>
            <w:tcBorders>
              <w:top w:val="nil"/>
              <w:left w:val="single" w:sz="4" w:space="0" w:color="auto"/>
              <w:bottom w:val="nil"/>
            </w:tcBorders>
          </w:tcPr>
          <w:p w14:paraId="2824B09E" w14:textId="77777777" w:rsidR="00865DD7" w:rsidRPr="00EC4F25" w:rsidRDefault="00865DD7" w:rsidP="00F45910">
            <w:pPr>
              <w:jc w:val="center"/>
              <w:rPr>
                <w:rFonts w:asciiTheme="minorHAnsi" w:hAnsiTheme="minorHAnsi" w:cstheme="minorHAnsi"/>
                <w:b/>
                <w:bCs/>
                <w:sz w:val="22"/>
                <w:szCs w:val="22"/>
              </w:rPr>
            </w:pPr>
            <w:r w:rsidRPr="00EC4F25">
              <w:rPr>
                <w:rFonts w:asciiTheme="minorHAnsi" w:hAnsiTheme="minorHAnsi" w:cstheme="minorHAnsi"/>
                <w:b/>
                <w:bCs/>
                <w:sz w:val="22"/>
                <w:szCs w:val="22"/>
              </w:rPr>
              <w:t>UZASADNIENIE</w:t>
            </w:r>
          </w:p>
          <w:p w14:paraId="229860D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uzasadnieniu wyroku Sąd podał, że decyzją z dnia 13 grudnia 1999 r. dokonano rejestracji znaku towarowego przestrzennego, z pierwszeństwem od dnia 5 maja 1994 r. i uprawnionym z tego znaku był Lu Polska S.A. w Warszawie Zarejestrowany znak został opisany jako "Płaskie okrągłe ciasteczko, którego dolna część stanowiąca krążek z zaokrąglonymi brzegami jest w kolorze jasno-żółtym; na wierzchu ciastko posiada okrągłe wzniesienia o mniejszej średnicy, powierzchnia którego jest wypukła; prostokątna kratka; cała górna powierzchnia ciastka jest w kolorze ciemnego czekoladowego brązu".</w:t>
            </w:r>
          </w:p>
          <w:p w14:paraId="4AC7B780" w14:textId="77777777" w:rsidR="00865DD7" w:rsidRPr="00EC4F25" w:rsidRDefault="00865DD7" w:rsidP="00F45910">
            <w:pPr>
              <w:jc w:val="both"/>
              <w:rPr>
                <w:rFonts w:asciiTheme="minorHAnsi" w:hAnsiTheme="minorHAnsi" w:cstheme="minorHAnsi"/>
                <w:sz w:val="22"/>
                <w:szCs w:val="22"/>
              </w:rPr>
            </w:pPr>
          </w:p>
          <w:p w14:paraId="6AD7877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Na powyższą decyzję 5 podmiotów prowadzących działalność gospodarczą złożyło wniosek o unieważnienie prawa z rejestracji wyżej opisanego znaku towarowego. Zarzucili naruszenie art. 4 ust. 1, art. 7 ust 1 i 2 i art. 8 pkt 1 ustawy z dnia 31 stycznia 1985 r. o znakach towarowych (Dz.U. Nr </w:t>
            </w:r>
            <w:r w:rsidRPr="00EC4F25">
              <w:rPr>
                <w:rFonts w:asciiTheme="minorHAnsi" w:hAnsiTheme="minorHAnsi" w:cstheme="minorHAnsi"/>
                <w:sz w:val="22"/>
                <w:szCs w:val="22"/>
              </w:rPr>
              <w:lastRenderedPageBreak/>
              <w:t>5, poz. 17 ze zm.), zwanej dalej u.z.t. Urząd patentowy przychylił się do wniosku i unieważnił decyzją z dnia 26 marca 2003 r. SP.215/01, 20/02, 55/02, 56/02, 75/02 prawo z rejestracji znaku towarowego przestrzennego nr R.116211.</w:t>
            </w:r>
          </w:p>
          <w:p w14:paraId="69748B2A" w14:textId="77777777" w:rsidR="00865DD7" w:rsidRPr="00EC4F25" w:rsidRDefault="00865DD7" w:rsidP="00F45910">
            <w:pPr>
              <w:jc w:val="both"/>
              <w:rPr>
                <w:rFonts w:asciiTheme="minorHAnsi" w:hAnsiTheme="minorHAnsi" w:cstheme="minorHAnsi"/>
                <w:sz w:val="22"/>
                <w:szCs w:val="22"/>
              </w:rPr>
            </w:pPr>
          </w:p>
          <w:p w14:paraId="370BA73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Organ w uzasadnieniu wskazał na dokonanie błędnej wykładni art. 4 u.z.t. przez pryzmat art. 3 – Pierwszej Dyrektywy Rady Wspólnot Europejskich nr 89/104/EWG o harmonizacji przepisów Państw Członkowskich o znakach towarowych. Przy rejestracji został naruszony również przepis art. 7 u.z.t. Zdaniem Urzędu Patentowego, kształt i kolorystykę ciastka należy zakwalifikować do oznaczeń ogólnoinformacyjnych, </w:t>
            </w:r>
            <w:proofErr w:type="gramStart"/>
            <w:r w:rsidRPr="00EC4F25">
              <w:rPr>
                <w:rFonts w:asciiTheme="minorHAnsi" w:hAnsiTheme="minorHAnsi" w:cstheme="minorHAnsi"/>
                <w:sz w:val="22"/>
                <w:szCs w:val="22"/>
              </w:rPr>
              <w:t>nie posiadających</w:t>
            </w:r>
            <w:proofErr w:type="gramEnd"/>
            <w:r w:rsidRPr="00EC4F25">
              <w:rPr>
                <w:rFonts w:asciiTheme="minorHAnsi" w:hAnsiTheme="minorHAnsi" w:cstheme="minorHAnsi"/>
                <w:sz w:val="22"/>
                <w:szCs w:val="22"/>
              </w:rPr>
              <w:t xml:space="preserve"> znamion odróżniających w świetle powyższego przepisu. Naruszenie artykułu 8 pkt 1 u.z.t. polegało na tym, iż na skutek rejestracji ograniczona została konkurencja wbrew prawu i zasadom współżycia społecznego, gdyż eliminowani z rynku przedsiębiorcy wytwarzają ciasteczka według wspomnianego wzoru przed datą zgłoszenia go przez skarżącą do rejestracji.</w:t>
            </w:r>
          </w:p>
          <w:p w14:paraId="551BDF52" w14:textId="77777777" w:rsidR="00865DD7" w:rsidRPr="00EC4F25" w:rsidRDefault="00865DD7" w:rsidP="00F45910">
            <w:pPr>
              <w:jc w:val="both"/>
              <w:rPr>
                <w:rFonts w:asciiTheme="minorHAnsi" w:hAnsiTheme="minorHAnsi" w:cstheme="minorHAnsi"/>
                <w:sz w:val="22"/>
                <w:szCs w:val="22"/>
              </w:rPr>
            </w:pPr>
          </w:p>
          <w:p w14:paraId="295338E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skardze wniesionej do Naczelnego Sądu Administracyjnego na decyzję Urzędu Patentowego z dnia 26 marca 2003 r. Lu Polska S.A. zarzuciła naruszenie wyżej wymienionych przepisów stanowiących podstawę unieważnienia prawa do znaku towarowego oraz dodatkowo zarzuciła naruszenie art. 32 Konstytucji i szereg przepisów postępowania administracyjnego, a w szczególności art. 7, 77 i 107 k.p.a.</w:t>
            </w:r>
          </w:p>
          <w:p w14:paraId="78BB209A" w14:textId="77777777" w:rsidR="00865DD7" w:rsidRPr="00EC4F25" w:rsidRDefault="00865DD7" w:rsidP="00F45910">
            <w:pPr>
              <w:jc w:val="both"/>
              <w:rPr>
                <w:rFonts w:asciiTheme="minorHAnsi" w:hAnsiTheme="minorHAnsi" w:cstheme="minorHAnsi"/>
                <w:sz w:val="22"/>
                <w:szCs w:val="22"/>
              </w:rPr>
            </w:pPr>
          </w:p>
          <w:p w14:paraId="3DDEAB9B"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Wojewódzki Sąd Administracyjny stwierdził, że skarga nie zasługuje na uwzględnienie.</w:t>
            </w:r>
          </w:p>
          <w:p w14:paraId="226A364C" w14:textId="77777777" w:rsidR="00865DD7" w:rsidRPr="00EC4F25" w:rsidRDefault="00865DD7" w:rsidP="00F45910">
            <w:pPr>
              <w:jc w:val="both"/>
              <w:rPr>
                <w:rFonts w:asciiTheme="minorHAnsi" w:hAnsiTheme="minorHAnsi" w:cstheme="minorHAnsi"/>
                <w:sz w:val="22"/>
                <w:szCs w:val="22"/>
              </w:rPr>
            </w:pPr>
          </w:p>
          <w:p w14:paraId="5FB1C50B"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Sąd wskazał, iż organ mógł interpretować przepis art. 4 u.z.t. w świetle Dyrektywy Rady Wspólnot Europejskich nr 89/104/EWG, mimo tego iż decyzja została wydana przed wstąpieniem Polski do Unii Europejskiej. Odnosząc się do zarzutu naruszenia przez organ art. 4 u.z.t. wskazał, iż zdolność odróżniająca, o której mowa w tym przepisie ma charakter abstrakcyjny. Art. 7 u.z.t. odnosi się do konkretnej zdolności odróżniającej. Sąd stwierdził, iż brak jest dostatecznych podstaw dla zanegowania abstrakcyjnej zdolności rejestracyjnej omawianego znaku dla oznaczania pieczywa cukierniczego, a nie tylko dla spornych ciastek. Opis tego znaku zawarty w zgłoszeniu indywidualizuje w wystarczającym stopniu ten znak pod względem abstrakcyjnym. Nie jest on zdeterminowany wyłącznie cechami funkcjonalnymi, czy też kształtem koniecznym dla uzyskania określonego rezultatu technicznego, aczkolwiek część elementów użytych w tym znaku niewątpliwie wynika z samej natury procesu technologicznego związanego z wypiekiem ciastek. Inne elementy składowe spornego znaku, zdaniem Sądu, nie są wyłącznie efektem wynikającym z natury samego towaru, czy też kształtu koniecznego dla osiągnięcia zamierzonego rezultatu. Ogromna różnorodność kształtów pieczywa cukierniczego znajdującego się na rynku przeczy zarzutowi, jakoby sporny przestrzenny znak towarowy, oceniany jako całość, był efektem czynników, które w ostatecznym rachunku pozbawiają ten znak abstrakcyjnej zdolności odróżniającej w świetle art. 4 u.z.t. i art. 3 ust. 1 powołanej dyrektywy</w:t>
            </w:r>
          </w:p>
          <w:p w14:paraId="41E1231E" w14:textId="77777777" w:rsidR="00865DD7" w:rsidRPr="00EC4F25" w:rsidRDefault="00865DD7" w:rsidP="00F45910">
            <w:pPr>
              <w:jc w:val="both"/>
              <w:rPr>
                <w:rFonts w:asciiTheme="minorHAnsi" w:hAnsiTheme="minorHAnsi" w:cstheme="minorHAnsi"/>
                <w:sz w:val="22"/>
                <w:szCs w:val="22"/>
              </w:rPr>
            </w:pPr>
          </w:p>
          <w:p w14:paraId="750D13DB"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Sąd nie podzielił stanowiska zajętego przez Urząd Patentowy w zaskarżonej decyzji jakoby rejestracja spornego znaku zapadła z naruszeniem art. 7 u.z.t. Stwierdził, że zważywszy odwołanie się w przepisie art. 7 u.z.t. do zwykłych warunków obrotu gospodarczego, dla oceny konkretnej zdolności rejestracyjnej znaku towarowego powinna decydować ocena uczestników rynku, czy dane oznaczenie (w niniejszej sprawie kształt i kolor ciastka) pozwala zidentyfikować dany towar, jako pochodzący od danego przedsiębiorcy lub podmiotów z nim związanych, od towarów tego samego rodzaju pochodzących od innych przedsiębiorców. Sąd powołując się na opinię respondentów z 2002 r., w której to osoby pytane o omawiane pieczywo cukiernicze, jak i sporny znak przestrzenny, kojarzą te wyroby z poprzednikiem prawnym skarżącej, nie zaś z jej konkurencją, która produkuje takie ciastka od 1989 r. (firma </w:t>
            </w:r>
            <w:proofErr w:type="spellStart"/>
            <w:r w:rsidRPr="00EC4F25">
              <w:rPr>
                <w:rFonts w:asciiTheme="minorHAnsi" w:hAnsiTheme="minorHAnsi" w:cstheme="minorHAnsi"/>
                <w:sz w:val="22"/>
                <w:szCs w:val="22"/>
              </w:rPr>
              <w:t>Cuprod</w:t>
            </w:r>
            <w:proofErr w:type="spellEnd"/>
            <w:r w:rsidRPr="00EC4F25">
              <w:rPr>
                <w:rFonts w:asciiTheme="minorHAnsi" w:hAnsiTheme="minorHAnsi" w:cstheme="minorHAnsi"/>
                <w:sz w:val="22"/>
                <w:szCs w:val="22"/>
              </w:rPr>
              <w:t xml:space="preserve">), od 1991 (Pol-Mar Czuba), od 1993 r. (DELIC-POL.). Tym bardziej, podkreśla Sąd, można oczekiwać, że w dacie zgłoszenia spornego znaku do rejestracji w </w:t>
            </w:r>
            <w:r w:rsidRPr="00EC4F25">
              <w:rPr>
                <w:rFonts w:asciiTheme="minorHAnsi" w:hAnsiTheme="minorHAnsi" w:cstheme="minorHAnsi"/>
                <w:sz w:val="22"/>
                <w:szCs w:val="22"/>
              </w:rPr>
              <w:lastRenderedPageBreak/>
              <w:t>dniu 5 maja 1994 r., kiedy konkurencja była znacznie mniejsza, sporny przestrzenny znak towarowy nie byłby kojarzony z innym producentem, aniżeli poprzednik prawny skarżącej.</w:t>
            </w:r>
          </w:p>
          <w:p w14:paraId="11BFB039" w14:textId="77777777" w:rsidR="00865DD7" w:rsidRPr="00EC4F25" w:rsidRDefault="00865DD7" w:rsidP="00F45910">
            <w:pPr>
              <w:jc w:val="both"/>
              <w:rPr>
                <w:rFonts w:asciiTheme="minorHAnsi" w:hAnsiTheme="minorHAnsi" w:cstheme="minorHAnsi"/>
                <w:sz w:val="22"/>
                <w:szCs w:val="22"/>
              </w:rPr>
            </w:pPr>
          </w:p>
          <w:p w14:paraId="01D8315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Sąd zgadza się z organem, iż w odniesieniu do owych ciastek wspomniane oznaczenie przestrzenne nie pełni funkcji znaku towarowego. Nie można bowiem identyfikować znaku towarowego z samym towarem, jak to ma miejsce w odniesieniu do omawianych ciastek. Funkcją znaku towarowego jest bowiem odróżnienie towarów tego samego przedsiębiorcy od podobnych towarów innych przedsiębiorców. Zatem, oznaczenie spornym znakiem przestrzennym produkowanych przez skarżącą ciastek (oznaczonych znakiem słownym delicje) należałoby traktować, stosownie do art. 7 ust 2 u.z.t. jako informację o tym towarze. Nie ma to jednakże, zdaniem Sądu, istotnego znaczenia dla podważenia zdolności rejestracyjnej spornego znaku towarowego na podstawie art. 7 </w:t>
            </w:r>
            <w:proofErr w:type="gramStart"/>
            <w:r w:rsidRPr="00EC4F25">
              <w:rPr>
                <w:rFonts w:asciiTheme="minorHAnsi" w:hAnsiTheme="minorHAnsi" w:cstheme="minorHAnsi"/>
                <w:sz w:val="22"/>
                <w:szCs w:val="22"/>
              </w:rPr>
              <w:t>u.z.t. ,</w:t>
            </w:r>
            <w:proofErr w:type="gramEnd"/>
            <w:r w:rsidRPr="00EC4F25">
              <w:rPr>
                <w:rFonts w:asciiTheme="minorHAnsi" w:hAnsiTheme="minorHAnsi" w:cstheme="minorHAnsi"/>
                <w:sz w:val="22"/>
                <w:szCs w:val="22"/>
              </w:rPr>
              <w:t xml:space="preserve"> gdyż sporny znak zastrzeżony został do oznaczenia pieczywa cukierniczego, rzeczą zaś skarżącej jest decydowanie o tym jaki rodzaj pieczywa cukierniczego oznacza spornym znakiem towarowym.</w:t>
            </w:r>
          </w:p>
          <w:p w14:paraId="5DE94D50" w14:textId="77777777" w:rsidR="00865DD7" w:rsidRPr="00EC4F25" w:rsidRDefault="00865DD7" w:rsidP="00F45910">
            <w:pPr>
              <w:jc w:val="both"/>
              <w:rPr>
                <w:rFonts w:asciiTheme="minorHAnsi" w:hAnsiTheme="minorHAnsi" w:cstheme="minorHAnsi"/>
                <w:sz w:val="22"/>
                <w:szCs w:val="22"/>
              </w:rPr>
            </w:pPr>
          </w:p>
          <w:p w14:paraId="5A47E22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W ocenie Sądu, został naruszony przepis art. 8 pkt 1 u.z.t. odnoszący się do samego znaku, ale także do okoliczności towarzyszących rejestracji znaku. Znak towarowy został zarejestrowany z naruszeniem przepisów prawa, tj. art. 6 Konstytucji RP i art. 4 ust. 1 ustawy z dnia 23 grudnia 1988 r. o działalności gospodarczej (Dz.U. Nr 41, poz. 324 ze zm.). Rejestracja tego znaku miała na celu zmonopolizowanie całej produkcji przedmiotowego pieczywa cukierniczego, poprzez ograniczenie dotychczasowym konkurentom swobody działalności gospodarczej w zakresie produkcji takiego pieczywa. Zdaniem Sądu, rejestracja zgodna ze społeczno-gospodarczym przeznaczeniem prawa wyłączności jest rejestracją ukierunkowaną na ochronę konkurencji potencjalnej, a więc nieistniejącej jeszcze realnie, tak aby w następstwie rejestracji przeciwdziałać sytuacji spotkania się nabywcy towarów oznaczonych danym znakiem z podobnym znakiem dla oznaczenia towarów tego samego rodzaju pochodzących od innego przedsiębiorcy. Rejestracja znaku towarowego w swej istocie sprzyja wówczas rozwojowi konkurencji, nadając jej walor konkurencji uczciwej, gdyż z analogicznymi wnioskami o rejestrację swych znaków mogą wystąpić konkurenci. W omawianym sporze w dacie zgłoszenia wniosku o rejestrację, co zostało wykazane powyżej, rynek </w:t>
            </w:r>
            <w:proofErr w:type="gramStart"/>
            <w:r w:rsidRPr="00EC4F25">
              <w:rPr>
                <w:rFonts w:asciiTheme="minorHAnsi" w:hAnsiTheme="minorHAnsi" w:cstheme="minorHAnsi"/>
                <w:sz w:val="22"/>
                <w:szCs w:val="22"/>
              </w:rPr>
              <w:t>odnośnie</w:t>
            </w:r>
            <w:proofErr w:type="gramEnd"/>
            <w:r w:rsidRPr="00EC4F25">
              <w:rPr>
                <w:rFonts w:asciiTheme="minorHAnsi" w:hAnsiTheme="minorHAnsi" w:cstheme="minorHAnsi"/>
                <w:sz w:val="22"/>
                <w:szCs w:val="22"/>
              </w:rPr>
              <w:t xml:space="preserve"> pieczywa cukierniczego był rynkiem konkurencyjnym.</w:t>
            </w:r>
          </w:p>
          <w:p w14:paraId="12BD1A0A" w14:textId="77777777" w:rsidR="00865DD7" w:rsidRPr="00EC4F25" w:rsidRDefault="00865DD7" w:rsidP="00F45910">
            <w:pPr>
              <w:jc w:val="both"/>
              <w:rPr>
                <w:rFonts w:asciiTheme="minorHAnsi" w:hAnsiTheme="minorHAnsi" w:cstheme="minorHAnsi"/>
                <w:sz w:val="22"/>
                <w:szCs w:val="22"/>
              </w:rPr>
            </w:pPr>
          </w:p>
          <w:p w14:paraId="7B9CB9D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Rejestracja przestrzennego znaku towarowego stawiałaby uczestników postępowania, produkujących omawiane pieczywo cukiernicze od wielu lat, przed koniecznością zmiany profilu produkcji. Wiąże się to z poniesieniem znacznych kosztów, niewątpliwie niewspółmiernie wyższych niż w przypadku zmian organizacyjnych wywołanych potrzebą zmiany oznaczania wyrobów znakiem słownym lub </w:t>
            </w:r>
            <w:proofErr w:type="spellStart"/>
            <w:r w:rsidRPr="00EC4F25">
              <w:rPr>
                <w:rFonts w:asciiTheme="minorHAnsi" w:hAnsiTheme="minorHAnsi" w:cstheme="minorHAnsi"/>
                <w:sz w:val="22"/>
                <w:szCs w:val="22"/>
              </w:rPr>
              <w:t>słownograficznym</w:t>
            </w:r>
            <w:proofErr w:type="spellEnd"/>
            <w:r w:rsidRPr="00EC4F25">
              <w:rPr>
                <w:rFonts w:asciiTheme="minorHAnsi" w:hAnsiTheme="minorHAnsi" w:cstheme="minorHAnsi"/>
                <w:sz w:val="22"/>
                <w:szCs w:val="22"/>
              </w:rPr>
              <w:t>. Produkcja spornych ciastek od wielu lat przez uczestników postępowania przyczynia się, zdaniem Sądu, do promocji tego rodzaju pieczywa cukierniczego. W przypadku zaprzestania takiej produkcji przez uczestników postępowania wszelkie korzyści, będące następstwem działań marketingowych uczestników postępowania, przypadłyby nieekwiwalentnie skarżącej.</w:t>
            </w:r>
          </w:p>
          <w:p w14:paraId="46933105" w14:textId="77777777" w:rsidR="00865DD7" w:rsidRPr="00EC4F25" w:rsidRDefault="00865DD7" w:rsidP="00F45910">
            <w:pPr>
              <w:jc w:val="both"/>
              <w:rPr>
                <w:rFonts w:asciiTheme="minorHAnsi" w:hAnsiTheme="minorHAnsi" w:cstheme="minorHAnsi"/>
                <w:sz w:val="22"/>
                <w:szCs w:val="22"/>
              </w:rPr>
            </w:pPr>
          </w:p>
          <w:p w14:paraId="17CC6FA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Wojewódzki Sąd Administracyjny nie dopatrzył naruszenia art. 32 Konstytucji RP, nie dostrzegając w zaskarżonej decyzji dyskryminacji skarżącej. Również poglądu strony skarżącej, </w:t>
            </w:r>
            <w:proofErr w:type="gramStart"/>
            <w:r w:rsidRPr="00EC4F25">
              <w:rPr>
                <w:rFonts w:asciiTheme="minorHAnsi" w:hAnsiTheme="minorHAnsi" w:cstheme="minorHAnsi"/>
                <w:sz w:val="22"/>
                <w:szCs w:val="22"/>
              </w:rPr>
              <w:t>odnośnie</w:t>
            </w:r>
            <w:proofErr w:type="gramEnd"/>
            <w:r w:rsidRPr="00EC4F25">
              <w:rPr>
                <w:rFonts w:asciiTheme="minorHAnsi" w:hAnsiTheme="minorHAnsi" w:cstheme="minorHAnsi"/>
                <w:sz w:val="22"/>
                <w:szCs w:val="22"/>
              </w:rPr>
              <w:t xml:space="preserve"> naruszenia wymienionych w skardze przepisów postępowania, Sąd nie podzielił.</w:t>
            </w:r>
          </w:p>
          <w:p w14:paraId="18E3FD30" w14:textId="77777777" w:rsidR="00865DD7" w:rsidRPr="00EC4F25" w:rsidRDefault="00865DD7" w:rsidP="00F45910">
            <w:pPr>
              <w:jc w:val="both"/>
              <w:rPr>
                <w:rFonts w:asciiTheme="minorHAnsi" w:hAnsiTheme="minorHAnsi" w:cstheme="minorHAnsi"/>
                <w:sz w:val="22"/>
                <w:szCs w:val="22"/>
              </w:rPr>
            </w:pPr>
          </w:p>
          <w:p w14:paraId="7D74D1A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Od powyższego wyroku Lu Polska S.A. w Warszawie wniosła skargę kasacyjną, domagając się uchylenia zaskarżonego orzeczenia w całości i na podstawie art. 185 p.p.s.a. przekazania sprawy do ponownego rozpoznania przez Wojewódzki Sąd Administracyjny lub w przypadku uznania, że wskazane zarzuty naruszenia przepisów postępowania nie miały istotnego wpływu na wynik sprawy, uchylenie zaskarżonego orzeczenia i rozpoznanie na podstawie art. 188 p.p.s.a. skargi wniesionej do Wojewódzkiego Sądu Administracyjnego poprzez jej uwzględnienie i uchylenie decyzji Urzędu Patentowego RP z dnia 26 marca 2003 r. oraz zasądzenie zwrotu kosztów postępowania według norm przepisanych, wraz z kosztami zastępstwa procesowego.</w:t>
            </w:r>
          </w:p>
          <w:p w14:paraId="059C1538" w14:textId="77777777" w:rsidR="00865DD7" w:rsidRPr="00EC4F25" w:rsidRDefault="00865DD7" w:rsidP="00F45910">
            <w:pPr>
              <w:jc w:val="both"/>
              <w:rPr>
                <w:rFonts w:asciiTheme="minorHAnsi" w:hAnsiTheme="minorHAnsi" w:cstheme="minorHAnsi"/>
                <w:sz w:val="22"/>
                <w:szCs w:val="22"/>
              </w:rPr>
            </w:pPr>
          </w:p>
          <w:p w14:paraId="4FE6AA22"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Zaskarżonemu wyrokowi zarzuciła, w oparciu o przepis art. 174 pkt 1 i 2 p.p.s.a. naruszenie:</w:t>
            </w:r>
          </w:p>
          <w:p w14:paraId="5F19BB4F" w14:textId="77777777" w:rsidR="00865DD7" w:rsidRPr="00EC4F25" w:rsidRDefault="00865DD7" w:rsidP="00F45910">
            <w:pPr>
              <w:jc w:val="both"/>
              <w:rPr>
                <w:rFonts w:asciiTheme="minorHAnsi" w:hAnsiTheme="minorHAnsi" w:cstheme="minorHAnsi"/>
                <w:sz w:val="22"/>
                <w:szCs w:val="22"/>
              </w:rPr>
            </w:pPr>
          </w:p>
          <w:p w14:paraId="7933A12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I Przepisów postępowania tj.</w:t>
            </w:r>
          </w:p>
          <w:p w14:paraId="4CBB7FF6" w14:textId="77777777" w:rsidR="00865DD7" w:rsidRPr="00EC4F25" w:rsidRDefault="00865DD7" w:rsidP="00F45910">
            <w:pPr>
              <w:jc w:val="both"/>
              <w:rPr>
                <w:rFonts w:asciiTheme="minorHAnsi" w:hAnsiTheme="minorHAnsi" w:cstheme="minorHAnsi"/>
                <w:sz w:val="22"/>
                <w:szCs w:val="22"/>
              </w:rPr>
            </w:pPr>
          </w:p>
          <w:p w14:paraId="5028CBD2"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1) art. 133 § 1 p.p.s.a., poprzez brak oparcia rozstrzygnięcia o materiał dowodowy zgromadzony w aktach sprawy, co w istotny sposób wpłynęło na wynik postępowania, a mianowicie:</w:t>
            </w:r>
          </w:p>
          <w:p w14:paraId="48200DC2" w14:textId="77777777" w:rsidR="00865DD7" w:rsidRPr="00EC4F25" w:rsidRDefault="00865DD7" w:rsidP="00F45910">
            <w:pPr>
              <w:jc w:val="both"/>
              <w:rPr>
                <w:rFonts w:asciiTheme="minorHAnsi" w:hAnsiTheme="minorHAnsi" w:cstheme="minorHAnsi"/>
                <w:sz w:val="22"/>
                <w:szCs w:val="22"/>
              </w:rPr>
            </w:pPr>
          </w:p>
          <w:p w14:paraId="10BC967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a) ustalenie, iż uczestnicy postępowania przed datą zgłoszenia do rejestracji przestrzennego znaku towarowego R-116211 wprowadzali do obrotu towary o kształcie tożsamym z kształtem przedmiotowego znaku,</w:t>
            </w:r>
          </w:p>
          <w:p w14:paraId="2DE5BFB5" w14:textId="77777777" w:rsidR="00865DD7" w:rsidRPr="00EC4F25" w:rsidRDefault="00865DD7" w:rsidP="00F45910">
            <w:pPr>
              <w:jc w:val="both"/>
              <w:rPr>
                <w:rFonts w:asciiTheme="minorHAnsi" w:hAnsiTheme="minorHAnsi" w:cstheme="minorHAnsi"/>
                <w:sz w:val="22"/>
                <w:szCs w:val="22"/>
              </w:rPr>
            </w:pPr>
          </w:p>
          <w:p w14:paraId="61F8401E"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b) ustalenie, iż poprzez rejestracje znaku towarowego skarżąca uzyskała wyłączność na produkcję konkretnego rodzaju pieczywa cukierniczego,</w:t>
            </w:r>
          </w:p>
          <w:p w14:paraId="0BC0B60A" w14:textId="77777777" w:rsidR="00865DD7" w:rsidRPr="00EC4F25" w:rsidRDefault="00865DD7" w:rsidP="00F45910">
            <w:pPr>
              <w:jc w:val="both"/>
              <w:rPr>
                <w:rFonts w:asciiTheme="minorHAnsi" w:hAnsiTheme="minorHAnsi" w:cstheme="minorHAnsi"/>
                <w:sz w:val="22"/>
                <w:szCs w:val="22"/>
              </w:rPr>
            </w:pPr>
          </w:p>
          <w:p w14:paraId="7B1449C3"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c) ustalenie, że dokonaniu zgłoszenia do rejestracji znaku towarowego towarzyszył zamiar pozbawienia konkurentów swobody działalności gospodarczej w zakresie dalszej produkcji takiego samego towaru,</w:t>
            </w:r>
          </w:p>
          <w:p w14:paraId="545EBD84" w14:textId="77777777" w:rsidR="00865DD7" w:rsidRPr="00EC4F25" w:rsidRDefault="00865DD7" w:rsidP="00F45910">
            <w:pPr>
              <w:jc w:val="both"/>
              <w:rPr>
                <w:rFonts w:asciiTheme="minorHAnsi" w:hAnsiTheme="minorHAnsi" w:cstheme="minorHAnsi"/>
                <w:sz w:val="22"/>
                <w:szCs w:val="22"/>
              </w:rPr>
            </w:pPr>
          </w:p>
          <w:p w14:paraId="51995E93"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d) ustalenie, że celem zgłoszenia do rejestracji znaku towarowego był zamiar zmonopolizowania całej produkcji pieczywa cukierniczego określonego rodzaju,</w:t>
            </w:r>
          </w:p>
          <w:p w14:paraId="03CDFD48" w14:textId="77777777" w:rsidR="00865DD7" w:rsidRPr="00EC4F25" w:rsidRDefault="00865DD7" w:rsidP="00F45910">
            <w:pPr>
              <w:jc w:val="both"/>
              <w:rPr>
                <w:rFonts w:asciiTheme="minorHAnsi" w:hAnsiTheme="minorHAnsi" w:cstheme="minorHAnsi"/>
                <w:sz w:val="22"/>
                <w:szCs w:val="22"/>
              </w:rPr>
            </w:pPr>
          </w:p>
          <w:p w14:paraId="107A586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e) ustalenie, że poprzez rejestrację znaku towarowego skarżąca stawia konkurentów przed koniecznością zmiany profilu produkcji;</w:t>
            </w:r>
          </w:p>
          <w:p w14:paraId="409DFF18" w14:textId="77777777" w:rsidR="00865DD7" w:rsidRPr="00EC4F25" w:rsidRDefault="00865DD7" w:rsidP="00F45910">
            <w:pPr>
              <w:jc w:val="both"/>
              <w:rPr>
                <w:rFonts w:asciiTheme="minorHAnsi" w:hAnsiTheme="minorHAnsi" w:cstheme="minorHAnsi"/>
                <w:sz w:val="22"/>
                <w:szCs w:val="22"/>
              </w:rPr>
            </w:pPr>
          </w:p>
          <w:p w14:paraId="085024D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2) art. 134 § 1 w związku z art. 1 p.p.s.a. poprzez rozstrzygnięcie sprawy poza jej granicami.</w:t>
            </w:r>
          </w:p>
          <w:p w14:paraId="05A2463E" w14:textId="77777777" w:rsidR="00865DD7" w:rsidRPr="00EC4F25" w:rsidRDefault="00865DD7" w:rsidP="00F45910">
            <w:pPr>
              <w:jc w:val="both"/>
              <w:rPr>
                <w:rFonts w:asciiTheme="minorHAnsi" w:hAnsiTheme="minorHAnsi" w:cstheme="minorHAnsi"/>
                <w:sz w:val="22"/>
                <w:szCs w:val="22"/>
              </w:rPr>
            </w:pPr>
          </w:p>
          <w:p w14:paraId="3D6D6ED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II Naruszenie przepisów prawa materialnego poprzez wadliwą wykładnię i zastosowanie art. 8 pkt 1 u.z.t.</w:t>
            </w:r>
          </w:p>
          <w:p w14:paraId="2A4248C2" w14:textId="77777777" w:rsidR="00865DD7" w:rsidRPr="00EC4F25" w:rsidRDefault="00865DD7" w:rsidP="00F45910">
            <w:pPr>
              <w:jc w:val="both"/>
              <w:rPr>
                <w:rFonts w:asciiTheme="minorHAnsi" w:hAnsiTheme="minorHAnsi" w:cstheme="minorHAnsi"/>
                <w:sz w:val="22"/>
                <w:szCs w:val="22"/>
              </w:rPr>
            </w:pPr>
          </w:p>
          <w:p w14:paraId="4BEE10B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a) w związku z art. 13 u.z.t., polegającą na przyjęciu, że wyłączność używania w obrocie znaku towarowego, wynikająca z faktu jego rejestracji jest sprzeczna z prawem, gdyż powoduje monopolizację w zakresie produkcji towaru, na który znak uzyskał ochronę,</w:t>
            </w:r>
          </w:p>
          <w:p w14:paraId="07043F4F" w14:textId="77777777" w:rsidR="00865DD7" w:rsidRPr="00EC4F25" w:rsidRDefault="00865DD7" w:rsidP="00F45910">
            <w:pPr>
              <w:jc w:val="both"/>
              <w:rPr>
                <w:rFonts w:asciiTheme="minorHAnsi" w:hAnsiTheme="minorHAnsi" w:cstheme="minorHAnsi"/>
                <w:sz w:val="22"/>
                <w:szCs w:val="22"/>
              </w:rPr>
            </w:pPr>
          </w:p>
          <w:p w14:paraId="48FD72B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b) polegającą na uznaniu, że do katalogu zasad współżycia społecznego należy monopolizacja rynku,</w:t>
            </w:r>
          </w:p>
          <w:p w14:paraId="3E26DF73" w14:textId="77777777" w:rsidR="00865DD7" w:rsidRPr="00EC4F25" w:rsidRDefault="00865DD7" w:rsidP="00F45910">
            <w:pPr>
              <w:jc w:val="both"/>
              <w:rPr>
                <w:rFonts w:asciiTheme="minorHAnsi" w:hAnsiTheme="minorHAnsi" w:cstheme="minorHAnsi"/>
                <w:sz w:val="22"/>
                <w:szCs w:val="22"/>
              </w:rPr>
            </w:pPr>
          </w:p>
          <w:p w14:paraId="74571A1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c) polegające na błędnym zakwalifikowaniu stanu faktycznego niniejszej sprawy do zakresu objętego tą normą w odniesieniu do naruszenia zasad współżycia społecznego,</w:t>
            </w:r>
          </w:p>
          <w:p w14:paraId="4C91B47C" w14:textId="77777777" w:rsidR="00865DD7" w:rsidRPr="00EC4F25" w:rsidRDefault="00865DD7" w:rsidP="00F45910">
            <w:pPr>
              <w:jc w:val="both"/>
              <w:rPr>
                <w:rFonts w:asciiTheme="minorHAnsi" w:hAnsiTheme="minorHAnsi" w:cstheme="minorHAnsi"/>
                <w:sz w:val="22"/>
                <w:szCs w:val="22"/>
              </w:rPr>
            </w:pPr>
          </w:p>
          <w:p w14:paraId="0CC5CCE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d) polegającą na uznaniu, że niedopuszczalna jest rejestracja znaku towarowego wynikająca ze sprzeczności z prawem lub z zasadami współżycia społecznego działań podmiotu dokonującego zgłoszenia znaku do rejestracji, a nie sprzeczności znaku towarowego,</w:t>
            </w:r>
          </w:p>
          <w:p w14:paraId="1B522A7C" w14:textId="77777777" w:rsidR="00865DD7" w:rsidRPr="00EC4F25" w:rsidRDefault="00865DD7" w:rsidP="00F45910">
            <w:pPr>
              <w:jc w:val="both"/>
              <w:rPr>
                <w:rFonts w:asciiTheme="minorHAnsi" w:hAnsiTheme="minorHAnsi" w:cstheme="minorHAnsi"/>
                <w:sz w:val="22"/>
                <w:szCs w:val="22"/>
              </w:rPr>
            </w:pPr>
          </w:p>
          <w:p w14:paraId="3A34A0D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e) w zw. z art. 4 ust 1 ustawy z dnia 23 grudnia 1988 r. o działalności gospodarczej poprzez uznanie, że zgłoszenie do rejestracji znaku towarowego uprzednio wykorzystywanego przez zgłaszającego w obrocie jest działaniem zabronionym przez prawo, a w konsekwencji uzyskanie takiego znaku jest sprzeczne z prawem,</w:t>
            </w:r>
          </w:p>
          <w:p w14:paraId="100BA1D1" w14:textId="77777777" w:rsidR="00865DD7" w:rsidRPr="00EC4F25" w:rsidRDefault="00865DD7" w:rsidP="00F45910">
            <w:pPr>
              <w:jc w:val="both"/>
              <w:rPr>
                <w:rFonts w:asciiTheme="minorHAnsi" w:hAnsiTheme="minorHAnsi" w:cstheme="minorHAnsi"/>
                <w:sz w:val="22"/>
                <w:szCs w:val="22"/>
              </w:rPr>
            </w:pPr>
          </w:p>
          <w:p w14:paraId="294B8181"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f) polegające na błędnym zakwalifikowaniu stanu faktycznego niniejszej sprawy do zakresu objętego tą normą w odniesieniu do naruszenia prawa.</w:t>
            </w:r>
          </w:p>
          <w:p w14:paraId="50B3FCA4" w14:textId="77777777" w:rsidR="00865DD7" w:rsidRPr="00EC4F25" w:rsidRDefault="00865DD7" w:rsidP="00F45910">
            <w:pPr>
              <w:jc w:val="both"/>
              <w:rPr>
                <w:rFonts w:asciiTheme="minorHAnsi" w:hAnsiTheme="minorHAnsi" w:cstheme="minorHAnsi"/>
                <w:sz w:val="22"/>
                <w:szCs w:val="22"/>
              </w:rPr>
            </w:pPr>
          </w:p>
          <w:p w14:paraId="23F0040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lastRenderedPageBreak/>
              <w:t>W uzasadnieniu skargi kasacyjnej skarżąca, rozszerzając uzasadnienie zarzutów, wywodzi, iż Sąd niewystarczająco wnikliwie ocenił poprawność ustaleń faktycznych dokonanych przez organ. Nie ma zdaniem strony w zgromadzonym materiale dowodowym dowodu, który wskazywałby, iż sporne ciastka produkowane były przez konkurencję przed złożeniem wniosku o rejestrację. Faktury przedstawione przez podmioty konkurencyjne dla skarżącej, dowodem takim być nie mogą, gdyż nie ma w nich zawartego opisu omawianych ciastek.</w:t>
            </w:r>
          </w:p>
          <w:p w14:paraId="49D87D2E" w14:textId="77777777" w:rsidR="00865DD7" w:rsidRPr="00EC4F25" w:rsidRDefault="00865DD7" w:rsidP="00F45910">
            <w:pPr>
              <w:jc w:val="both"/>
              <w:rPr>
                <w:rFonts w:asciiTheme="minorHAnsi" w:hAnsiTheme="minorHAnsi" w:cstheme="minorHAnsi"/>
                <w:sz w:val="22"/>
                <w:szCs w:val="22"/>
              </w:rPr>
            </w:pPr>
          </w:p>
          <w:p w14:paraId="11471D5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Zarzuca Sądowi, iż nie odniósł się do kwestii ustalenia faktycznych dat rozpoczęcia używania w obrocie przestrzennego znaku towarowego przez zainteresowanych w sprawie oraz sposobu eksploatacji i intensywności zasięgu znaku.</w:t>
            </w:r>
          </w:p>
          <w:p w14:paraId="703E2F7B" w14:textId="77777777" w:rsidR="00865DD7" w:rsidRPr="00EC4F25" w:rsidRDefault="00865DD7" w:rsidP="00F45910">
            <w:pPr>
              <w:jc w:val="both"/>
              <w:rPr>
                <w:rFonts w:asciiTheme="minorHAnsi" w:hAnsiTheme="minorHAnsi" w:cstheme="minorHAnsi"/>
                <w:sz w:val="22"/>
                <w:szCs w:val="22"/>
              </w:rPr>
            </w:pPr>
          </w:p>
          <w:p w14:paraId="1CB07274"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Skarżąca nie zgadza się ze zdaniem Sądu stwierdzającego, iż zasadniczym celem zgłoszenia do rejestracji przestrzennego znaku towarowego był zamiar zmonopolizowania tym sposobem całej produkcji przedmiotowego pieczywa. Zdaniem strony, pieczywo piankowe może przybierać różnorodne kształty, każdy więc z producentów pieczywa ma pełną swobodę w wyborze produkowanego pieczywa, jak i w doborze kształtów nadawanych swoim produktom. Potwierdzeniem tego twierdzenia są dowody rzeczowe, że wskutek rejestracji spornego znaku towarowego produkcja ciastek tego samego rodzaju jest możliwa.</w:t>
            </w:r>
          </w:p>
          <w:p w14:paraId="38238DDB" w14:textId="77777777" w:rsidR="00865DD7" w:rsidRPr="00EC4F25" w:rsidRDefault="00865DD7" w:rsidP="00F45910">
            <w:pPr>
              <w:jc w:val="both"/>
              <w:rPr>
                <w:rFonts w:asciiTheme="minorHAnsi" w:hAnsiTheme="minorHAnsi" w:cstheme="minorHAnsi"/>
                <w:sz w:val="22"/>
                <w:szCs w:val="22"/>
              </w:rPr>
            </w:pPr>
          </w:p>
          <w:p w14:paraId="4705C980"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Większą część uzasadnienia skargi kasacyjnej zajmują skarżącej wyjaśnienia </w:t>
            </w:r>
            <w:proofErr w:type="gramStart"/>
            <w:r w:rsidRPr="00EC4F25">
              <w:rPr>
                <w:rFonts w:asciiTheme="minorHAnsi" w:hAnsiTheme="minorHAnsi" w:cstheme="minorHAnsi"/>
                <w:sz w:val="22"/>
                <w:szCs w:val="22"/>
              </w:rPr>
              <w:t>odnośnie</w:t>
            </w:r>
            <w:proofErr w:type="gramEnd"/>
            <w:r w:rsidRPr="00EC4F25">
              <w:rPr>
                <w:rFonts w:asciiTheme="minorHAnsi" w:hAnsiTheme="minorHAnsi" w:cstheme="minorHAnsi"/>
                <w:sz w:val="22"/>
                <w:szCs w:val="22"/>
              </w:rPr>
              <w:t xml:space="preserve"> zarzutu naruszenia art. 8 pkt 1 u.z.t. Podnosi, iż Urząd Patentowy nie określił w swej decyzji konkretnej zasady współżycia społecznego, która została naruszona na skutek rejestracji. Zarzut ten był podnoszony wcześniej i Sąd nie wskazał konkretnej zasady, która miałaby być naruszona. Wskazanie przez Sąd, iż to strony będą musiały zmienić profil produkcji i ponieść przy tym znaczne koszty, nie prowadzi w żaden sposób do wykazania zasady współżycia społecznego i zostało poczynione w oderwaniu od stanu faktycznego. Zdaniem strony, konkretnej zasady współżycia społecznego nie można wywodzić z przepisów prawa stanowionego, przekreślałoby to wówczas rolę klauzuli generalnej, której funkcją jest uzupełnianie prawa pozytywnego. Za błędny uznaje pogląd, iż rejestracja znaku towarowego była sprzeczna z zasadami współżycia społecznego, gdyż miałaby zmierzać do szkodliwej dla rynku monopolizacji.</w:t>
            </w:r>
          </w:p>
          <w:p w14:paraId="440FFD28" w14:textId="77777777" w:rsidR="00865DD7" w:rsidRPr="00EC4F25" w:rsidRDefault="00865DD7" w:rsidP="00F45910">
            <w:pPr>
              <w:jc w:val="both"/>
              <w:rPr>
                <w:rFonts w:asciiTheme="minorHAnsi" w:hAnsiTheme="minorHAnsi" w:cstheme="minorHAnsi"/>
                <w:sz w:val="22"/>
                <w:szCs w:val="22"/>
              </w:rPr>
            </w:pPr>
          </w:p>
          <w:p w14:paraId="346FB03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Monopolizacja oraz inne negatywne zachowania ograniczające konkurencję są uregulowane w ustawie z dnia 15 grudnia 2000 r. o ochronie konkurencji i konsumentów (Dz.U. Nr 122, poz. 1319 ze zm.) Zatem, zdaniem strony skarżącej, ocena działań przedsiębiorców rzekomo ograniczających konkurencje winna być przeprowadzona w oparciu o przepisy tej ustawy. Nie można więc wskazać zasady współżycia społecznego dotyczącej monopolizacji rynku, gdyż zagadnienie to jest regulowane przepisami prawa, a zatem nie znajduje uzasadnienia, ani nie ma potrzeby sięgania do reguł pozaprawnych, w sytuacji kiedy prawo stanowione reguluje jakie działania wolą ustawodawcy zostały uznane jako działania monopolistyczne, które ograniczają wolną konkurencję.</w:t>
            </w:r>
          </w:p>
          <w:p w14:paraId="3BC7E8CD" w14:textId="77777777" w:rsidR="00865DD7" w:rsidRPr="00EC4F25" w:rsidRDefault="00865DD7" w:rsidP="00F45910">
            <w:pPr>
              <w:jc w:val="both"/>
              <w:rPr>
                <w:rFonts w:asciiTheme="minorHAnsi" w:hAnsiTheme="minorHAnsi" w:cstheme="minorHAnsi"/>
                <w:sz w:val="22"/>
                <w:szCs w:val="22"/>
              </w:rPr>
            </w:pPr>
          </w:p>
          <w:p w14:paraId="7F3ACA80"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Skarżąca wskazuje na sprzeczność w jaką popadł Sąd stwierdzając, iż na skutek rejestracji uprawniony ze znaku zamierzał ograniczyć wolną konkurencję. Sąd potwierdził bowiem, rejestracja przedmiotowego znaku nie narusza art. 4 i art. 7 u.z.t., tym samym potwierdził, że znak ten jest oznaczeniem odróżniającym, kojarzonym jednoznacznie ze skarżącą i jej poprzednikiem prawnym. Znaczy to, że znak przestrzenny pełni w obrocie funkcję oznaczenia pochodzenia, co oznacza, że wskazuje na źródło, z którego pochodzi towar nim oznaczony. Strona uznała, iż Sąd potwierdzając, że sporny znak towarowy posiada zdolność odróżniającą, uznał za wadliwy pogląd Urzędu Patentowego, iż jest to oznaczenie ogólnoinformacyjne, które winno być dostępne wszystkim uczestnikom gry rynkowej. Sąd uznając w wyroku, że znak przestrzenny jest nie tylko oznaczeniem odróżniającym, lecz także, że w momencie zgłoszenia go do rejestracji był znakiem powszechnie znanym na rynku, powinien był również potwierdzić, że już w tej dacie uprawnionemu do tego znaku przysługiwała wyłączność na posługiwanie się tym oznaczeniem w obrocie dla oznaczenia pieczywa </w:t>
            </w:r>
            <w:r w:rsidRPr="00EC4F25">
              <w:rPr>
                <w:rFonts w:asciiTheme="minorHAnsi" w:hAnsiTheme="minorHAnsi" w:cstheme="minorHAnsi"/>
                <w:sz w:val="22"/>
                <w:szCs w:val="22"/>
              </w:rPr>
              <w:lastRenderedPageBreak/>
              <w:t>cukierniczego. Motywem zgłoszenia znaku towarowego do rejestracji nie była więc chęć ograniczenia rynku, gdyż ten "swoisty monopol" uprawnionemu już przysługiwał z racji posiadania znaku powszechnie znanego (art. 24 u.z.t.), ale rozszerzenie formy przysługującej mu ochrony prawnej. Nie można zaś wskazać przepisów zakazujących, uprawnionemu do znaku powszechnie znanego, wystąpienia o rejestrację tego znaku.</w:t>
            </w:r>
          </w:p>
          <w:p w14:paraId="0D777C07" w14:textId="77777777" w:rsidR="00865DD7" w:rsidRPr="00EC4F25" w:rsidRDefault="00865DD7" w:rsidP="00F45910">
            <w:pPr>
              <w:jc w:val="both"/>
              <w:rPr>
                <w:rFonts w:asciiTheme="minorHAnsi" w:hAnsiTheme="minorHAnsi" w:cstheme="minorHAnsi"/>
                <w:sz w:val="22"/>
                <w:szCs w:val="22"/>
              </w:rPr>
            </w:pPr>
          </w:p>
          <w:p w14:paraId="3BDDBED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Skarżąca przypomina, że w świetle zgromadzonego materiału dowodowego zgromadzonego w sprawie, bezsporna jest okoliczność, że to poprzednik prawny skarżącej jako pierwszy na terenie Polski wprowadził do obrotu pieczywo cukiernicze o kształcie spornego ciasteczka. Tym samym ta forma plastyczna, posiadająca jak wykazał Sąd orzekający, zdolność odróżniania pochodzenia, jeszcze przed datą jej zgłoszenia do rejestracji, korzystała z ochrony przewidzianej przepisami ustawy z dnia 16 kwietnia 1993 r. o zwalczaniu nieuczciwej konkurencji.</w:t>
            </w:r>
          </w:p>
          <w:p w14:paraId="44EEC440" w14:textId="77777777" w:rsidR="00865DD7" w:rsidRPr="00EC4F25" w:rsidRDefault="00865DD7" w:rsidP="00F45910">
            <w:pPr>
              <w:jc w:val="both"/>
              <w:rPr>
                <w:rFonts w:asciiTheme="minorHAnsi" w:hAnsiTheme="minorHAnsi" w:cstheme="minorHAnsi"/>
                <w:sz w:val="22"/>
                <w:szCs w:val="22"/>
              </w:rPr>
            </w:pPr>
          </w:p>
          <w:p w14:paraId="16EBA10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Skarżąca wskazuje, iż sama dysponuje budżetem reklamowym, który zapewnia jej prowadzenie działań marketingowych w takiej formie i zakresie, iż sugerowanie przez Sąd, że firma ta będzie chciała korzystać z działań innych podmiotów wydaje się pozbawione jakichkolwiek racjonalnych przesłanek. Porównanie wydatków skarżącej do wydatków poniesionych przez producentów wytwarzających tego samego rodzaju towar wskazuje kto wykorzystywał cudze działania marketingowe.</w:t>
            </w:r>
          </w:p>
          <w:p w14:paraId="688DFC02" w14:textId="77777777" w:rsidR="00865DD7" w:rsidRPr="00EC4F25" w:rsidRDefault="00865DD7" w:rsidP="00F45910">
            <w:pPr>
              <w:jc w:val="both"/>
              <w:rPr>
                <w:rFonts w:asciiTheme="minorHAnsi" w:hAnsiTheme="minorHAnsi" w:cstheme="minorHAnsi"/>
                <w:sz w:val="22"/>
                <w:szCs w:val="22"/>
              </w:rPr>
            </w:pPr>
          </w:p>
          <w:p w14:paraId="2A09D0D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Sąd nie odniósł się w żaden sposób do złej wiary jaką wskazuje Urząd Patentowy w swojej decyzji, mimo podniesienia tego zarzutu w skardze. Zdaniem strony, Urząd Patentowy niezgodnie z prawem naruszył domniemanie dobrej wiary, mimo że w zgromadzonym materiale dowodowym nie znajdują się żadne materiały na poparcie tej tezy.</w:t>
            </w:r>
          </w:p>
          <w:p w14:paraId="559D8219" w14:textId="77777777" w:rsidR="00865DD7" w:rsidRPr="00EC4F25" w:rsidRDefault="00865DD7" w:rsidP="00F45910">
            <w:pPr>
              <w:jc w:val="both"/>
              <w:rPr>
                <w:rFonts w:asciiTheme="minorHAnsi" w:hAnsiTheme="minorHAnsi" w:cstheme="minorHAnsi"/>
                <w:sz w:val="22"/>
                <w:szCs w:val="22"/>
              </w:rPr>
            </w:pPr>
          </w:p>
          <w:p w14:paraId="1694E98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Skarżący stwierdza, że materiał dowodowy zgromadzony w aktach sprawy pozwala stwierdzić, że to uczestnicy postępowania naruszyli prawo do znaku towarowego oraz zasady współżycia społecznego rozumiane tutaj jako nieuczciwe wykorzystywanie dorobku innego przedsiębiorcy. Będąc bowiem świadomymi tego, iż dane oznaczenie jest od wielu lat używane w obrocie przez skarżącą i jej poprzedników prawnych, mimo to wprowadzili do obrotu identyczne towary, oznaczając je znakiem identycznym jak sporny znak przestrzenny, towarzyszyło temu również eksploatowanie podobnych oznaczeń słownych.</w:t>
            </w:r>
          </w:p>
          <w:p w14:paraId="69D09259" w14:textId="77777777" w:rsidR="00865DD7" w:rsidRPr="00EC4F25" w:rsidRDefault="00865DD7" w:rsidP="00F45910">
            <w:pPr>
              <w:jc w:val="both"/>
              <w:rPr>
                <w:rFonts w:asciiTheme="minorHAnsi" w:hAnsiTheme="minorHAnsi" w:cstheme="minorHAnsi"/>
                <w:sz w:val="22"/>
                <w:szCs w:val="22"/>
              </w:rPr>
            </w:pPr>
          </w:p>
          <w:p w14:paraId="018B4F2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Skarżąca zastosowała wykładnię art. 8 pkt 1 u.z.t. stwierdzając, że to nie zachowanie zgłaszającego znak do rejestracji ma być badane przy przesłance naruszenia zasad współżycia społecznego i naruszenia prawa, ale ma być badany sam znak. Dlatego też, zdaniem skarżącej, została zastosowana błędna wykładnia tego przepisu</w:t>
            </w:r>
          </w:p>
          <w:p w14:paraId="58685772" w14:textId="77777777" w:rsidR="00865DD7" w:rsidRPr="00EC4F25" w:rsidRDefault="00865DD7" w:rsidP="00F45910">
            <w:pPr>
              <w:jc w:val="both"/>
              <w:rPr>
                <w:rFonts w:asciiTheme="minorHAnsi" w:hAnsiTheme="minorHAnsi" w:cstheme="minorHAnsi"/>
                <w:sz w:val="22"/>
                <w:szCs w:val="22"/>
              </w:rPr>
            </w:pPr>
          </w:p>
          <w:p w14:paraId="35EF86C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Skarżąca odnośnie zarzutów naruszenia przepisów postępowania podnosi, że organ w swojej decyzji wskazał jedynie naruszenie zasad współżycia społecznego, (art. 8 pkt 1 u.z.t.</w:t>
            </w:r>
            <w:proofErr w:type="gramStart"/>
            <w:r w:rsidRPr="00EC4F25">
              <w:rPr>
                <w:rFonts w:asciiTheme="minorHAnsi" w:hAnsiTheme="minorHAnsi" w:cstheme="minorHAnsi"/>
                <w:sz w:val="22"/>
                <w:szCs w:val="22"/>
              </w:rPr>
              <w:t>) ,</w:t>
            </w:r>
            <w:proofErr w:type="gramEnd"/>
            <w:r w:rsidRPr="00EC4F25">
              <w:rPr>
                <w:rFonts w:asciiTheme="minorHAnsi" w:hAnsiTheme="minorHAnsi" w:cstheme="minorHAnsi"/>
                <w:sz w:val="22"/>
                <w:szCs w:val="22"/>
              </w:rPr>
              <w:t xml:space="preserve"> nie wspomina nic o naruszeniu prawa. Uznać należy, że granice niniejszej sprawy nie obejmowały zarzutu sprzeczności rejestracji znaku towarowego z prawem. W toku postępowania administracyjnego nie były prowadzone jakiekolwiek ustalenia faktyczne czy rozważania prawne w takim zakresie. Uznanie więc przez Sąd, że rejestracja spornego znaku jest sprzeczna z prawem nastąpiło zatem z naruszeniem przepisów postępowania, tj. art. 134 § 1 w zw. z art. 1 p.p.s.a. i art. 1 ustawy z dnia 25 lipca 2002 r. Prawo o ustroju sądów administracyjnych (Dz.U. Nr 153, poz. 1269). Sąd bowiem przekroczył zarówno granice skargi jak też, dokonując w tej mierze samodzielnych, bo </w:t>
            </w:r>
            <w:proofErr w:type="gramStart"/>
            <w:r w:rsidRPr="00EC4F25">
              <w:rPr>
                <w:rFonts w:asciiTheme="minorHAnsi" w:hAnsiTheme="minorHAnsi" w:cstheme="minorHAnsi"/>
                <w:sz w:val="22"/>
                <w:szCs w:val="22"/>
              </w:rPr>
              <w:t>nie znajdujących</w:t>
            </w:r>
            <w:proofErr w:type="gramEnd"/>
            <w:r w:rsidRPr="00EC4F25">
              <w:rPr>
                <w:rFonts w:asciiTheme="minorHAnsi" w:hAnsiTheme="minorHAnsi" w:cstheme="minorHAnsi"/>
                <w:sz w:val="22"/>
                <w:szCs w:val="22"/>
              </w:rPr>
              <w:t xml:space="preserve"> odzwierciedlenia w decyzji Urzędu Patentowego ustaleń.</w:t>
            </w:r>
          </w:p>
          <w:p w14:paraId="411382B3" w14:textId="77777777" w:rsidR="00865DD7" w:rsidRPr="00EC4F25" w:rsidRDefault="00865DD7" w:rsidP="00F45910">
            <w:pPr>
              <w:jc w:val="both"/>
              <w:rPr>
                <w:rFonts w:asciiTheme="minorHAnsi" w:hAnsiTheme="minorHAnsi" w:cstheme="minorHAnsi"/>
                <w:sz w:val="22"/>
                <w:szCs w:val="22"/>
              </w:rPr>
            </w:pPr>
          </w:p>
          <w:p w14:paraId="2489DC2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Skarżąca odnosząc się do naruszenia art. 4 ust. 1 ustawy o działalności gospodarczej stwierdza, że stan faktyczny sprawy nie daje podstaw do przypisania jej, czy też jej poprzednikowi prawnemu popełnienia działań zabronionych przez prawo, a więc naruszenia ww. przepisu prawnego. Sąd </w:t>
            </w:r>
            <w:r w:rsidRPr="00EC4F25">
              <w:rPr>
                <w:rFonts w:asciiTheme="minorHAnsi" w:hAnsiTheme="minorHAnsi" w:cstheme="minorHAnsi"/>
                <w:sz w:val="22"/>
                <w:szCs w:val="22"/>
              </w:rPr>
              <w:lastRenderedPageBreak/>
              <w:t>zdaniem skarżącej zaliczył czynność polegającą na zgłoszeniu do rejestracji znaku towarowego, który przed datą zgłoszenia był wykorzystywany w obrocie gospodarczym. Strona uważa taką interpretację za wadliwą. Przepisy regulujące zasady rejestracji znaków towarowych nie zawierają i nie zawierały normy zakazującej zgłaszania do rejestracji oznaczenia uprzednio wykorzystywanego w obrocie przez podmiot dokonujący zgłoszenia. Wymóg nowości przedmiotu zgłoszenia do rejestracji przewidują przepisy odnoszące się do zasad uzyskiwania patentów czy rejestracji wzorów użytkowych. Sposób interpretacji przez Sąd przepisu art. 4 ust. 1 ustawy o działalności gospodarczej w odniesieniu do wymogów obowiązujących w przypadku zgłoszeń do rejestracji znaków towarowych jest wadliwy, co w konsekwencji doprowadziło do niepoprawnego uznania przez Sąd, że rejestracja znaku spornego została dokonana z naruszeniem prawa w rozumieniu art. 8 pkt 1 u.z.t. w związku z art. 4 ust 1 ustawy o działalności gospodarczej.</w:t>
            </w:r>
          </w:p>
          <w:p w14:paraId="57CF96D0" w14:textId="77777777" w:rsidR="00865DD7" w:rsidRPr="00EC4F25" w:rsidRDefault="00865DD7" w:rsidP="00F45910">
            <w:pPr>
              <w:jc w:val="both"/>
              <w:rPr>
                <w:rFonts w:asciiTheme="minorHAnsi" w:hAnsiTheme="minorHAnsi" w:cstheme="minorHAnsi"/>
                <w:sz w:val="22"/>
                <w:szCs w:val="22"/>
              </w:rPr>
            </w:pPr>
          </w:p>
          <w:p w14:paraId="51D990D0"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Uczestnicy postępowania:</w:t>
            </w:r>
          </w:p>
          <w:p w14:paraId="229560F1" w14:textId="77777777" w:rsidR="00865DD7" w:rsidRPr="00EC4F25" w:rsidRDefault="00865DD7" w:rsidP="00F45910">
            <w:pPr>
              <w:jc w:val="both"/>
              <w:rPr>
                <w:rFonts w:asciiTheme="minorHAnsi" w:hAnsiTheme="minorHAnsi" w:cstheme="minorHAnsi"/>
                <w:sz w:val="22"/>
                <w:szCs w:val="22"/>
              </w:rPr>
            </w:pPr>
          </w:p>
          <w:p w14:paraId="57B4CE2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"Pol-Mar" Przedsiębiorstwo Produkcyjno-Handlowe „Export-Import” CZUBA Spółka Jawna w Łodzi,</w:t>
            </w:r>
          </w:p>
          <w:p w14:paraId="4E5658E8" w14:textId="77777777" w:rsidR="00865DD7" w:rsidRPr="00EC4F25" w:rsidRDefault="00865DD7" w:rsidP="00F45910">
            <w:pPr>
              <w:jc w:val="both"/>
              <w:rPr>
                <w:rFonts w:asciiTheme="minorHAnsi" w:hAnsiTheme="minorHAnsi" w:cstheme="minorHAnsi"/>
                <w:sz w:val="22"/>
                <w:szCs w:val="22"/>
              </w:rPr>
            </w:pPr>
          </w:p>
          <w:p w14:paraId="619D9DD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Lider Artur Sp. z o.o. w Wołominie,</w:t>
            </w:r>
          </w:p>
          <w:p w14:paraId="76BD079C" w14:textId="77777777" w:rsidR="00865DD7" w:rsidRPr="00EC4F25" w:rsidRDefault="00865DD7" w:rsidP="00F45910">
            <w:pPr>
              <w:jc w:val="both"/>
              <w:rPr>
                <w:rFonts w:asciiTheme="minorHAnsi" w:hAnsiTheme="minorHAnsi" w:cstheme="minorHAnsi"/>
                <w:sz w:val="22"/>
                <w:szCs w:val="22"/>
              </w:rPr>
            </w:pPr>
          </w:p>
          <w:p w14:paraId="4CD9E8F4"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 Spółdzielnia </w:t>
            </w:r>
            <w:proofErr w:type="spellStart"/>
            <w:r w:rsidRPr="00EC4F25">
              <w:rPr>
                <w:rFonts w:asciiTheme="minorHAnsi" w:hAnsiTheme="minorHAnsi" w:cstheme="minorHAnsi"/>
                <w:sz w:val="22"/>
                <w:szCs w:val="22"/>
              </w:rPr>
              <w:t>Prfacy</w:t>
            </w:r>
            <w:proofErr w:type="spellEnd"/>
            <w:r w:rsidRPr="00EC4F25">
              <w:rPr>
                <w:rFonts w:asciiTheme="minorHAnsi" w:hAnsiTheme="minorHAnsi" w:cstheme="minorHAnsi"/>
                <w:sz w:val="22"/>
                <w:szCs w:val="22"/>
              </w:rPr>
              <w:t xml:space="preserve"> „Cukry Nyskie” w Nysie, </w:t>
            </w:r>
          </w:p>
          <w:p w14:paraId="5ECAA717" w14:textId="77777777" w:rsidR="00865DD7" w:rsidRPr="00EC4F25" w:rsidRDefault="00865DD7" w:rsidP="00F45910">
            <w:pPr>
              <w:jc w:val="both"/>
              <w:rPr>
                <w:rFonts w:asciiTheme="minorHAnsi" w:hAnsiTheme="minorHAnsi" w:cstheme="minorHAnsi"/>
                <w:sz w:val="22"/>
                <w:szCs w:val="22"/>
              </w:rPr>
            </w:pPr>
          </w:p>
          <w:p w14:paraId="1F78FE04"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PUPH CUPROD Sp. z o.o. w Kluczborku,</w:t>
            </w:r>
          </w:p>
          <w:p w14:paraId="7FB59F10" w14:textId="77777777" w:rsidR="00865DD7" w:rsidRPr="00EC4F25" w:rsidRDefault="00865DD7" w:rsidP="00F45910">
            <w:pPr>
              <w:jc w:val="both"/>
              <w:rPr>
                <w:rFonts w:asciiTheme="minorHAnsi" w:hAnsiTheme="minorHAnsi" w:cstheme="minorHAnsi"/>
                <w:sz w:val="22"/>
                <w:szCs w:val="22"/>
              </w:rPr>
            </w:pPr>
          </w:p>
          <w:p w14:paraId="75A4312E"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wniosły w pismach procesowych o oddalenie skargi kasacyjnej jako bezzasadnej.</w:t>
            </w:r>
          </w:p>
          <w:p w14:paraId="36FFA208" w14:textId="77777777" w:rsidR="00865DD7" w:rsidRPr="00EC4F25" w:rsidRDefault="00865DD7" w:rsidP="00F45910">
            <w:pPr>
              <w:jc w:val="both"/>
              <w:rPr>
                <w:rFonts w:asciiTheme="minorHAnsi" w:hAnsiTheme="minorHAnsi" w:cstheme="minorHAnsi"/>
                <w:sz w:val="22"/>
                <w:szCs w:val="22"/>
              </w:rPr>
            </w:pPr>
          </w:p>
          <w:p w14:paraId="07F7CB2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Jeden z uczestników postępowania DELIC–POL. Sp. z o.o. wniosła o uchylenie wydanego w sprawie orzeczenia i umorzenia postępowania w sprawie zgodnie z art. 186 i 189 p.p.s.a. względnie oddalenie przedmiotowej skargi z uwagi na brak usprawiedliwionych podstaw do jej wniesienia w przypadku przyjęcia, że zaskarżone orzeczenie odpowiada prawu mimo jego błędnego uzasadnienia.</w:t>
            </w:r>
          </w:p>
          <w:p w14:paraId="483A2EA6" w14:textId="77777777" w:rsidR="00865DD7" w:rsidRPr="00EC4F25" w:rsidRDefault="00865DD7" w:rsidP="00F45910">
            <w:pPr>
              <w:jc w:val="both"/>
              <w:rPr>
                <w:rFonts w:asciiTheme="minorHAnsi" w:hAnsiTheme="minorHAnsi" w:cstheme="minorHAnsi"/>
                <w:sz w:val="22"/>
                <w:szCs w:val="22"/>
              </w:rPr>
            </w:pPr>
          </w:p>
          <w:p w14:paraId="7B1C8412"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Naczelny Sad Administracyjny zważył, co następuje:</w:t>
            </w:r>
          </w:p>
          <w:p w14:paraId="1003AAB7" w14:textId="77777777" w:rsidR="00865DD7" w:rsidRPr="00EC4F25" w:rsidRDefault="00865DD7" w:rsidP="00F45910">
            <w:pPr>
              <w:jc w:val="both"/>
              <w:rPr>
                <w:rFonts w:asciiTheme="minorHAnsi" w:hAnsiTheme="minorHAnsi" w:cstheme="minorHAnsi"/>
                <w:sz w:val="22"/>
                <w:szCs w:val="22"/>
              </w:rPr>
            </w:pPr>
          </w:p>
          <w:p w14:paraId="77B8F1D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Skarga kasacyjna podlegała oddaleniu, gdyż zaskarżone orzeczenie mimo błędnego uzasadnienia odpowiadało prawu (art. 184 ustawy z dnia 30 sierpnia 2002 r. – Prawo o postępowaniu przed sądami administracyjnymi (Dz.U. Nr 153, poz. 1270 ze zm., zwana dalej p.p.s.a.).</w:t>
            </w:r>
          </w:p>
          <w:p w14:paraId="0D22AA43" w14:textId="77777777" w:rsidR="00865DD7" w:rsidRPr="00EC4F25" w:rsidRDefault="00865DD7" w:rsidP="00F45910">
            <w:pPr>
              <w:jc w:val="both"/>
              <w:rPr>
                <w:rFonts w:asciiTheme="minorHAnsi" w:hAnsiTheme="minorHAnsi" w:cstheme="minorHAnsi"/>
                <w:sz w:val="22"/>
                <w:szCs w:val="22"/>
              </w:rPr>
            </w:pPr>
          </w:p>
          <w:p w14:paraId="05EA883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Wojewódzki Sąd Administracyjny oddalając skargę Lu Polska S.A. na decyzję Urzędu Patentowego unieważniającą prawo z rejestracji znaku towarowego przestrzennego zarejestrowanego za numerem R.116211, przyjął jako podstawę swego rozstrzygnięcia przepis art. 8 ust. 1 ustawy z dnia 31 stycznia 1985 r. o znakach towarowych (Dz.U. Nr 5, poz. 17 ze zm.), natomiast nie podzielił stanowiska Urzędu Patentowego, że istniały w tej sprawie podstawy do unieważnienia tego znaku z art. 4 i 7 ustawy o znakach towarowych powoływanej dalej skrótem u.z.t.</w:t>
            </w:r>
          </w:p>
          <w:p w14:paraId="1178381E" w14:textId="77777777" w:rsidR="00865DD7" w:rsidRPr="00EC4F25" w:rsidRDefault="00865DD7" w:rsidP="00F45910">
            <w:pPr>
              <w:jc w:val="both"/>
              <w:rPr>
                <w:rFonts w:asciiTheme="minorHAnsi" w:hAnsiTheme="minorHAnsi" w:cstheme="minorHAnsi"/>
                <w:sz w:val="22"/>
                <w:szCs w:val="22"/>
              </w:rPr>
            </w:pPr>
          </w:p>
          <w:p w14:paraId="4C0D88B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Zdaniem Naczelnego Sądu Administracyjnego względem spornego znaku towarowego przestrzennego stanowiącego wierne odwzorowanie produkowanych przez skarżącą ciastek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a oznaczonych słownym znakiem delicje, zachodziły podstawy do unieważnienia spornego znaku z art. 4 i 7 ustawy o znakach towarowych, co wówczas pociągałoby zbędność rozważań, na których Sąd pierwszej instancji oparł swoje rozstrzygnięcie oddalające skargę w zakresie zastosowania art. 8 ust. 1 ustawy o znakach towarowych, tj. uznanie sprzeczności przedmiotowego znaku z obowiązującym prawem lub zasadami współżycia społecznego.</w:t>
            </w:r>
          </w:p>
          <w:p w14:paraId="3E431964" w14:textId="77777777" w:rsidR="00865DD7" w:rsidRPr="00EC4F25" w:rsidRDefault="00865DD7" w:rsidP="00F45910">
            <w:pPr>
              <w:jc w:val="both"/>
              <w:rPr>
                <w:rFonts w:asciiTheme="minorHAnsi" w:hAnsiTheme="minorHAnsi" w:cstheme="minorHAnsi"/>
                <w:sz w:val="22"/>
                <w:szCs w:val="22"/>
              </w:rPr>
            </w:pPr>
          </w:p>
          <w:p w14:paraId="2F31F8A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Skoro bowiem w sprawie niniejszej powinien mieć zastosowanie w pełni przepis art. 4 ustawy o znakach towarowych w świetle dokonanej wykładni tego przepisu poprzez zastosowanie art. 3 ust. </w:t>
            </w:r>
            <w:r w:rsidRPr="00EC4F25">
              <w:rPr>
                <w:rFonts w:asciiTheme="minorHAnsi" w:hAnsiTheme="minorHAnsi" w:cstheme="minorHAnsi"/>
                <w:sz w:val="22"/>
                <w:szCs w:val="22"/>
              </w:rPr>
              <w:lastRenderedPageBreak/>
              <w:t xml:space="preserve">1 lit. e Pierwszej Dyrektywy Rady Wspólnot Europejskich z dnia 21 grudnia 1988 r. mającej na celu zbliżenie </w:t>
            </w:r>
            <w:proofErr w:type="spellStart"/>
            <w:r w:rsidRPr="00EC4F25">
              <w:rPr>
                <w:rFonts w:asciiTheme="minorHAnsi" w:hAnsiTheme="minorHAnsi" w:cstheme="minorHAnsi"/>
                <w:sz w:val="22"/>
                <w:szCs w:val="22"/>
              </w:rPr>
              <w:t>ustawodawst</w:t>
            </w:r>
            <w:proofErr w:type="spellEnd"/>
            <w:r w:rsidRPr="00EC4F25">
              <w:rPr>
                <w:rFonts w:asciiTheme="minorHAnsi" w:hAnsiTheme="minorHAnsi" w:cstheme="minorHAnsi"/>
                <w:sz w:val="22"/>
                <w:szCs w:val="22"/>
              </w:rPr>
              <w:t xml:space="preserve"> Państw Członkowskich odnoszących się do znaków towarowych (89/104/EWG). to nie mógł być stosowany art. 8 ust. 1 ustawy o znakach towarowych.</w:t>
            </w:r>
          </w:p>
          <w:p w14:paraId="2B1D0B04" w14:textId="77777777" w:rsidR="00865DD7" w:rsidRPr="00EC4F25" w:rsidRDefault="00865DD7" w:rsidP="00F45910">
            <w:pPr>
              <w:jc w:val="both"/>
              <w:rPr>
                <w:rFonts w:asciiTheme="minorHAnsi" w:hAnsiTheme="minorHAnsi" w:cstheme="minorHAnsi"/>
                <w:sz w:val="22"/>
                <w:szCs w:val="22"/>
              </w:rPr>
            </w:pPr>
          </w:p>
          <w:p w14:paraId="143C64F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WSA sam przyznał w swoim uzasadnieniu, że dokonując wykładni przepisu art. 4 i 7 ustawy o znakach towarowych kierował się również i stosował proeuropejską wykładnię art. 4 u.z.t. z uwzględnieniem postanowień wspomnianej dyrektywy Rady Nr 89/104/EWG, lecz nie wyciągnął z tej interpretacji prawidłowych wniosków, popadając często w sprzeczności w swoim rozumowaniu.</w:t>
            </w:r>
          </w:p>
          <w:p w14:paraId="6BF9CFF0" w14:textId="77777777" w:rsidR="00865DD7" w:rsidRPr="00EC4F25" w:rsidRDefault="00865DD7" w:rsidP="00F45910">
            <w:pPr>
              <w:jc w:val="both"/>
              <w:rPr>
                <w:rFonts w:asciiTheme="minorHAnsi" w:hAnsiTheme="minorHAnsi" w:cstheme="minorHAnsi"/>
                <w:sz w:val="22"/>
                <w:szCs w:val="22"/>
              </w:rPr>
            </w:pPr>
          </w:p>
          <w:p w14:paraId="69AB083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Nie można nie zgodzić się z twierdzeniem zawartym w uzasadnieniu zaskarżonego wyroku, że zdolność odróżniająca, o której mowa w przepisie art. 4 u.z.t. ma charakter abstrakcyjny, co oznacza, że zasadnicze znaczenie dla ustalenia czy dane oznaczenie może być w ogóle znakiem towarowym ma cecha odróżniania towarów tego samego rodzaju wytworzonych przez jednego przedsiębiorcę od podobnych towarów innych przedsiębiorców. Dopiero po ustaleniu, że mamy do czynienia ze znakiem towarowym (art. 4 u.z.t.) badaniu podlega jego zdolność odróżniająca in concreto (art. 7 u.z.t.). Zatem od wyników rozważań na temat zdolności odróżniającej spornego znaku towarowego stanowiącego w istocie towar, tj. ciasteczko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xml:space="preserve"> nazywanego w Polsce delicjami zależało czy sensownym było analizowanie pozostałych przesłanek unieważnienia prawa z rejestracji znaku towarowego zawartych w przepisach art. 7 i 8 ust. 1 ustawy o znakach towarowych.</w:t>
            </w:r>
          </w:p>
          <w:p w14:paraId="61674B0C" w14:textId="77777777" w:rsidR="00865DD7" w:rsidRPr="00EC4F25" w:rsidRDefault="00865DD7" w:rsidP="00F45910">
            <w:pPr>
              <w:jc w:val="both"/>
              <w:rPr>
                <w:rFonts w:asciiTheme="minorHAnsi" w:hAnsiTheme="minorHAnsi" w:cstheme="minorHAnsi"/>
                <w:sz w:val="22"/>
                <w:szCs w:val="22"/>
              </w:rPr>
            </w:pPr>
          </w:p>
          <w:p w14:paraId="52B6EB1E"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Gdyby bowiem Sąd pierwszej instancji doszedł do przekonania w oparciu o dokonane ustalenia, że w sprawie niniejszej nie miał do czynienia ze znakiem towarowym w rozumieniu art. 4 u.z.t. lub też znak ten nie posiada dostatecznych znamion odróżniających w świetle art. 7 ust. 1 i 2 u.z.t., to zbędne byłyby rozważania o sprzeczności tego znaku z zasadami współżycia społecznego art. 8 ust. 1 ustawy o znakach towarowych.</w:t>
            </w:r>
          </w:p>
          <w:p w14:paraId="4E66BCFB" w14:textId="77777777" w:rsidR="00865DD7" w:rsidRPr="00EC4F25" w:rsidRDefault="00865DD7" w:rsidP="00F45910">
            <w:pPr>
              <w:jc w:val="both"/>
              <w:rPr>
                <w:rFonts w:asciiTheme="minorHAnsi" w:hAnsiTheme="minorHAnsi" w:cstheme="minorHAnsi"/>
                <w:sz w:val="22"/>
                <w:szCs w:val="22"/>
              </w:rPr>
            </w:pPr>
          </w:p>
          <w:p w14:paraId="566CD64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Wojewódzki Sąd Administracyjny stwierdził w istotnym fragmencie swojego uzasadnienia, że sporny przestrzenny znak towarowy stanowił wierne odwzorowanie produkowanych przez skarżącą ciastek i w związku z tym w odniesieniu do tych ciastek wspomniane oznaczenie przestrzenne nie pełni funkcji znaku towarowego. Znaku towarowego nie można bowiem identyfikować z samym towarem, jak to ma miejsce w odniesieniu do omawianych ciastek.</w:t>
            </w:r>
          </w:p>
          <w:p w14:paraId="28654D9E" w14:textId="77777777" w:rsidR="00865DD7" w:rsidRPr="00EC4F25" w:rsidRDefault="00865DD7" w:rsidP="00F45910">
            <w:pPr>
              <w:jc w:val="both"/>
              <w:rPr>
                <w:rFonts w:asciiTheme="minorHAnsi" w:hAnsiTheme="minorHAnsi" w:cstheme="minorHAnsi"/>
                <w:sz w:val="22"/>
                <w:szCs w:val="22"/>
              </w:rPr>
            </w:pPr>
          </w:p>
          <w:p w14:paraId="515F687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Słusznie Sąd I instancji podkreślił, że funkcją znaku towarowego jest bowiem odróżnianie towaru tego samego rodzaju danego przedsiębiorcy od podobnych towarów innych przedsiębiorców. Natomiast dalsze konkluzje Sądu w tym zakresie, że oznaczanie przez skarżącą ciastek spornym znakiem przestrzennym należałoby stosownie do art. 7 ust. 2 u.z.t. traktować jako informację o towarze, a w szczególności, że nie ma to istotnego znaczenia dla podważenia zdolności rejestracyjnej spornego znaku towarowego na podstawie art. 7 u.z.t., gdyż sporny znak zastrzeżony został do oznaczania pieczywa cukierniczego, są bardzo wątpliwe.</w:t>
            </w:r>
          </w:p>
          <w:p w14:paraId="54383ED4" w14:textId="77777777" w:rsidR="00865DD7" w:rsidRPr="00EC4F25" w:rsidRDefault="00865DD7" w:rsidP="00F45910">
            <w:pPr>
              <w:jc w:val="both"/>
              <w:rPr>
                <w:rFonts w:asciiTheme="minorHAnsi" w:hAnsiTheme="minorHAnsi" w:cstheme="minorHAnsi"/>
                <w:sz w:val="22"/>
                <w:szCs w:val="22"/>
              </w:rPr>
            </w:pPr>
          </w:p>
          <w:p w14:paraId="0CCF266E"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Przede wszystkim poza sporem jest, że sporny znak towarowy stanowiący wierne odwzorowanie ciastka służy do oznaczania tylko i wyłącznie tych ciastek, gdyż w istocie nie mógłby służyć do oznaczania innych towarów i rodzajów pieczywa cukierniczego.</w:t>
            </w:r>
          </w:p>
          <w:p w14:paraId="02021485" w14:textId="77777777" w:rsidR="00865DD7" w:rsidRPr="00EC4F25" w:rsidRDefault="00865DD7" w:rsidP="00F45910">
            <w:pPr>
              <w:jc w:val="both"/>
              <w:rPr>
                <w:rFonts w:asciiTheme="minorHAnsi" w:hAnsiTheme="minorHAnsi" w:cstheme="minorHAnsi"/>
                <w:sz w:val="22"/>
                <w:szCs w:val="22"/>
              </w:rPr>
            </w:pPr>
          </w:p>
          <w:p w14:paraId="24D9DB8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Dlatego też odnoszenie tego znaku towarowego do jakiegoś abstrakcyjnego pieczywa cukierniczego, a nie do ciastek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xml:space="preserve"> oznaczonych przez skarżącą znakiem słownym delicje, jest zupełnym nieporozumieniem i powtórzeniem jedynie zawartego sformułowania w rejestracji spornego znaku.</w:t>
            </w:r>
          </w:p>
          <w:p w14:paraId="54C7A023" w14:textId="77777777" w:rsidR="00865DD7" w:rsidRPr="00EC4F25" w:rsidRDefault="00865DD7" w:rsidP="00F45910">
            <w:pPr>
              <w:jc w:val="both"/>
              <w:rPr>
                <w:rFonts w:asciiTheme="minorHAnsi" w:hAnsiTheme="minorHAnsi" w:cstheme="minorHAnsi"/>
                <w:sz w:val="22"/>
                <w:szCs w:val="22"/>
              </w:rPr>
            </w:pPr>
          </w:p>
          <w:p w14:paraId="0957443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W żaden sposób nie można zrozumieć dlaczego Sąd pierwszej instancji ustalając w oparciu o niekwestionowany materiał dowodowy, że sporny przestrzenny znak towarowy stanowił wierne odwzorowanie produkowanych przez skarżącą ciastek i służy do oznaczania tychże ciastek, a następnie stwierdzając, że takie oznaczenie przestrzenne nie pełni funkcji znaku towarowego dla </w:t>
            </w:r>
            <w:r w:rsidRPr="00EC4F25">
              <w:rPr>
                <w:rFonts w:asciiTheme="minorHAnsi" w:hAnsiTheme="minorHAnsi" w:cstheme="minorHAnsi"/>
                <w:sz w:val="22"/>
                <w:szCs w:val="22"/>
              </w:rPr>
              <w:lastRenderedPageBreak/>
              <w:t>tych ciastek, nie wyciąga z tego jedynego logicznie nasuwającego się wniosku, że w takiej sytuacji zastosowanie w tej sprawie miał przepis art. 4 u.z.t., który winien stanowić podstawę unieważnienia prawa z rejestracji spornego znaku towarowego.</w:t>
            </w:r>
          </w:p>
          <w:p w14:paraId="73E1DD15" w14:textId="77777777" w:rsidR="00865DD7" w:rsidRPr="00EC4F25" w:rsidRDefault="00865DD7" w:rsidP="00F45910">
            <w:pPr>
              <w:jc w:val="both"/>
              <w:rPr>
                <w:rFonts w:asciiTheme="minorHAnsi" w:hAnsiTheme="minorHAnsi" w:cstheme="minorHAnsi"/>
                <w:sz w:val="22"/>
                <w:szCs w:val="22"/>
              </w:rPr>
            </w:pPr>
          </w:p>
          <w:p w14:paraId="3AEB514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WSA przywołał w swoim uzasadnieniu art. 3 ust. 1 Pierwszej Dyrektywy Rady Wspólnot Europejskich, ale nie dokonał wykładni przepisu art. 4 i art. 7 ust. 1 i 2 ustawy o znakach towarowych w świetle przytoczonego przepisu dyrektywy</w:t>
            </w:r>
          </w:p>
          <w:p w14:paraId="709B2614" w14:textId="77777777" w:rsidR="00865DD7" w:rsidRPr="00EC4F25" w:rsidRDefault="00865DD7" w:rsidP="00F45910">
            <w:pPr>
              <w:jc w:val="both"/>
              <w:rPr>
                <w:rFonts w:asciiTheme="minorHAnsi" w:hAnsiTheme="minorHAnsi" w:cstheme="minorHAnsi"/>
                <w:sz w:val="22"/>
                <w:szCs w:val="22"/>
              </w:rPr>
            </w:pPr>
          </w:p>
          <w:p w14:paraId="0B10BA11"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Zgodnie bowiem z treścią ww. art. 3 ust. 1 lit. e dyrektywy nie są rejestrowane, a za nieważne uznaje się już zarejestrowane oznaczenia, które składają się wyłącznie z kształtu wynikającego z charakteru samych towarów. Niewątpliwie kształt ciasteczka okrągły i płaski (dwuwarstwowy) wynika z jego charakteru jako ciastka, co nie oznacza, że ciastka mogą być również w innych różnych kształtach.</w:t>
            </w:r>
          </w:p>
          <w:p w14:paraId="1BBEC7C3" w14:textId="77777777" w:rsidR="00865DD7" w:rsidRPr="00EC4F25" w:rsidRDefault="00865DD7" w:rsidP="00F45910">
            <w:pPr>
              <w:jc w:val="both"/>
              <w:rPr>
                <w:rFonts w:asciiTheme="minorHAnsi" w:hAnsiTheme="minorHAnsi" w:cstheme="minorHAnsi"/>
                <w:sz w:val="22"/>
                <w:szCs w:val="22"/>
              </w:rPr>
            </w:pPr>
          </w:p>
          <w:p w14:paraId="0102566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Kontynuując wykładnię proeuropejską przepisów ustawy o znakach towarowych należałoby w tym miejscu przywołać orzeczenie Europejskiego Trybunału Sprawiedliwości – wyrok z dnia 18 czerwca 2002 r. w sprawie C 299/99 Konin </w:t>
            </w:r>
            <w:proofErr w:type="spellStart"/>
            <w:r w:rsidRPr="00EC4F25">
              <w:rPr>
                <w:rFonts w:asciiTheme="minorHAnsi" w:hAnsiTheme="minorHAnsi" w:cstheme="minorHAnsi"/>
                <w:sz w:val="22"/>
                <w:szCs w:val="22"/>
              </w:rPr>
              <w:t>Klijke</w:t>
            </w:r>
            <w:proofErr w:type="spellEnd"/>
            <w:r w:rsidRPr="00EC4F25">
              <w:rPr>
                <w:rFonts w:asciiTheme="minorHAnsi" w:hAnsiTheme="minorHAnsi" w:cstheme="minorHAnsi"/>
                <w:sz w:val="22"/>
                <w:szCs w:val="22"/>
              </w:rPr>
              <w:t xml:space="preserve"> Philips Electronics NV przeciwko Remington </w:t>
            </w:r>
            <w:proofErr w:type="spellStart"/>
            <w:r w:rsidRPr="00EC4F25">
              <w:rPr>
                <w:rFonts w:asciiTheme="minorHAnsi" w:hAnsiTheme="minorHAnsi" w:cstheme="minorHAnsi"/>
                <w:sz w:val="22"/>
                <w:szCs w:val="22"/>
              </w:rPr>
              <w:t>Consuner</w:t>
            </w:r>
            <w:proofErr w:type="spellEnd"/>
            <w:r w:rsidRPr="00EC4F25">
              <w:rPr>
                <w:rFonts w:asciiTheme="minorHAnsi" w:hAnsiTheme="minorHAnsi" w:cstheme="minorHAnsi"/>
                <w:sz w:val="22"/>
                <w:szCs w:val="22"/>
              </w:rPr>
              <w:t xml:space="preserve"> Products Ltd. ETS stwierdził, że istnieje kategoria znaków towarowych, których rejestracja jest wyłączona na podstawie art. 3 ust. 1 lit. c Pierwszej Dyrektywy Rady Nr 89/104 (EWG) z 21 grudnia 1988 r. z tego powodu, że znaki te nie nadają się do odróżnienia towarów uprawnionego od towarów innych przedsiębiorstw.</w:t>
            </w:r>
          </w:p>
          <w:p w14:paraId="51B9DA6D" w14:textId="77777777" w:rsidR="00865DD7" w:rsidRPr="00EC4F25" w:rsidRDefault="00865DD7" w:rsidP="00F45910">
            <w:pPr>
              <w:jc w:val="both"/>
              <w:rPr>
                <w:rFonts w:asciiTheme="minorHAnsi" w:hAnsiTheme="minorHAnsi" w:cstheme="minorHAnsi"/>
                <w:sz w:val="22"/>
                <w:szCs w:val="22"/>
              </w:rPr>
            </w:pPr>
          </w:p>
          <w:p w14:paraId="61FD711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Przepis art. 3 ust. 1 lit. e (</w:t>
            </w:r>
            <w:proofErr w:type="spellStart"/>
            <w:r w:rsidRPr="00EC4F25">
              <w:rPr>
                <w:rFonts w:asciiTheme="minorHAnsi" w:hAnsiTheme="minorHAnsi" w:cstheme="minorHAnsi"/>
                <w:sz w:val="22"/>
                <w:szCs w:val="22"/>
              </w:rPr>
              <w:t>i.i</w:t>
            </w:r>
            <w:proofErr w:type="spellEnd"/>
            <w:r w:rsidRPr="00EC4F25">
              <w:rPr>
                <w:rFonts w:asciiTheme="minorHAnsi" w:hAnsiTheme="minorHAnsi" w:cstheme="minorHAnsi"/>
                <w:sz w:val="22"/>
                <w:szCs w:val="22"/>
              </w:rPr>
              <w:t>.) dyrektywy Nr 89/104 należy interpretować w tym sensie, że oznaczenie składające się wyłącznie z formy towaru nie może być zarejestrowane na podstawie tego przepisu, jeżeli zostanie wykazane, że podstawowe funkcjonalne cechy tej formy są przyporządkowane wyłącznie właściwościom technicznym. Ponadto wykazanie istnienia innych form, które umożliwiają uzyskanie tych samych właściwości technicznych nie pozwala na przezwyciężenie określonej w tym przepisie przeszkody rejestracji albo podstawy jej unieważnienia.</w:t>
            </w:r>
          </w:p>
          <w:p w14:paraId="52E8A7CB" w14:textId="77777777" w:rsidR="00865DD7" w:rsidRPr="00EC4F25" w:rsidRDefault="00865DD7" w:rsidP="00F45910">
            <w:pPr>
              <w:jc w:val="both"/>
              <w:rPr>
                <w:rFonts w:asciiTheme="minorHAnsi" w:hAnsiTheme="minorHAnsi" w:cstheme="minorHAnsi"/>
                <w:sz w:val="22"/>
                <w:szCs w:val="22"/>
              </w:rPr>
            </w:pPr>
          </w:p>
          <w:p w14:paraId="4279FD2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Należy w tym miejscu podkreślić stanowisko ETS, które Naczelny Sąd Administracyjny w pełni podziela, że oznaczenia, które podlegają wyłączeniu z rejestracji na mocy art. 3 ust. 1 lit. e dyrektywy, gdyż składają się z kształtu wynikającego z charakteru samych towarów, nigdy nie mogą nabyć zdolności odróżniającej na podstawie jego używania dla celów art. 3 ust. 3 dyrektywy (wtórnej zdolności odróżniającej).</w:t>
            </w:r>
          </w:p>
          <w:p w14:paraId="5CF26670" w14:textId="77777777" w:rsidR="00865DD7" w:rsidRPr="00EC4F25" w:rsidRDefault="00865DD7" w:rsidP="00F45910">
            <w:pPr>
              <w:jc w:val="both"/>
              <w:rPr>
                <w:rFonts w:asciiTheme="minorHAnsi" w:hAnsiTheme="minorHAnsi" w:cstheme="minorHAnsi"/>
                <w:sz w:val="22"/>
                <w:szCs w:val="22"/>
              </w:rPr>
            </w:pPr>
          </w:p>
          <w:p w14:paraId="5A50AE4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Celem przeszkód rejestracji przewidzianych w art. 3 ust. 1 lit. e dyrektywy jest zapobieganie, aby ochrona wynikająca z prawa do znaku towarowego prowadziła do udzielenia uprawnionemu z rejestracji znaku monopolu na techniczne rozwiązania albo funkcjonalne cechy towaru, które mogą być poszukiwane przez konsumenta w towarach konkurentów.</w:t>
            </w:r>
          </w:p>
          <w:p w14:paraId="643AC098" w14:textId="77777777" w:rsidR="00865DD7" w:rsidRPr="00EC4F25" w:rsidRDefault="00865DD7" w:rsidP="00F45910">
            <w:pPr>
              <w:jc w:val="both"/>
              <w:rPr>
                <w:rFonts w:asciiTheme="minorHAnsi" w:hAnsiTheme="minorHAnsi" w:cstheme="minorHAnsi"/>
                <w:sz w:val="22"/>
                <w:szCs w:val="22"/>
              </w:rPr>
            </w:pPr>
          </w:p>
          <w:p w14:paraId="3CFB692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Zatem art. 3 ust. 1 lit. e ma więc na celu zapobieganie rozszerzaniu zakresu ochrony wynikającej z prawa rejestracji znaku towarowego poza oznaczenia, które mogą służyć do odróżniania produktów oferowanych przez konkurentów, tworząc w ten sposób przeszkody uniemożliwiające konkurentom swobodne oferowanie produktów zawierających wyżej wymienione rozwiązania techniczne albo wyżej wymienione cechy użytkowe w konkurencji z uprawnionym z rejestracji znaku towarowego.</w:t>
            </w:r>
          </w:p>
          <w:p w14:paraId="13FDC028" w14:textId="77777777" w:rsidR="00865DD7" w:rsidRPr="00EC4F25" w:rsidRDefault="00865DD7" w:rsidP="00F45910">
            <w:pPr>
              <w:jc w:val="both"/>
              <w:rPr>
                <w:rFonts w:asciiTheme="minorHAnsi" w:hAnsiTheme="minorHAnsi" w:cstheme="minorHAnsi"/>
                <w:sz w:val="22"/>
                <w:szCs w:val="22"/>
              </w:rPr>
            </w:pPr>
          </w:p>
          <w:p w14:paraId="08C180D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Wojewódzki Sąd Administracyjny zajął się powyższą argumentacją dotyczącą ograniczenia uczciwej konkurencji poprzez zawłaszczenie w formie znaku towarowego w istocie samego towaru (produktu) w ramach rozważań przesłanki unieważnienia prawa z rejestracji znaku towarowego z art. 8 ust. 1 ustawy o znakach towarowych.</w:t>
            </w:r>
          </w:p>
          <w:p w14:paraId="0278AECC" w14:textId="77777777" w:rsidR="00865DD7" w:rsidRPr="00EC4F25" w:rsidRDefault="00865DD7" w:rsidP="00F45910">
            <w:pPr>
              <w:jc w:val="both"/>
              <w:rPr>
                <w:rFonts w:asciiTheme="minorHAnsi" w:hAnsiTheme="minorHAnsi" w:cstheme="minorHAnsi"/>
                <w:sz w:val="22"/>
                <w:szCs w:val="22"/>
              </w:rPr>
            </w:pPr>
          </w:p>
          <w:p w14:paraId="6AD670CB"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lastRenderedPageBreak/>
              <w:t>Jednakże to było całkowicie zbędne w świetle prawidłowego uzasadnienia przyczyn unieważnienia spornego przestrzennego znaku towarowego dokonanego przez Urząd Patentowy w zaskarżonej decyzji.</w:t>
            </w:r>
          </w:p>
          <w:p w14:paraId="3FB20DCA" w14:textId="77777777" w:rsidR="00865DD7" w:rsidRPr="00EC4F25" w:rsidRDefault="00865DD7" w:rsidP="00F45910">
            <w:pPr>
              <w:jc w:val="both"/>
              <w:rPr>
                <w:rFonts w:asciiTheme="minorHAnsi" w:hAnsiTheme="minorHAnsi" w:cstheme="minorHAnsi"/>
                <w:sz w:val="22"/>
                <w:szCs w:val="22"/>
              </w:rPr>
            </w:pPr>
          </w:p>
          <w:p w14:paraId="2CC7DA7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Takie rozumienie przepisu art. 3 ust. 1 lit. e dyrektywy, jakie zaprezentował Europejski Trybunał Sprawiedliwości w cytowanym orzeczeniu w sprawie C 299/99 w pełni odpowiada właściwej wykładni art. 4 u.z.t. i art. 7 u.z.t., gdyż przepisy te miały na celu wyłączenie z rejestracji form, których główne cechy odpowiadają funkcji towaru w ten sposób, że wyłączność właściwa prawu do znaku towarowego byłaby dla konkurentów przeszkodą w oferowaniu produktów zawierających taką właśnie funkcję albo przynajmniej w swobodnym wyborze przez konkurentów rozwiązania technicznego, które chcieliby przyjąć w celu włączenia tej funkcji w ich produkcie.</w:t>
            </w:r>
          </w:p>
          <w:p w14:paraId="0A151081" w14:textId="77777777" w:rsidR="00865DD7" w:rsidRPr="00EC4F25" w:rsidRDefault="00865DD7" w:rsidP="00F45910">
            <w:pPr>
              <w:jc w:val="both"/>
              <w:rPr>
                <w:rFonts w:asciiTheme="minorHAnsi" w:hAnsiTheme="minorHAnsi" w:cstheme="minorHAnsi"/>
                <w:sz w:val="22"/>
                <w:szCs w:val="22"/>
              </w:rPr>
            </w:pPr>
          </w:p>
          <w:p w14:paraId="6526CF5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interesie publicznym bowiem jest aby forma towaru, której główne cechy odpowiadają funkcji technicznej i które zostały wybrane w celu realizacji tej funkcji, może być swobodnie używana przez wszystkich.</w:t>
            </w:r>
          </w:p>
          <w:p w14:paraId="1CED62CD" w14:textId="77777777" w:rsidR="00865DD7" w:rsidRPr="00EC4F25" w:rsidRDefault="00865DD7" w:rsidP="00F45910">
            <w:pPr>
              <w:jc w:val="both"/>
              <w:rPr>
                <w:rFonts w:asciiTheme="minorHAnsi" w:hAnsiTheme="minorHAnsi" w:cstheme="minorHAnsi"/>
                <w:sz w:val="22"/>
                <w:szCs w:val="22"/>
              </w:rPr>
            </w:pPr>
          </w:p>
          <w:p w14:paraId="59F4014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Przepis art. 3 ust. 1 lit. e zapobiega, aby takie oznaczenie jakie zostało zaprezentowane przez wnioskodawcę w niniejszej sprawie w 1994 r. w postaci wzoru ciasteczka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xml:space="preserve"> nazwanym w Polsce delicjami i takim znakiem słownym oznaczonym przez skarżącą spółkę, zostało zastrzeżone dla jednego przedsiębiorcy.</w:t>
            </w:r>
          </w:p>
          <w:p w14:paraId="00E2D4F9" w14:textId="77777777" w:rsidR="00865DD7" w:rsidRPr="00EC4F25" w:rsidRDefault="00865DD7" w:rsidP="00F45910">
            <w:pPr>
              <w:jc w:val="both"/>
              <w:rPr>
                <w:rFonts w:asciiTheme="minorHAnsi" w:hAnsiTheme="minorHAnsi" w:cstheme="minorHAnsi"/>
                <w:sz w:val="22"/>
                <w:szCs w:val="22"/>
              </w:rPr>
            </w:pPr>
          </w:p>
          <w:p w14:paraId="1910FA73"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Konkludując jeszcze raz, wyłączenie rejestracji takich oznaczeń jak </w:t>
            </w:r>
            <w:proofErr w:type="spellStart"/>
            <w:r w:rsidRPr="00EC4F25">
              <w:rPr>
                <w:rFonts w:asciiTheme="minorHAnsi" w:hAnsiTheme="minorHAnsi" w:cstheme="minorHAnsi"/>
                <w:sz w:val="22"/>
                <w:szCs w:val="22"/>
              </w:rPr>
              <w:t>odwzorowań</w:t>
            </w:r>
            <w:proofErr w:type="spellEnd"/>
            <w:r w:rsidRPr="00EC4F25">
              <w:rPr>
                <w:rFonts w:asciiTheme="minorHAnsi" w:hAnsiTheme="minorHAnsi" w:cstheme="minorHAnsi"/>
                <w:sz w:val="22"/>
                <w:szCs w:val="22"/>
              </w:rPr>
              <w:t xml:space="preserve"> omawianego ciasteczka w jego pełnej formie, kształcie i kolorach odzwierciedla prawny cel, zgodnie z którym jednostki nie mogą używać rejestracji znaku w celu uzyskania lub przedłużenia wyłącznych praw w zakresie rozwiązań technicznych.</w:t>
            </w:r>
          </w:p>
          <w:p w14:paraId="3B64C4C7" w14:textId="77777777" w:rsidR="00865DD7" w:rsidRPr="00EC4F25" w:rsidRDefault="00865DD7" w:rsidP="00F45910">
            <w:pPr>
              <w:jc w:val="both"/>
              <w:rPr>
                <w:rFonts w:asciiTheme="minorHAnsi" w:hAnsiTheme="minorHAnsi" w:cstheme="minorHAnsi"/>
                <w:sz w:val="22"/>
                <w:szCs w:val="22"/>
              </w:rPr>
            </w:pPr>
          </w:p>
          <w:p w14:paraId="23DDD1B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Urząd Patentowy swoją pierwotną decyzją z dnia 12.02.1998 r. odmówił rejestracji przedmiotowego znaku towarowego na podstawie art. 4 i 7 ustawy o znakach towarowych i dopiero w wyniku decyzji Komisji Odwoławczej przy Urzędzie Patentowym RP z dnia 19 maja 1999 r., uchylającą decyzję organu pierwszej instancji, zarejestrował ten znak</w:t>
            </w:r>
          </w:p>
          <w:p w14:paraId="0FC2F2F6" w14:textId="77777777" w:rsidR="00865DD7" w:rsidRPr="00EC4F25" w:rsidRDefault="00865DD7" w:rsidP="00F45910">
            <w:pPr>
              <w:jc w:val="both"/>
              <w:rPr>
                <w:rFonts w:asciiTheme="minorHAnsi" w:hAnsiTheme="minorHAnsi" w:cstheme="minorHAnsi"/>
                <w:sz w:val="22"/>
                <w:szCs w:val="22"/>
              </w:rPr>
            </w:pPr>
          </w:p>
          <w:p w14:paraId="44EF718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Zaskarżone decyzje Urzędu Patentowego unieważniające sporny znak towarowy oparte zostały na przepisach art. 7 i 8 ust. 1 ustawy o znakach towarowych, przy czym Wojewódzki Sąd Administracyjny zastosował jedynie przepis art. 8 ust. 1 u.z.t., uzasadniając podstawę unieważnienia tego znaku.</w:t>
            </w:r>
          </w:p>
          <w:p w14:paraId="30E4122E" w14:textId="77777777" w:rsidR="00865DD7" w:rsidRPr="00EC4F25" w:rsidRDefault="00865DD7" w:rsidP="00F45910">
            <w:pPr>
              <w:jc w:val="both"/>
              <w:rPr>
                <w:rFonts w:asciiTheme="minorHAnsi" w:hAnsiTheme="minorHAnsi" w:cstheme="minorHAnsi"/>
                <w:sz w:val="22"/>
                <w:szCs w:val="22"/>
              </w:rPr>
            </w:pPr>
          </w:p>
          <w:p w14:paraId="389A2E0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Zdaniem Naczelnego Sądu Administracyjnego wystarczyło spełnienie jednej z podstaw do unieważnienia znaku towarowego przewidzianej w przepisach art. 4-9 ustawy o znakach towarowych aby zapadła decyzja o unieważnieniu prawa z rejestracji znaku.</w:t>
            </w:r>
          </w:p>
          <w:p w14:paraId="0DE488AE" w14:textId="77777777" w:rsidR="00865DD7" w:rsidRPr="00EC4F25" w:rsidRDefault="00865DD7" w:rsidP="00F45910">
            <w:pPr>
              <w:jc w:val="both"/>
              <w:rPr>
                <w:rFonts w:asciiTheme="minorHAnsi" w:hAnsiTheme="minorHAnsi" w:cstheme="minorHAnsi"/>
                <w:sz w:val="22"/>
                <w:szCs w:val="22"/>
              </w:rPr>
            </w:pPr>
          </w:p>
          <w:p w14:paraId="135C2F4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Oczywistym jest, że zarówno organ jak Sąd pierwszej instancji niezwiązany granicami skargi mogli rozstrzygnąć sprawę na podstawie jednej ze wskazanych we wniosku przez stronę podstaw prawnych unieważnienia prawa z rejestracji znaku, przy czym badanie przesłanek w postępowaniu administracyjnym i sądowym powinno odbyć się z zastosowaniem reguł prawnych i logicznego rozumowania. W pierwszej kolejności należało zbadać czy sporne oznaczenie mogło być zarejestrowane jako znak towarowy nadający się do odróżnienia towarów lub usług określonego przedsiębiorstwa od towarów lub usług tego samego rodzaju innych przedsiębiorstw (art. 4 u.z.t.).</w:t>
            </w:r>
          </w:p>
          <w:p w14:paraId="528EE693" w14:textId="77777777" w:rsidR="00865DD7" w:rsidRPr="00EC4F25" w:rsidRDefault="00865DD7" w:rsidP="00F45910">
            <w:pPr>
              <w:jc w:val="both"/>
              <w:rPr>
                <w:rFonts w:asciiTheme="minorHAnsi" w:hAnsiTheme="minorHAnsi" w:cstheme="minorHAnsi"/>
                <w:sz w:val="22"/>
                <w:szCs w:val="22"/>
              </w:rPr>
            </w:pPr>
          </w:p>
          <w:p w14:paraId="4F307430"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Dopiero po stwierdzeniu, że takie oznaczenie mogło być zarejestrowane jako znak towarowy w rozumieniu ustawy o znakach towarowych, Sąd kontrolując zaskarżoną decyzję mógł zająć się kolejnymi przesłankami zgłoszonymi przez wnioskodawców we wnioskach o unieważnienie prawa i omówionymi przez organ w zaskarżonej decyzji.</w:t>
            </w:r>
          </w:p>
          <w:p w14:paraId="10E626AA" w14:textId="77777777" w:rsidR="00865DD7" w:rsidRPr="00EC4F25" w:rsidRDefault="00865DD7" w:rsidP="00F45910">
            <w:pPr>
              <w:jc w:val="both"/>
              <w:rPr>
                <w:rFonts w:asciiTheme="minorHAnsi" w:hAnsiTheme="minorHAnsi" w:cstheme="minorHAnsi"/>
                <w:sz w:val="22"/>
                <w:szCs w:val="22"/>
              </w:rPr>
            </w:pPr>
          </w:p>
          <w:p w14:paraId="6865F756"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Naczelny Sąd Administracyjny nie podzielając wywodów Sądu pierwszej instancji odmawiających zastosowania w niniejszej sprawie art. 4 i 7 u.z.t. i stwierdzając, że właśnie na tej podstawie powinien WSA oprzeć swoje rozstrzygnięcie i je uzasadnić po myśli tych przepisów, był władny oddalić skargę kasacyjną, gdyż wyrok w istocie odpowiada prawu mimo błędnego jego uzasadnienia.</w:t>
            </w:r>
          </w:p>
          <w:p w14:paraId="2ACE8532" w14:textId="77777777" w:rsidR="00865DD7" w:rsidRPr="00EC4F25" w:rsidRDefault="00865DD7" w:rsidP="00F45910">
            <w:pPr>
              <w:jc w:val="both"/>
              <w:rPr>
                <w:rFonts w:asciiTheme="minorHAnsi" w:hAnsiTheme="minorHAnsi" w:cstheme="minorHAnsi"/>
                <w:sz w:val="22"/>
                <w:szCs w:val="22"/>
              </w:rPr>
            </w:pPr>
          </w:p>
          <w:p w14:paraId="4FD898AB"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sprawie bowiem zachodziły przesłanki do unieważnienia prawa z rejestracji znaku towarowego, który nie mógł być zarejestrowany, gdyż nie spełniał wymogów ustawowych z art. 4 u.z.t.</w:t>
            </w:r>
          </w:p>
          <w:p w14:paraId="4365B93A" w14:textId="77777777" w:rsidR="00865DD7" w:rsidRPr="00EC4F25" w:rsidRDefault="00865DD7" w:rsidP="00F45910">
            <w:pPr>
              <w:jc w:val="both"/>
              <w:rPr>
                <w:rFonts w:asciiTheme="minorHAnsi" w:hAnsiTheme="minorHAnsi" w:cstheme="minorHAnsi"/>
                <w:sz w:val="22"/>
                <w:szCs w:val="22"/>
              </w:rPr>
            </w:pPr>
          </w:p>
          <w:p w14:paraId="307FCF7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Na zakończenie wywodów </w:t>
            </w:r>
            <w:proofErr w:type="gramStart"/>
            <w:r w:rsidRPr="00EC4F25">
              <w:rPr>
                <w:rFonts w:asciiTheme="minorHAnsi" w:hAnsiTheme="minorHAnsi" w:cstheme="minorHAnsi"/>
                <w:sz w:val="22"/>
                <w:szCs w:val="22"/>
              </w:rPr>
              <w:t>odnośnie</w:t>
            </w:r>
            <w:proofErr w:type="gramEnd"/>
            <w:r w:rsidRPr="00EC4F25">
              <w:rPr>
                <w:rFonts w:asciiTheme="minorHAnsi" w:hAnsiTheme="minorHAnsi" w:cstheme="minorHAnsi"/>
                <w:sz w:val="22"/>
                <w:szCs w:val="22"/>
              </w:rPr>
              <w:t xml:space="preserve"> zdolności odróżniającej znaku towarowego przestrzennego należałoby przytoczyć dominujące poglądy w doktrynie prawa własności przemysłowej wyrażone przez wielu naukowców, że znaki towarowe przestrzenne zwane inaczej plastycznymi są to najczęściej opakowania towarów, w szczególności różnorodne w kształtach butelki na napoje lub opakowania wyrobów kosmetycznych albo samoistne znaki towarowe plastyczne nie spełniające dodatkowo żadnych funkcji.</w:t>
            </w:r>
          </w:p>
          <w:p w14:paraId="3248046B" w14:textId="77777777" w:rsidR="00865DD7" w:rsidRPr="00EC4F25" w:rsidRDefault="00865DD7" w:rsidP="00F45910">
            <w:pPr>
              <w:jc w:val="both"/>
              <w:rPr>
                <w:rFonts w:asciiTheme="minorHAnsi" w:hAnsiTheme="minorHAnsi" w:cstheme="minorHAnsi"/>
                <w:sz w:val="22"/>
                <w:szCs w:val="22"/>
              </w:rPr>
            </w:pPr>
          </w:p>
          <w:p w14:paraId="0FDE4914"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Jest niekwestionowanym poglądem również w doktrynie, że nie jest dopuszczalna rejestracja jako znaku towarowego elementu, który warunkuje tożsamość produktu (np. formy towaru). Byłoby to sprzeczne z ustawową definicją znaku, czyli elementu odróżniającego pod względem pochodzenia.</w:t>
            </w:r>
          </w:p>
          <w:p w14:paraId="5DA62D53" w14:textId="77777777" w:rsidR="00865DD7" w:rsidRPr="00EC4F25" w:rsidRDefault="00865DD7" w:rsidP="00F45910">
            <w:pPr>
              <w:jc w:val="both"/>
              <w:rPr>
                <w:rFonts w:asciiTheme="minorHAnsi" w:hAnsiTheme="minorHAnsi" w:cstheme="minorHAnsi"/>
                <w:sz w:val="22"/>
                <w:szCs w:val="22"/>
              </w:rPr>
            </w:pPr>
          </w:p>
          <w:p w14:paraId="4B25B7A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orzecznictwie i literaturze krajów Unii Europejskiej wymienia się następuje cechy formy towaru warunkujące zdolność odróżniającą znaku. Forma danego towaru, do którego oznaczenia znak ten służy nie może być uwarunkowana samym tylko rodzajem towaru jako określonego przedmiotu i w rezultacie identyczna z tym przedmiotem. Nie może forma taka być rezultatem zwykłego używania danego towaru zgodnego z naturą tego przedmiotu (np. prostokątny kształt tabliczki czekolady).</w:t>
            </w:r>
          </w:p>
          <w:p w14:paraId="01041841" w14:textId="77777777" w:rsidR="00865DD7" w:rsidRPr="00EC4F25" w:rsidRDefault="00865DD7" w:rsidP="00F45910">
            <w:pPr>
              <w:jc w:val="both"/>
              <w:rPr>
                <w:rFonts w:asciiTheme="minorHAnsi" w:hAnsiTheme="minorHAnsi" w:cstheme="minorHAnsi"/>
                <w:sz w:val="22"/>
                <w:szCs w:val="22"/>
              </w:rPr>
            </w:pPr>
          </w:p>
          <w:p w14:paraId="15233621"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Forma ta nie może być niezbędna do zapewnienia technicznych właściwości danego towaru. Kształt ten musi odbiegać od zwykłych ram obrotu gospodarczego do tego stopnia, aby znak przedstawiał formę danego towaru i który w takiej formie w rzeczywistości nie występuje lub kształt ten musi zawierać choćby jeden szczególny element jako dodatek, który wykracza poza zwyczajowe ukształtowanie towaru uwarunkowane technicznymi względami jego wykorzystania. Kształt taki nie może być jednym z podstawowych typowych kształtów – podstawowych form geometrycznych – danego towaru na rynku, a musi być niezwykły lub specjalny. Niewątpliwie kształt okrągły i płaski ciasteczka z polewą czekoladową i galaretką (dwuwarstwowy) odpowiadający zewnętrznej formie zjawiskowej tego ciasteczka jest typowym kształtem tego rodzaju ciastek biszkoptowych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nie spełnia on żadnego z kryteriów nadających mu zdolność odróżniającą w rozumieniu art. 4 ustawy o znakach towarowych.</w:t>
            </w:r>
          </w:p>
          <w:p w14:paraId="02E05288" w14:textId="77777777" w:rsidR="00865DD7" w:rsidRPr="00EC4F25" w:rsidRDefault="00865DD7" w:rsidP="00F45910">
            <w:pPr>
              <w:jc w:val="both"/>
              <w:rPr>
                <w:rFonts w:asciiTheme="minorHAnsi" w:hAnsiTheme="minorHAnsi" w:cstheme="minorHAnsi"/>
                <w:sz w:val="22"/>
                <w:szCs w:val="22"/>
              </w:rPr>
            </w:pPr>
          </w:p>
          <w:p w14:paraId="72CACF6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Kształt i kolorystyka znaku przestrzennego nie mogą być odwzorowaniem określonych właściwości towaru.</w:t>
            </w:r>
          </w:p>
          <w:p w14:paraId="6983C07B" w14:textId="77777777" w:rsidR="00865DD7" w:rsidRPr="00EC4F25" w:rsidRDefault="00865DD7" w:rsidP="00F45910">
            <w:pPr>
              <w:jc w:val="both"/>
              <w:rPr>
                <w:rFonts w:asciiTheme="minorHAnsi" w:hAnsiTheme="minorHAnsi" w:cstheme="minorHAnsi"/>
                <w:sz w:val="22"/>
                <w:szCs w:val="22"/>
              </w:rPr>
            </w:pPr>
          </w:p>
          <w:p w14:paraId="7E7C1302"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Znak w postaci samej formy towaru musi w swoim całokształcie być wskazówką pochodzenia danego towaru, a nie wyczerpywać się w swym ucieleśnieniu określonego rodzaju towaru.</w:t>
            </w:r>
          </w:p>
          <w:p w14:paraId="78F23C3E" w14:textId="77777777" w:rsidR="00865DD7" w:rsidRPr="00EC4F25" w:rsidRDefault="00865DD7" w:rsidP="00F45910">
            <w:pPr>
              <w:jc w:val="both"/>
              <w:rPr>
                <w:rFonts w:asciiTheme="minorHAnsi" w:hAnsiTheme="minorHAnsi" w:cstheme="minorHAnsi"/>
                <w:sz w:val="22"/>
                <w:szCs w:val="22"/>
              </w:rPr>
            </w:pPr>
          </w:p>
          <w:p w14:paraId="7FFE14E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doktrynie niemieckiej, jak i w wielu państw UE panuje pełna zgodność, że samodzielność znaku towaru względem towaru jest podstawowym kryterium jego zdolności do odróżniania.</w:t>
            </w:r>
          </w:p>
          <w:p w14:paraId="5175B26C" w14:textId="77777777" w:rsidR="00865DD7" w:rsidRPr="00EC4F25" w:rsidRDefault="00865DD7" w:rsidP="00F45910">
            <w:pPr>
              <w:jc w:val="both"/>
              <w:rPr>
                <w:rFonts w:asciiTheme="minorHAnsi" w:hAnsiTheme="minorHAnsi" w:cstheme="minorHAnsi"/>
                <w:sz w:val="22"/>
                <w:szCs w:val="22"/>
              </w:rPr>
            </w:pPr>
          </w:p>
          <w:p w14:paraId="2B4AA97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Towar jako taki nie może być swoim własnym instrumentem identyfikacyjnym. Forma towaru aby mogła pełnić funkcję znaku musi być czymś innym niż istota towaru.</w:t>
            </w:r>
          </w:p>
          <w:p w14:paraId="6A54C220" w14:textId="77777777" w:rsidR="00865DD7" w:rsidRPr="00EC4F25" w:rsidRDefault="00865DD7" w:rsidP="00F45910">
            <w:pPr>
              <w:jc w:val="both"/>
              <w:rPr>
                <w:rFonts w:asciiTheme="minorHAnsi" w:hAnsiTheme="minorHAnsi" w:cstheme="minorHAnsi"/>
                <w:sz w:val="22"/>
                <w:szCs w:val="22"/>
              </w:rPr>
            </w:pPr>
          </w:p>
          <w:p w14:paraId="50A83BC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Również w polskiej doktrynie uważa się, że warunkiem rejestracji znaku w postaci trójwymiarowej formy towaru lub opakowania jest aby ukształtowanie przedmiotu lub jego opakowania, które </w:t>
            </w:r>
            <w:r w:rsidRPr="00EC4F25">
              <w:rPr>
                <w:rFonts w:asciiTheme="minorHAnsi" w:hAnsiTheme="minorHAnsi" w:cstheme="minorHAnsi"/>
                <w:sz w:val="22"/>
                <w:szCs w:val="22"/>
              </w:rPr>
              <w:lastRenderedPageBreak/>
              <w:t>mogłoby być zarejestrowane jako znak towarowy nie może być konieczną formą, albo też formą, która stała się banalna w danej grupie towarów. (vide M. Kępiński Znak towarowy / funkcje, rodzaje znaków ... S.C. 1974 s. 192).</w:t>
            </w:r>
          </w:p>
          <w:p w14:paraId="610A7904" w14:textId="77777777" w:rsidR="00865DD7" w:rsidRPr="00EC4F25" w:rsidRDefault="00865DD7" w:rsidP="00F45910">
            <w:pPr>
              <w:jc w:val="both"/>
              <w:rPr>
                <w:rFonts w:asciiTheme="minorHAnsi" w:hAnsiTheme="minorHAnsi" w:cstheme="minorHAnsi"/>
                <w:sz w:val="22"/>
                <w:szCs w:val="22"/>
              </w:rPr>
            </w:pPr>
          </w:p>
          <w:p w14:paraId="69D176FA"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Brak zdolności do odróżniania wyłącza możliwość uznania oznaczenia za znak towarowy, a zatem eliminuje jego rejestrację.</w:t>
            </w:r>
          </w:p>
          <w:p w14:paraId="23CE3D92" w14:textId="77777777" w:rsidR="00865DD7" w:rsidRPr="00EC4F25" w:rsidRDefault="00865DD7" w:rsidP="00F45910">
            <w:pPr>
              <w:jc w:val="both"/>
              <w:rPr>
                <w:rFonts w:asciiTheme="minorHAnsi" w:hAnsiTheme="minorHAnsi" w:cstheme="minorHAnsi"/>
                <w:sz w:val="22"/>
                <w:szCs w:val="22"/>
              </w:rPr>
            </w:pPr>
          </w:p>
          <w:p w14:paraId="3A1CE15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Przyznawanie praw wyłącznych i wynikająca z nich ochrona formy towaru jest generalnie zadaniem nie prawa znaków towarowych lecz prawa wzorów przemysłowych (zdobniczych) lub prawa patentowego.</w:t>
            </w:r>
          </w:p>
          <w:p w14:paraId="00FD44D0" w14:textId="77777777" w:rsidR="00865DD7" w:rsidRPr="00EC4F25" w:rsidRDefault="00865DD7" w:rsidP="00F45910">
            <w:pPr>
              <w:jc w:val="both"/>
              <w:rPr>
                <w:rFonts w:asciiTheme="minorHAnsi" w:hAnsiTheme="minorHAnsi" w:cstheme="minorHAnsi"/>
                <w:sz w:val="22"/>
                <w:szCs w:val="22"/>
              </w:rPr>
            </w:pPr>
          </w:p>
          <w:p w14:paraId="0F458541"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Prawo znaków towarowych umożliwiające najbardziej długotrwałą ochronę nie może prowadzić do tego rodzaju monopolizacji na rynku.</w:t>
            </w:r>
          </w:p>
          <w:p w14:paraId="7915D019" w14:textId="77777777" w:rsidR="00865DD7" w:rsidRPr="00EC4F25" w:rsidRDefault="00865DD7" w:rsidP="00F45910">
            <w:pPr>
              <w:jc w:val="both"/>
              <w:rPr>
                <w:rFonts w:asciiTheme="minorHAnsi" w:hAnsiTheme="minorHAnsi" w:cstheme="minorHAnsi"/>
                <w:sz w:val="22"/>
                <w:szCs w:val="22"/>
              </w:rPr>
            </w:pPr>
          </w:p>
          <w:p w14:paraId="54DD5158"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Reasumując powyższe rozważania, Naczelny Sąd Administracyjny doszedł do przekonania, że Sąd I instancji oceniając zdolność zgłoszenia przedmiotowego oznaczenia jako znaku towarowego doszedł do błędnego wniosku, że brak było dostatecznych podstaw do zanegowania abstrakcyjnej zdolności rejestracyjnej omawianego znaku dla oznaczenia spornych ciastek.</w:t>
            </w:r>
          </w:p>
          <w:p w14:paraId="498681BF" w14:textId="77777777" w:rsidR="00865DD7" w:rsidRPr="00EC4F25" w:rsidRDefault="00865DD7" w:rsidP="00F45910">
            <w:pPr>
              <w:jc w:val="both"/>
              <w:rPr>
                <w:rFonts w:asciiTheme="minorHAnsi" w:hAnsiTheme="minorHAnsi" w:cstheme="minorHAnsi"/>
                <w:sz w:val="22"/>
                <w:szCs w:val="22"/>
              </w:rPr>
            </w:pPr>
          </w:p>
          <w:p w14:paraId="482C61FD"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Wielokrotnie Sąd ten popadł w sprzeczności w swoim uzasadnieniu, stwierdzając w innym fragmencie uzasadnienia, że skoro sporny przestrzenny znak towarowy stanowi wierne odwzorowanie produkowanych przez skarżącą ciastek można zgodzić się z Urzędem Patentowym jedynie w tym zakresie, że w odniesieniu do owych ciastek wspomniane oznaczenie nie pełni funkcji znaku towarowego.</w:t>
            </w:r>
          </w:p>
          <w:p w14:paraId="69B80C70" w14:textId="77777777" w:rsidR="00865DD7" w:rsidRPr="00EC4F25" w:rsidRDefault="00865DD7" w:rsidP="00F45910">
            <w:pPr>
              <w:jc w:val="both"/>
              <w:rPr>
                <w:rFonts w:asciiTheme="minorHAnsi" w:hAnsiTheme="minorHAnsi" w:cstheme="minorHAnsi"/>
                <w:sz w:val="22"/>
                <w:szCs w:val="22"/>
              </w:rPr>
            </w:pPr>
          </w:p>
          <w:p w14:paraId="54C2033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Znaku towarowego nie można bowiem identyfikować z samym towarem, jak to ma miejsce w odniesieniu do omawianych ciastek.</w:t>
            </w:r>
          </w:p>
          <w:p w14:paraId="32036A92" w14:textId="77777777" w:rsidR="00865DD7" w:rsidRPr="00EC4F25" w:rsidRDefault="00865DD7" w:rsidP="00F45910">
            <w:pPr>
              <w:jc w:val="both"/>
              <w:rPr>
                <w:rFonts w:asciiTheme="minorHAnsi" w:hAnsiTheme="minorHAnsi" w:cstheme="minorHAnsi"/>
                <w:sz w:val="22"/>
                <w:szCs w:val="22"/>
              </w:rPr>
            </w:pPr>
          </w:p>
          <w:p w14:paraId="481C1EFB"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Zatem na pytanie, na jakiej podstawie Sąd ten stwierdza, że opis tego znaku zawarty w zgłoszeniu w wystarczającym stopniu indywidualizuje ten znak pod kątem zdolności odróżniającej, nie ma w uzasadnieniu zaskarżonego wyroku miarodajnej odpowiedzi.</w:t>
            </w:r>
          </w:p>
          <w:p w14:paraId="79DD6902" w14:textId="77777777" w:rsidR="00865DD7" w:rsidRPr="00EC4F25" w:rsidRDefault="00865DD7" w:rsidP="00F45910">
            <w:pPr>
              <w:jc w:val="both"/>
              <w:rPr>
                <w:rFonts w:asciiTheme="minorHAnsi" w:hAnsiTheme="minorHAnsi" w:cstheme="minorHAnsi"/>
                <w:sz w:val="22"/>
                <w:szCs w:val="22"/>
              </w:rPr>
            </w:pPr>
          </w:p>
          <w:p w14:paraId="3E126C2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Wbrew oczywistym faktom, których Sąd I instancji skutecznie nie zanegował, stwierdził on, że brak jest dostatecznych podstaw aby przestrzenny znak towarowy w postaci naturalnego kształtu ciasteczka okrągłego z okrągłym wzniesieniem o mniejszej średnicy stanowiącego drugą warstwę galaretki i polany czekoladą o naturalnych kolorach biszkoptu i czekolady oceniany jako całość uznać za zdeterminowany wyłącznie cechami funkcjonalnymi czy też kształtem koniecznym dla uzyskania określonego rezultatu technicznego, chociaż część elementów użytych w tym znaku niewątpliwie wynika z samej natury procesu technologicznego związanego z wypiekiem ciastek (kolory ciastka żółty i brązowy).</w:t>
            </w:r>
          </w:p>
          <w:p w14:paraId="63CC333D" w14:textId="77777777" w:rsidR="00865DD7" w:rsidRPr="00EC4F25" w:rsidRDefault="00865DD7" w:rsidP="00F45910">
            <w:pPr>
              <w:jc w:val="both"/>
              <w:rPr>
                <w:rFonts w:asciiTheme="minorHAnsi" w:hAnsiTheme="minorHAnsi" w:cstheme="minorHAnsi"/>
                <w:sz w:val="22"/>
                <w:szCs w:val="22"/>
              </w:rPr>
            </w:pPr>
          </w:p>
          <w:p w14:paraId="2BD69CE7"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Jeszcze raz należy podkreślić, że sporny znak towarowy to nic innego jak wierne odwzorowanie produkowanych między innymi przez skarżącą oraz uczestników postępowania ciastek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xml:space="preserve"> oznaczonych przez skarżącą znakiem słownym delicje i wszystkie znamiona tego znaku zdeterminowane są właśnie cechami funkcjonalnymi towaru w postaci ciasteczka biszkoptowego z galaretką w polewie czekoladowej typu </w:t>
            </w:r>
            <w:proofErr w:type="spellStart"/>
            <w:r w:rsidRPr="00EC4F25">
              <w:rPr>
                <w:rFonts w:asciiTheme="minorHAnsi" w:hAnsiTheme="minorHAnsi" w:cstheme="minorHAnsi"/>
                <w:sz w:val="22"/>
                <w:szCs w:val="22"/>
              </w:rPr>
              <w:t>jaffa</w:t>
            </w:r>
            <w:proofErr w:type="spellEnd"/>
            <w:r w:rsidRPr="00EC4F25">
              <w:rPr>
                <w:rFonts w:asciiTheme="minorHAnsi" w:hAnsiTheme="minorHAnsi" w:cstheme="minorHAnsi"/>
                <w:sz w:val="22"/>
                <w:szCs w:val="22"/>
              </w:rPr>
              <w:t xml:space="preserve"> produkowanego przy pomocy maszyn produkcji niemieckiej firmy Werner u. </w:t>
            </w:r>
            <w:proofErr w:type="spellStart"/>
            <w:r w:rsidRPr="00EC4F25">
              <w:rPr>
                <w:rFonts w:asciiTheme="minorHAnsi" w:hAnsiTheme="minorHAnsi" w:cstheme="minorHAnsi"/>
                <w:sz w:val="22"/>
                <w:szCs w:val="22"/>
              </w:rPr>
              <w:t>Pfleider</w:t>
            </w:r>
            <w:proofErr w:type="spellEnd"/>
            <w:r w:rsidRPr="00EC4F25">
              <w:rPr>
                <w:rFonts w:asciiTheme="minorHAnsi" w:hAnsiTheme="minorHAnsi" w:cstheme="minorHAnsi"/>
                <w:sz w:val="22"/>
                <w:szCs w:val="22"/>
              </w:rPr>
              <w:t>.</w:t>
            </w:r>
          </w:p>
          <w:p w14:paraId="634E196A" w14:textId="77777777" w:rsidR="00865DD7" w:rsidRPr="00EC4F25" w:rsidRDefault="00865DD7" w:rsidP="00F45910">
            <w:pPr>
              <w:jc w:val="both"/>
              <w:rPr>
                <w:rFonts w:asciiTheme="minorHAnsi" w:hAnsiTheme="minorHAnsi" w:cstheme="minorHAnsi"/>
                <w:sz w:val="22"/>
                <w:szCs w:val="22"/>
              </w:rPr>
            </w:pPr>
          </w:p>
          <w:p w14:paraId="4631ECF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 xml:space="preserve">Dlatego też zgadzając się z tezą Sądu pierwszej instancji, że dopiero po ustaleniu że mamy do czynienia ze znakiem towarowym (art. 4 u.z.t.) badaniu podlega jego zdolność odróżniająca in concreto (art. 7 u.z.t.), należało stwierdzić, że w wyniku tego badania abstrakcyjnej zdolności odróżniającej spornego znaku towarowego w rozumieniu art. 4 u.z.t. nasuwa się jedyny logiczny </w:t>
            </w:r>
            <w:r w:rsidRPr="00EC4F25">
              <w:rPr>
                <w:rFonts w:asciiTheme="minorHAnsi" w:hAnsiTheme="minorHAnsi" w:cstheme="minorHAnsi"/>
                <w:sz w:val="22"/>
                <w:szCs w:val="22"/>
              </w:rPr>
              <w:lastRenderedPageBreak/>
              <w:t>wniosek, że zgłoszone przez poprzednika prawnego skarżącej oznaczenie, które zostało następnie zarejestrowane jako znak towarowy R.116211 nie spełniało podstawowej przesłanki rejestracyjnej, a mianowicie nie nadawało się do odróżniania towarów z przyczyn omówionych wyżej.</w:t>
            </w:r>
          </w:p>
          <w:p w14:paraId="045DC549" w14:textId="77777777" w:rsidR="00865DD7" w:rsidRPr="00EC4F25" w:rsidRDefault="00865DD7" w:rsidP="00F45910">
            <w:pPr>
              <w:jc w:val="both"/>
              <w:rPr>
                <w:rFonts w:asciiTheme="minorHAnsi" w:hAnsiTheme="minorHAnsi" w:cstheme="minorHAnsi"/>
                <w:sz w:val="22"/>
                <w:szCs w:val="22"/>
              </w:rPr>
            </w:pPr>
          </w:p>
          <w:p w14:paraId="1C664269"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W tych warunkach rozważanie przesłanek unieważnienia przedmiotowego znaku towarowego z art. 7 i 8 ust. 1 ustawy o znakach towarowych stało się zbędne.</w:t>
            </w:r>
          </w:p>
          <w:p w14:paraId="1A0E7529" w14:textId="77777777" w:rsidR="00865DD7" w:rsidRPr="00EC4F25" w:rsidRDefault="00865DD7" w:rsidP="00F45910">
            <w:pPr>
              <w:jc w:val="both"/>
              <w:rPr>
                <w:rFonts w:asciiTheme="minorHAnsi" w:hAnsiTheme="minorHAnsi" w:cstheme="minorHAnsi"/>
                <w:sz w:val="22"/>
                <w:szCs w:val="22"/>
              </w:rPr>
            </w:pPr>
          </w:p>
          <w:p w14:paraId="37B17685"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Skoro bowiem sporne oznaczenie nie mogło być zarejestrowane jako znak towarowy z powodu braku zdolności odróżniającej towarów określonego przedsiębiorstwa od towarów tego samego rodzaju innych przedsiębiorstw, gdyż stanowiło wierne odwzorowanie towaru (w istocie sam towar) – art. 4 u.z.t., to analizowanie czy sporny znak jest sprzeczny z prawem, czy też zasadami współżycia społecznego w świetle art. 8 ust. 1 u.z.t. było zbędne i dlatego nie zachodzi potrzeba ustosunkowywania się do zarzutów skargi kasacyjnej odnoszących się wyłącznie do zastosowania przepisu art. 8 ust. 1 u.z.t., który nie miał zastosowania w niniejszej sprawie.</w:t>
            </w:r>
          </w:p>
          <w:p w14:paraId="2E1C90E1" w14:textId="77777777" w:rsidR="00865DD7" w:rsidRPr="00EC4F25" w:rsidRDefault="00865DD7" w:rsidP="00F45910">
            <w:pPr>
              <w:jc w:val="both"/>
              <w:rPr>
                <w:rFonts w:asciiTheme="minorHAnsi" w:hAnsiTheme="minorHAnsi" w:cstheme="minorHAnsi"/>
                <w:sz w:val="22"/>
                <w:szCs w:val="22"/>
              </w:rPr>
            </w:pPr>
          </w:p>
          <w:p w14:paraId="18EEC2EF"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Mimo poważnych błędów uzasadnienia zaskarżonego wyroku wykazanych wyżej, polegających na zastosowaniu błędnej podstawy unieważnienia prawa z rejestracji przedmiotowego znaku towarowego art. 8 ust. 1 u.z.t., zamiast prawidłowej art. 4 u.z.t., nie zachodziła potrzeba uchylenia zaskarżonego wyroku, gdyż wyrok ten mimo błędnego uzasadnienia odpowiada prawu.</w:t>
            </w:r>
          </w:p>
          <w:p w14:paraId="1AB91156" w14:textId="77777777" w:rsidR="00865DD7" w:rsidRPr="00EC4F25" w:rsidRDefault="00865DD7" w:rsidP="00F45910">
            <w:pPr>
              <w:jc w:val="both"/>
              <w:rPr>
                <w:rFonts w:asciiTheme="minorHAnsi" w:hAnsiTheme="minorHAnsi" w:cstheme="minorHAnsi"/>
                <w:sz w:val="22"/>
                <w:szCs w:val="22"/>
              </w:rPr>
            </w:pPr>
          </w:p>
          <w:p w14:paraId="48DAC0CC" w14:textId="77777777" w:rsidR="00865DD7" w:rsidRPr="00EC4F25" w:rsidRDefault="00865DD7" w:rsidP="00F45910">
            <w:pPr>
              <w:jc w:val="both"/>
              <w:rPr>
                <w:rFonts w:asciiTheme="minorHAnsi" w:hAnsiTheme="minorHAnsi" w:cstheme="minorHAnsi"/>
                <w:sz w:val="22"/>
                <w:szCs w:val="22"/>
              </w:rPr>
            </w:pPr>
            <w:r w:rsidRPr="00EC4F25">
              <w:rPr>
                <w:rFonts w:asciiTheme="minorHAnsi" w:hAnsiTheme="minorHAnsi" w:cstheme="minorHAnsi"/>
                <w:sz w:val="22"/>
                <w:szCs w:val="22"/>
              </w:rPr>
              <w:t>Dlatego też Naczelny Sąd Administracyjny oddalił skargę kasacyjną na podstawie art. 184 p.p.s.a.</w:t>
            </w:r>
          </w:p>
        </w:tc>
      </w:tr>
      <w:bookmarkEnd w:id="110"/>
    </w:tbl>
    <w:p w14:paraId="5DA4EE9B" w14:textId="2A46C900" w:rsidR="009A400F" w:rsidRDefault="009A400F" w:rsidP="00CB51B3">
      <w:pPr>
        <w:spacing w:after="0"/>
        <w:rPr>
          <w:rFonts w:cstheme="minorHAnsi"/>
        </w:rPr>
      </w:pPr>
    </w:p>
    <w:p w14:paraId="4D04D54A" w14:textId="77777777" w:rsidR="001F61C2" w:rsidRDefault="001F61C2" w:rsidP="001F61C2">
      <w:pPr>
        <w:spacing w:after="0"/>
        <w:jc w:val="center"/>
        <w:rPr>
          <w:sz w:val="24"/>
          <w:szCs w:val="24"/>
        </w:rPr>
      </w:pPr>
      <w:r>
        <w:rPr>
          <w:sz w:val="24"/>
          <w:szCs w:val="24"/>
        </w:rPr>
        <w:t>* * *</w:t>
      </w:r>
    </w:p>
    <w:p w14:paraId="34A486B4" w14:textId="77777777" w:rsidR="00C61C10" w:rsidRPr="00BF4D1E" w:rsidRDefault="00C61C10" w:rsidP="00C61C10">
      <w:pPr>
        <w:spacing w:after="0" w:line="240" w:lineRule="auto"/>
        <w:rPr>
          <w:b/>
          <w:bCs/>
          <w:kern w:val="0"/>
          <w:sz w:val="24"/>
          <w:szCs w:val="24"/>
        </w:rPr>
      </w:pPr>
      <w:r>
        <w:rPr>
          <w:b/>
          <w:bCs/>
          <w:sz w:val="24"/>
          <w:szCs w:val="24"/>
        </w:rPr>
        <w:t>Podsumowanie u</w:t>
      </w:r>
      <w:r w:rsidRPr="00BF4D1E">
        <w:rPr>
          <w:b/>
          <w:bCs/>
          <w:sz w:val="24"/>
          <w:szCs w:val="24"/>
        </w:rPr>
        <w:t>wag Redakcji</w:t>
      </w:r>
      <w:r w:rsidRPr="003F02D6">
        <w:rPr>
          <w:sz w:val="24"/>
          <w:szCs w:val="24"/>
        </w:rPr>
        <w:t>:</w:t>
      </w:r>
    </w:p>
    <w:p w14:paraId="51058FA4" w14:textId="59A4C029" w:rsidR="00DC53F2" w:rsidRPr="00DC53F2" w:rsidRDefault="00DC53F2" w:rsidP="001F61C2">
      <w:pPr>
        <w:spacing w:after="0" w:line="240" w:lineRule="auto"/>
        <w:rPr>
          <w:rFonts w:cstheme="minorHAnsi"/>
          <w:sz w:val="24"/>
          <w:szCs w:val="24"/>
        </w:rPr>
      </w:pPr>
      <w:r w:rsidRPr="00DC53F2">
        <w:rPr>
          <w:rFonts w:cstheme="minorHAnsi"/>
          <w:sz w:val="24"/>
          <w:szCs w:val="24"/>
        </w:rPr>
        <w:t>Unieważniono prawo z rejestracji znaku towarowego w kształcie 3D w postaci ciastka delicje R-116211</w:t>
      </w:r>
      <w:r>
        <w:rPr>
          <w:rFonts w:cstheme="minorHAnsi"/>
          <w:sz w:val="24"/>
          <w:szCs w:val="24"/>
        </w:rPr>
        <w:t>.</w:t>
      </w:r>
    </w:p>
    <w:p w14:paraId="3A1C1FFF" w14:textId="4EA22FEF" w:rsidR="00DC53F2" w:rsidRPr="00046454" w:rsidRDefault="00DC53F2" w:rsidP="00DC53F2">
      <w:pPr>
        <w:spacing w:after="0" w:line="240" w:lineRule="auto"/>
        <w:rPr>
          <w:b/>
          <w:bCs/>
          <w:color w:val="2E74B5" w:themeColor="accent5" w:themeShade="BF"/>
          <w:kern w:val="0"/>
          <w:sz w:val="24"/>
          <w:szCs w:val="24"/>
          <w:lang w:val="en-US"/>
        </w:rPr>
      </w:pPr>
      <w:r w:rsidRPr="00046454">
        <w:rPr>
          <w:b/>
          <w:bCs/>
          <w:color w:val="2E74B5" w:themeColor="accent5" w:themeShade="BF"/>
          <w:kern w:val="0"/>
          <w:sz w:val="24"/>
          <w:szCs w:val="24"/>
          <w:lang w:val="en-US"/>
        </w:rPr>
        <w:t>Conclusion</w:t>
      </w:r>
      <w:r w:rsidR="00171978" w:rsidRPr="00046454">
        <w:rPr>
          <w:b/>
          <w:bCs/>
          <w:color w:val="2E74B5" w:themeColor="accent5" w:themeShade="BF"/>
          <w:kern w:val="0"/>
          <w:sz w:val="24"/>
          <w:szCs w:val="24"/>
          <w:lang w:val="en-US"/>
        </w:rPr>
        <w:t xml:space="preserve"> of</w:t>
      </w:r>
      <w:r w:rsidRPr="00046454">
        <w:rPr>
          <w:b/>
          <w:bCs/>
          <w:color w:val="2E74B5" w:themeColor="accent5" w:themeShade="BF"/>
          <w:kern w:val="0"/>
          <w:sz w:val="24"/>
          <w:szCs w:val="24"/>
          <w:lang w:val="en-US"/>
        </w:rPr>
        <w:t xml:space="preserve"> Editor's Note:</w:t>
      </w:r>
    </w:p>
    <w:p w14:paraId="1B9CD10E" w14:textId="0BCB289B" w:rsidR="001F61C2" w:rsidRPr="00046454" w:rsidRDefault="001F61C2" w:rsidP="001F61C2">
      <w:pPr>
        <w:spacing w:after="0" w:line="240" w:lineRule="auto"/>
        <w:rPr>
          <w:rFonts w:ascii="Raleway" w:hAnsi="Raleway"/>
          <w:color w:val="2E74B5" w:themeColor="accent5" w:themeShade="BF"/>
          <w:sz w:val="24"/>
          <w:szCs w:val="24"/>
          <w:shd w:val="clear" w:color="auto" w:fill="FFFFFF"/>
          <w:lang w:val="en-GB"/>
        </w:rPr>
      </w:pPr>
      <w:r w:rsidRPr="00046454">
        <w:rPr>
          <w:rFonts w:cstheme="minorHAnsi"/>
          <w:color w:val="2E74B5" w:themeColor="accent5" w:themeShade="BF"/>
          <w:sz w:val="24"/>
          <w:szCs w:val="24"/>
          <w:lang w:val="en-GB"/>
        </w:rPr>
        <w:t xml:space="preserve">The registration right regarding a 3D shape </w:t>
      </w:r>
      <w:proofErr w:type="gramStart"/>
      <w:r w:rsidRPr="00046454">
        <w:rPr>
          <w:rFonts w:cstheme="minorHAnsi"/>
          <w:color w:val="2E74B5" w:themeColor="accent5" w:themeShade="BF"/>
          <w:sz w:val="24"/>
          <w:szCs w:val="24"/>
          <w:lang w:val="en-GB"/>
        </w:rPr>
        <w:t>trade mark</w:t>
      </w:r>
      <w:proofErr w:type="gramEnd"/>
      <w:r w:rsidRPr="00046454">
        <w:rPr>
          <w:rFonts w:cstheme="minorHAnsi"/>
          <w:color w:val="2E74B5" w:themeColor="accent5" w:themeShade="BF"/>
          <w:sz w:val="24"/>
          <w:szCs w:val="24"/>
          <w:lang w:val="en-GB"/>
        </w:rPr>
        <w:t xml:space="preserve"> in the form of a </w:t>
      </w:r>
      <w:proofErr w:type="spellStart"/>
      <w:r w:rsidRPr="00046454">
        <w:rPr>
          <w:rFonts w:cstheme="minorHAnsi"/>
          <w:color w:val="2E74B5" w:themeColor="accent5" w:themeShade="BF"/>
          <w:sz w:val="24"/>
          <w:szCs w:val="24"/>
          <w:lang w:val="en-GB"/>
        </w:rPr>
        <w:t>delicje</w:t>
      </w:r>
      <w:proofErr w:type="spellEnd"/>
      <w:r w:rsidRPr="00046454">
        <w:rPr>
          <w:rFonts w:cstheme="minorHAnsi"/>
          <w:color w:val="2E74B5" w:themeColor="accent5" w:themeShade="BF"/>
          <w:sz w:val="24"/>
          <w:szCs w:val="24"/>
          <w:lang w:val="en-GB"/>
        </w:rPr>
        <w:t xml:space="preserve"> biscuit R-116211 has been invalidated</w:t>
      </w:r>
      <w:r w:rsidR="00046454">
        <w:rPr>
          <w:rFonts w:cstheme="minorHAnsi"/>
          <w:color w:val="2E74B5" w:themeColor="accent5" w:themeShade="BF"/>
          <w:sz w:val="24"/>
          <w:szCs w:val="24"/>
          <w:lang w:val="en-GB"/>
        </w:rPr>
        <w:t>.</w:t>
      </w:r>
      <w:r w:rsidRPr="00046454">
        <w:rPr>
          <w:rFonts w:ascii="Raleway" w:hAnsi="Raleway"/>
          <w:color w:val="2E74B5" w:themeColor="accent5" w:themeShade="BF"/>
          <w:sz w:val="24"/>
          <w:szCs w:val="24"/>
          <w:shd w:val="clear" w:color="auto" w:fill="FFFFFF"/>
          <w:lang w:val="en-GB"/>
        </w:rPr>
        <w:t xml:space="preserve"> </w:t>
      </w:r>
    </w:p>
    <w:p w14:paraId="4D7749C7" w14:textId="77777777" w:rsidR="001F61C2" w:rsidRPr="001F61C2" w:rsidRDefault="001F61C2" w:rsidP="00DC53F2">
      <w:pPr>
        <w:spacing w:after="0"/>
        <w:rPr>
          <w:sz w:val="14"/>
          <w:szCs w:val="14"/>
          <w:lang w:val="en-US"/>
        </w:rPr>
      </w:pPr>
    </w:p>
    <w:p w14:paraId="74564596" w14:textId="77777777" w:rsidR="001F61C2" w:rsidRDefault="001F61C2" w:rsidP="00046454">
      <w:pPr>
        <w:pStyle w:val="nrbrzegowy2"/>
        <w:numPr>
          <w:ilvl w:val="0"/>
          <w:numId w:val="66"/>
        </w:numPr>
        <w:ind w:left="0" w:hanging="851"/>
        <w:rPr>
          <w:shd w:val="clear" w:color="auto" w:fill="FFFFFF"/>
        </w:rPr>
      </w:pPr>
      <w:r w:rsidRPr="00792825">
        <w:rPr>
          <w:shd w:val="clear" w:color="auto" w:fill="FFFFFF"/>
        </w:rPr>
        <w:t>W wyroku NSA oddalono skargę kasacyjną od wyroku WSA. Również Naczelny Sąd Administracyjny potwierdził, że ciastko delicje nie może być chronione jako przestrzenny znak towarowy. Sporny znak towarowy stanowiący wierne odwzorowanie ciastka służy do oznaczania tylko i wyłącznie tych ciastek, gdyż w istocie nie mógłby służyć do oznaczania innych towarów i rodzajów pieczywa cukierniczego. Wyłączenie rejestracji takich oznaczeń jak odwzorowanie omawianego ciasteczka w jego pełnej formie, kształcie i kolorach odzwierciedla prawny cel, zgodnie z którym jednostki nie mogą używać rejestracji znaku w celu uzyskania lub przedłużenia wyłącznych praw w zakresie rozwiązań technicznych.</w:t>
      </w:r>
    </w:p>
    <w:p w14:paraId="2E843707" w14:textId="77777777" w:rsidR="001F61C2" w:rsidRPr="00046454" w:rsidRDefault="001F61C2" w:rsidP="00046454">
      <w:pPr>
        <w:pStyle w:val="nrbrzegowy2"/>
        <w:numPr>
          <w:ilvl w:val="0"/>
          <w:numId w:val="0"/>
        </w:numPr>
        <w:rPr>
          <w:rFonts w:cstheme="minorHAnsi"/>
          <w:color w:val="2E74B5" w:themeColor="accent5" w:themeShade="BF"/>
          <w:szCs w:val="24"/>
          <w:shd w:val="clear" w:color="auto" w:fill="FFFFFF"/>
          <w:lang w:val="en-GB"/>
        </w:rPr>
      </w:pPr>
      <w:r w:rsidRPr="00046454">
        <w:rPr>
          <w:rFonts w:cstheme="minorHAnsi"/>
          <w:color w:val="2E74B5" w:themeColor="accent5" w:themeShade="BF"/>
          <w:szCs w:val="24"/>
          <w:shd w:val="clear" w:color="auto" w:fill="FFFFFF"/>
          <w:lang w:val="en-GB"/>
        </w:rPr>
        <w:t xml:space="preserve">The Supreme Administrative Court’s (NSA) judgment dismissed the cassation appeal against the judgment of the Voivodeship Administrative Court. NSA also confirmed that the </w:t>
      </w:r>
      <w:proofErr w:type="spellStart"/>
      <w:r w:rsidRPr="00046454">
        <w:rPr>
          <w:rFonts w:cstheme="minorHAnsi"/>
          <w:color w:val="2E74B5" w:themeColor="accent5" w:themeShade="BF"/>
          <w:szCs w:val="24"/>
          <w:shd w:val="clear" w:color="auto" w:fill="FFFFFF"/>
          <w:lang w:val="en-GB"/>
        </w:rPr>
        <w:t>delicje</w:t>
      </w:r>
      <w:proofErr w:type="spellEnd"/>
      <w:r w:rsidRPr="00046454">
        <w:rPr>
          <w:rFonts w:cstheme="minorHAnsi"/>
          <w:color w:val="2E74B5" w:themeColor="accent5" w:themeShade="BF"/>
          <w:szCs w:val="24"/>
          <w:shd w:val="clear" w:color="auto" w:fill="FFFFFF"/>
          <w:lang w:val="en-GB"/>
        </w:rPr>
        <w:t xml:space="preserve"> biscuit cannot be protected as a 3D shape </w:t>
      </w:r>
      <w:proofErr w:type="gramStart"/>
      <w:r w:rsidRPr="00046454">
        <w:rPr>
          <w:rFonts w:cstheme="minorHAnsi"/>
          <w:color w:val="2E74B5" w:themeColor="accent5" w:themeShade="BF"/>
          <w:szCs w:val="24"/>
          <w:shd w:val="clear" w:color="auto" w:fill="FFFFFF"/>
          <w:lang w:val="en-GB"/>
        </w:rPr>
        <w:t>trade mark</w:t>
      </w:r>
      <w:proofErr w:type="gramEnd"/>
      <w:r w:rsidRPr="00046454">
        <w:rPr>
          <w:rFonts w:cstheme="minorHAnsi"/>
          <w:color w:val="2E74B5" w:themeColor="accent5" w:themeShade="BF"/>
          <w:szCs w:val="24"/>
          <w:shd w:val="clear" w:color="auto" w:fill="FFFFFF"/>
          <w:lang w:val="en-GB"/>
        </w:rPr>
        <w:t xml:space="preserve">. The disputed </w:t>
      </w:r>
      <w:proofErr w:type="gramStart"/>
      <w:r w:rsidRPr="00046454">
        <w:rPr>
          <w:rFonts w:cstheme="minorHAnsi"/>
          <w:color w:val="2E74B5" w:themeColor="accent5" w:themeShade="BF"/>
          <w:szCs w:val="24"/>
          <w:shd w:val="clear" w:color="auto" w:fill="FFFFFF"/>
          <w:lang w:val="en-GB"/>
        </w:rPr>
        <w:t>trade mark</w:t>
      </w:r>
      <w:proofErr w:type="gramEnd"/>
      <w:r w:rsidRPr="00046454">
        <w:rPr>
          <w:rFonts w:cstheme="minorHAnsi"/>
          <w:color w:val="2E74B5" w:themeColor="accent5" w:themeShade="BF"/>
          <w:szCs w:val="24"/>
          <w:shd w:val="clear" w:color="auto" w:fill="FFFFFF"/>
          <w:lang w:val="en-GB"/>
        </w:rPr>
        <w:t>, which is a faithful reproduction of a biscuit, serves to designate only these biscuits, as in fact it could not serve to designate other goods and types of confectionery bakery products. The exclusion of the registration of such trademarks as reproductions of the biscuit in question in its full form, shape and colours reflects the legal objective that individuals may not use the registration of a mark to obtain or renew exclusive rights in technical solutions.</w:t>
      </w:r>
    </w:p>
    <w:p w14:paraId="213FDFD0" w14:textId="77777777" w:rsidR="001F61C2" w:rsidRPr="001F61C2" w:rsidRDefault="001F61C2" w:rsidP="00046454">
      <w:pPr>
        <w:pStyle w:val="Akapitzlist"/>
        <w:ind w:left="0" w:hanging="851"/>
        <w:rPr>
          <w:sz w:val="10"/>
          <w:szCs w:val="10"/>
          <w:shd w:val="clear" w:color="auto" w:fill="FFFFFF"/>
          <w:lang w:val="en-US"/>
        </w:rPr>
      </w:pPr>
    </w:p>
    <w:p w14:paraId="18942394" w14:textId="77777777" w:rsidR="001F61C2" w:rsidRPr="0034262F" w:rsidRDefault="001F61C2" w:rsidP="00046454">
      <w:pPr>
        <w:pStyle w:val="nrbrzegowy2"/>
        <w:numPr>
          <w:ilvl w:val="0"/>
          <w:numId w:val="66"/>
        </w:numPr>
        <w:ind w:left="0" w:hanging="851"/>
        <w:rPr>
          <w:rFonts w:cstheme="minorHAnsi"/>
          <w:color w:val="0070C0"/>
          <w:szCs w:val="24"/>
          <w:shd w:val="clear" w:color="auto" w:fill="FFFFFF"/>
        </w:rPr>
      </w:pPr>
      <w:r w:rsidRPr="001F61C2">
        <w:rPr>
          <w:shd w:val="clear" w:color="auto" w:fill="FFFFFF"/>
        </w:rPr>
        <w:t xml:space="preserve">Szkoda tylko, że wyrok NSA nie został wydany szybciej, doszło bowiem do ogromnego bałaganu na rynku. Kilku przedsiębiorstwom zakazano produkcji ciastek delicje z uwagi na rejestrację znaku towarowego R.116211. Niektóre z tych przedsiębiorstw nie wytrzymały </w:t>
      </w:r>
      <w:r w:rsidRPr="001F61C2">
        <w:rPr>
          <w:shd w:val="clear" w:color="auto" w:fill="FFFFFF"/>
        </w:rPr>
        <w:lastRenderedPageBreak/>
        <w:t>eksperymentu ze sprawdzaniem, czy sędziowie sądów powszechnych w Polsce dysponują wystarczającą wiedzą na temat prawa własności intelektualnej.</w:t>
      </w:r>
    </w:p>
    <w:p w14:paraId="7B3812F4" w14:textId="34C8DB5C" w:rsidR="001F61C2" w:rsidRPr="00046454" w:rsidRDefault="001F61C2" w:rsidP="00046454">
      <w:pPr>
        <w:pStyle w:val="nrbrzegowy2"/>
        <w:numPr>
          <w:ilvl w:val="0"/>
          <w:numId w:val="0"/>
        </w:numPr>
        <w:rPr>
          <w:rFonts w:cstheme="minorHAnsi"/>
          <w:color w:val="2E74B5" w:themeColor="accent5" w:themeShade="BF"/>
          <w:szCs w:val="24"/>
          <w:shd w:val="clear" w:color="auto" w:fill="FFFFFF"/>
          <w:lang w:val="en-GB"/>
        </w:rPr>
      </w:pPr>
      <w:r w:rsidRPr="00046454">
        <w:rPr>
          <w:rFonts w:cstheme="minorHAnsi"/>
          <w:color w:val="2E74B5" w:themeColor="accent5" w:themeShade="BF"/>
          <w:szCs w:val="24"/>
          <w:shd w:val="clear" w:color="auto" w:fill="FFFFFF"/>
          <w:lang w:val="en-US"/>
        </w:rPr>
        <w:t xml:space="preserve">It is only a pity that the NSA judgment was not handed down sooner, as a huge mess has been created in the market. </w:t>
      </w:r>
      <w:r w:rsidRPr="00046454">
        <w:rPr>
          <w:rFonts w:cstheme="minorHAnsi"/>
          <w:color w:val="2E74B5" w:themeColor="accent5" w:themeShade="BF"/>
          <w:szCs w:val="24"/>
          <w:shd w:val="clear" w:color="auto" w:fill="FFFFFF"/>
          <w:lang w:val="en-GB"/>
        </w:rPr>
        <w:t xml:space="preserve">Several enterprises were banned from producing </w:t>
      </w:r>
      <w:proofErr w:type="spellStart"/>
      <w:r w:rsidRPr="00046454">
        <w:rPr>
          <w:rFonts w:cstheme="minorHAnsi"/>
          <w:color w:val="2E74B5" w:themeColor="accent5" w:themeShade="BF"/>
          <w:szCs w:val="24"/>
          <w:shd w:val="clear" w:color="auto" w:fill="FFFFFF"/>
          <w:lang w:val="en-GB"/>
        </w:rPr>
        <w:t>delicje</w:t>
      </w:r>
      <w:proofErr w:type="spellEnd"/>
      <w:r w:rsidRPr="00046454">
        <w:rPr>
          <w:rFonts w:cstheme="minorHAnsi"/>
          <w:color w:val="2E74B5" w:themeColor="accent5" w:themeShade="BF"/>
          <w:szCs w:val="24"/>
          <w:shd w:val="clear" w:color="auto" w:fill="FFFFFF"/>
          <w:lang w:val="en-GB"/>
        </w:rPr>
        <w:t xml:space="preserve"> biscuits because of the registration of the </w:t>
      </w:r>
      <w:proofErr w:type="gramStart"/>
      <w:r w:rsidRPr="00046454">
        <w:rPr>
          <w:rFonts w:cstheme="minorHAnsi"/>
          <w:color w:val="2E74B5" w:themeColor="accent5" w:themeShade="BF"/>
          <w:szCs w:val="24"/>
          <w:shd w:val="clear" w:color="auto" w:fill="FFFFFF"/>
          <w:lang w:val="en-GB"/>
        </w:rPr>
        <w:t>trade mark</w:t>
      </w:r>
      <w:proofErr w:type="gramEnd"/>
      <w:r w:rsidRPr="00046454">
        <w:rPr>
          <w:rFonts w:cstheme="minorHAnsi"/>
          <w:color w:val="2E74B5" w:themeColor="accent5" w:themeShade="BF"/>
          <w:szCs w:val="24"/>
          <w:shd w:val="clear" w:color="auto" w:fill="FFFFFF"/>
          <w:lang w:val="en-GB"/>
        </w:rPr>
        <w:t xml:space="preserve"> R.116211. Some of these enterprises did not stand up to the experiment of checking whether the judges of common courts in Poland have sufficient knowledge of intellectual property law.</w:t>
      </w:r>
    </w:p>
    <w:p w14:paraId="7B049E41" w14:textId="77777777" w:rsidR="001F61C2" w:rsidRPr="001F61C2" w:rsidRDefault="001F61C2" w:rsidP="00046454">
      <w:pPr>
        <w:pStyle w:val="nrbrzegowy2"/>
        <w:numPr>
          <w:ilvl w:val="0"/>
          <w:numId w:val="0"/>
        </w:numPr>
        <w:ind w:hanging="851"/>
        <w:rPr>
          <w:sz w:val="10"/>
          <w:szCs w:val="10"/>
          <w:shd w:val="clear" w:color="auto" w:fill="FFFFFF"/>
          <w:lang w:val="en-GB"/>
        </w:rPr>
      </w:pPr>
    </w:p>
    <w:p w14:paraId="2D832F15" w14:textId="77777777" w:rsidR="001F61C2" w:rsidRPr="001F61C2" w:rsidRDefault="001F61C2" w:rsidP="00046454">
      <w:pPr>
        <w:pStyle w:val="nrbrzegowy2"/>
        <w:ind w:left="0" w:hanging="851"/>
      </w:pPr>
      <w:r>
        <w:rPr>
          <w:shd w:val="clear" w:color="auto" w:fill="FFFFFF"/>
        </w:rPr>
        <w:t>REDAKCJA kwartalnika z</w:t>
      </w:r>
      <w:r w:rsidRPr="002428B7">
        <w:rPr>
          <w:shd w:val="clear" w:color="auto" w:fill="FFFFFF"/>
        </w:rPr>
        <w:t xml:space="preserve">aprasza do działu PUBLIKACJE, w którym opisano </w:t>
      </w:r>
      <w:r>
        <w:rPr>
          <w:shd w:val="clear" w:color="auto" w:fill="FFFFFF"/>
        </w:rPr>
        <w:t xml:space="preserve">także </w:t>
      </w:r>
      <w:r w:rsidRPr="002428B7">
        <w:rPr>
          <w:shd w:val="clear" w:color="auto" w:fill="FFFFFF"/>
        </w:rPr>
        <w:t xml:space="preserve">sukcesy i porażki polskich przedsiębiorców zajmujących się produkcją znanych od lat na świecie ciastek </w:t>
      </w:r>
      <w:proofErr w:type="spellStart"/>
      <w:r w:rsidRPr="002428B7">
        <w:rPr>
          <w:shd w:val="clear" w:color="auto" w:fill="FFFFFF"/>
        </w:rPr>
        <w:t>jaffa</w:t>
      </w:r>
      <w:proofErr w:type="spellEnd"/>
      <w:r w:rsidRPr="002428B7">
        <w:rPr>
          <w:shd w:val="clear" w:color="auto" w:fill="FFFFFF"/>
        </w:rPr>
        <w:t xml:space="preserve"> </w:t>
      </w:r>
      <w:proofErr w:type="spellStart"/>
      <w:r w:rsidRPr="002428B7">
        <w:rPr>
          <w:shd w:val="clear" w:color="auto" w:fill="FFFFFF"/>
        </w:rPr>
        <w:t>cakes</w:t>
      </w:r>
      <w:proofErr w:type="spellEnd"/>
      <w:r w:rsidRPr="002428B7">
        <w:rPr>
          <w:shd w:val="clear" w:color="auto" w:fill="FFFFFF"/>
        </w:rPr>
        <w:t xml:space="preserve"> nazywanych w Polsce – delicje.</w:t>
      </w:r>
    </w:p>
    <w:p w14:paraId="03B3DC6D" w14:textId="77777777" w:rsidR="001F61C2" w:rsidRPr="00046454" w:rsidRDefault="001F61C2" w:rsidP="00046454">
      <w:pPr>
        <w:pStyle w:val="nrbrzegowy2"/>
        <w:numPr>
          <w:ilvl w:val="0"/>
          <w:numId w:val="0"/>
        </w:numPr>
        <w:rPr>
          <w:color w:val="2E74B5" w:themeColor="accent5" w:themeShade="BF"/>
          <w:lang w:val="en-GB"/>
        </w:rPr>
      </w:pPr>
      <w:r w:rsidRPr="00046454">
        <w:rPr>
          <w:color w:val="2E74B5" w:themeColor="accent5" w:themeShade="BF"/>
          <w:shd w:val="clear" w:color="auto" w:fill="FFFFFF"/>
          <w:lang w:val="en-GB"/>
        </w:rPr>
        <w:t xml:space="preserve">We kindly invite you to our PUBLICATIONS section, which describes the successes and failures of Polish entrepreneurs involved in the production of the world-famous </w:t>
      </w:r>
      <w:proofErr w:type="spellStart"/>
      <w:r w:rsidRPr="00046454">
        <w:rPr>
          <w:color w:val="2E74B5" w:themeColor="accent5" w:themeShade="BF"/>
          <w:shd w:val="clear" w:color="auto" w:fill="FFFFFF"/>
          <w:lang w:val="en-GB"/>
        </w:rPr>
        <w:t>jaffa</w:t>
      </w:r>
      <w:proofErr w:type="spellEnd"/>
      <w:r w:rsidRPr="00046454">
        <w:rPr>
          <w:color w:val="2E74B5" w:themeColor="accent5" w:themeShade="BF"/>
          <w:shd w:val="clear" w:color="auto" w:fill="FFFFFF"/>
          <w:lang w:val="en-GB"/>
        </w:rPr>
        <w:t xml:space="preserve"> cakes known in Poland as </w:t>
      </w:r>
      <w:proofErr w:type="spellStart"/>
      <w:r w:rsidRPr="00046454">
        <w:rPr>
          <w:color w:val="2E74B5" w:themeColor="accent5" w:themeShade="BF"/>
          <w:shd w:val="clear" w:color="auto" w:fill="FFFFFF"/>
          <w:lang w:val="en-GB"/>
        </w:rPr>
        <w:t>delicje</w:t>
      </w:r>
      <w:proofErr w:type="spellEnd"/>
      <w:r w:rsidRPr="00046454">
        <w:rPr>
          <w:color w:val="2E74B5" w:themeColor="accent5" w:themeShade="BF"/>
          <w:shd w:val="clear" w:color="auto" w:fill="FFFFFF"/>
          <w:lang w:val="en-GB"/>
        </w:rPr>
        <w:t>.</w:t>
      </w:r>
    </w:p>
    <w:p w14:paraId="1CB21325" w14:textId="77777777" w:rsidR="001F61C2" w:rsidRPr="001F61C2" w:rsidRDefault="001F61C2" w:rsidP="001F61C2">
      <w:pPr>
        <w:spacing w:after="0"/>
        <w:rPr>
          <w:sz w:val="10"/>
          <w:szCs w:val="10"/>
          <w:lang w:val="en-US"/>
        </w:rPr>
      </w:pPr>
    </w:p>
    <w:p w14:paraId="77EE32B8" w14:textId="77777777" w:rsidR="00BD2A46" w:rsidRDefault="001F61C2" w:rsidP="001F61C2">
      <w:pPr>
        <w:spacing w:after="0"/>
        <w:rPr>
          <w:rFonts w:cstheme="minorHAnsi"/>
          <w:b/>
          <w:bCs/>
          <w:sz w:val="24"/>
          <w:szCs w:val="24"/>
        </w:rPr>
      </w:pPr>
      <w:r w:rsidRPr="002428B7">
        <w:rPr>
          <w:rFonts w:cstheme="minorHAnsi"/>
          <w:b/>
          <w:bCs/>
          <w:sz w:val="24"/>
          <w:szCs w:val="24"/>
        </w:rPr>
        <w:t xml:space="preserve">Miejsce publikacji: </w:t>
      </w:r>
    </w:p>
    <w:p w14:paraId="76953619" w14:textId="0B7C3026" w:rsidR="001F61C2" w:rsidRPr="00046454" w:rsidRDefault="00B82931" w:rsidP="001F61C2">
      <w:pPr>
        <w:spacing w:after="0"/>
        <w:rPr>
          <w:rFonts w:cstheme="minorHAnsi"/>
          <w:b/>
          <w:bCs/>
          <w:color w:val="2E74B5" w:themeColor="accent5" w:themeShade="BF"/>
          <w:sz w:val="24"/>
          <w:szCs w:val="24"/>
        </w:rPr>
      </w:pPr>
      <w:hyperlink r:id="rId140" w:history="1">
        <w:r w:rsidR="00BD2A46" w:rsidRPr="00046454">
          <w:rPr>
            <w:rStyle w:val="Hipercze"/>
            <w:rFonts w:cstheme="minorHAnsi"/>
            <w:color w:val="2E74B5" w:themeColor="accent5" w:themeShade="BF"/>
            <w:sz w:val="24"/>
            <w:szCs w:val="24"/>
          </w:rPr>
          <w:t>https://stowi.pl/pwp-art-315-nie-mozna-uzywac-rejestracji-znaku-w-postaci-ciastka-delicje-w-celu-uzyskania-lub-przedluzenia-wylacznych-praw-w-zakresie-rozwiazan-technicznych-wyrok-nsa/</w:t>
        </w:r>
      </w:hyperlink>
      <w:r w:rsidR="001F61C2" w:rsidRPr="00046454">
        <w:rPr>
          <w:rFonts w:cstheme="minorHAnsi"/>
          <w:b/>
          <w:bCs/>
          <w:color w:val="2E74B5" w:themeColor="accent5" w:themeShade="BF"/>
          <w:sz w:val="24"/>
          <w:szCs w:val="24"/>
        </w:rPr>
        <w:t xml:space="preserve"> </w:t>
      </w:r>
    </w:p>
    <w:p w14:paraId="525FC409" w14:textId="77777777" w:rsidR="001F61C2" w:rsidRPr="001F61C2" w:rsidRDefault="001F61C2" w:rsidP="0001114C">
      <w:pPr>
        <w:spacing w:after="0"/>
        <w:jc w:val="center"/>
        <w:rPr>
          <w:rFonts w:cstheme="minorHAnsi"/>
        </w:rPr>
      </w:pPr>
    </w:p>
    <w:p w14:paraId="5C8188C0" w14:textId="77777777" w:rsidR="00A0230B" w:rsidRPr="001F61C2" w:rsidRDefault="00A0230B" w:rsidP="00A0230B">
      <w:pPr>
        <w:rPr>
          <w:sz w:val="2"/>
          <w:szCs w:val="2"/>
        </w:rPr>
      </w:pPr>
    </w:p>
    <w:p w14:paraId="6931B486" w14:textId="77777777" w:rsidR="006606D1" w:rsidRPr="001F61C2" w:rsidRDefault="006606D1" w:rsidP="006606D1">
      <w:pPr>
        <w:spacing w:after="0"/>
        <w:rPr>
          <w:color w:val="0070C0"/>
          <w:sz w:val="2"/>
          <w:szCs w:val="2"/>
        </w:rPr>
      </w:pPr>
    </w:p>
    <w:p w14:paraId="00AB145A" w14:textId="77777777" w:rsidR="00CB51B3" w:rsidRPr="001F61C2" w:rsidRDefault="00CB51B3" w:rsidP="00CB51B3">
      <w:pPr>
        <w:spacing w:after="0"/>
        <w:ind w:firstLine="567"/>
        <w:rPr>
          <w:rFonts w:cstheme="minorHAnsi"/>
          <w:color w:val="0070C0"/>
          <w:sz w:val="24"/>
          <w:szCs w:val="24"/>
          <w:shd w:val="clear" w:color="auto" w:fill="FFFFFF"/>
        </w:rPr>
      </w:pPr>
    </w:p>
    <w:p w14:paraId="18DB95FE" w14:textId="77777777" w:rsidR="00CB51B3" w:rsidRPr="001F61C2" w:rsidRDefault="00CB51B3" w:rsidP="00CB51B3">
      <w:pPr>
        <w:spacing w:after="0"/>
        <w:ind w:firstLine="567"/>
        <w:rPr>
          <w:rFonts w:cstheme="minorHAnsi"/>
          <w:color w:val="0070C0"/>
          <w:sz w:val="24"/>
          <w:szCs w:val="24"/>
          <w:shd w:val="clear" w:color="auto" w:fill="FFFFFF"/>
        </w:rPr>
      </w:pPr>
    </w:p>
    <w:bookmarkEnd w:id="104"/>
    <w:p w14:paraId="2BF9F4CC" w14:textId="77777777" w:rsidR="00CB51B3" w:rsidRPr="001F61C2" w:rsidRDefault="00CB51B3" w:rsidP="00865DD7">
      <w:pPr>
        <w:rPr>
          <w:rFonts w:cstheme="minorHAnsi"/>
          <w:color w:val="0070C0"/>
        </w:rPr>
      </w:pPr>
    </w:p>
    <w:p w14:paraId="4C16B9B7" w14:textId="4ABAA199" w:rsidR="00A8398C" w:rsidRPr="001F61C2" w:rsidRDefault="00A8398C" w:rsidP="00161B68">
      <w:pPr>
        <w:rPr>
          <w:rFonts w:cstheme="minorHAnsi"/>
          <w:color w:val="0070C0"/>
        </w:rPr>
      </w:pPr>
    </w:p>
    <w:p w14:paraId="78081D66" w14:textId="1263E9D6" w:rsidR="00333A66" w:rsidRPr="001F61C2" w:rsidRDefault="00A8398C">
      <w:pPr>
        <w:rPr>
          <w:color w:val="70AD47" w:themeColor="accent6"/>
        </w:rPr>
      </w:pPr>
      <w:r w:rsidRPr="001F61C2">
        <w:rPr>
          <w:color w:val="70AD47" w:themeColor="accent6"/>
        </w:rPr>
        <w:br w:type="page"/>
      </w:r>
    </w:p>
    <w:p w14:paraId="04F7EE31" w14:textId="77777777" w:rsidR="00333A66" w:rsidRPr="001F61C2" w:rsidRDefault="00333A66">
      <w:pPr>
        <w:rPr>
          <w:color w:val="70AD47" w:themeColor="accent6"/>
        </w:rPr>
        <w:sectPr w:rsidR="00333A66" w:rsidRPr="001F61C2" w:rsidSect="00F72864">
          <w:pgSz w:w="11906" w:h="16838" w:code="9"/>
          <w:pgMar w:top="1417" w:right="1417" w:bottom="1417" w:left="1417" w:header="0" w:footer="0" w:gutter="0"/>
          <w:cols w:space="708"/>
          <w:docGrid w:linePitch="360"/>
        </w:sectPr>
      </w:pPr>
    </w:p>
    <w:p w14:paraId="08B961BC" w14:textId="167B7962" w:rsidR="00626EE1" w:rsidRPr="001F61C2" w:rsidRDefault="00A31235" w:rsidP="00626EE1">
      <w:pPr>
        <w:rPr>
          <w:b/>
        </w:rPr>
      </w:pPr>
      <w:r>
        <w:rPr>
          <w:noProof/>
          <w:lang w:eastAsia="pl-PL"/>
        </w:rPr>
        <w:lastRenderedPageBreak/>
        <mc:AlternateContent>
          <mc:Choice Requires="wps">
            <w:drawing>
              <wp:anchor distT="0" distB="0" distL="114300" distR="114300" simplePos="0" relativeHeight="252177408" behindDoc="1" locked="0" layoutInCell="1" allowOverlap="1" wp14:anchorId="476A8CCB" wp14:editId="348C9841">
                <wp:simplePos x="0" y="0"/>
                <wp:positionH relativeFrom="column">
                  <wp:posOffset>-1153292</wp:posOffset>
                </wp:positionH>
                <wp:positionV relativeFrom="paragraph">
                  <wp:posOffset>-990330</wp:posOffset>
                </wp:positionV>
                <wp:extent cx="8271794" cy="10908558"/>
                <wp:effectExtent l="0" t="0" r="15240" b="26670"/>
                <wp:wrapNone/>
                <wp:docPr id="1251470859" name="Prostokąt 1251470859"/>
                <wp:cNvGraphicFramePr/>
                <a:graphic xmlns:a="http://schemas.openxmlformats.org/drawingml/2006/main">
                  <a:graphicData uri="http://schemas.microsoft.com/office/word/2010/wordprocessingShape">
                    <wps:wsp>
                      <wps:cNvSpPr/>
                      <wps:spPr>
                        <a:xfrm>
                          <a:off x="0" y="0"/>
                          <a:ext cx="8271794" cy="10908558"/>
                        </a:xfrm>
                        <a:prstGeom prst="rect">
                          <a:avLst/>
                        </a:prstGeom>
                        <a:solidFill>
                          <a:srgbClr val="1E2D4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574AA" id="Prostokąt 1251470859" o:spid="_x0000_s1026" style="position:absolute;margin-left:-90.8pt;margin-top:-78pt;width:651.3pt;height:858.95pt;z-index:-2511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" fillcolor="#1e2d40" strokecolor="#1f3763 [1604]" strokeweight="1pt"/>
            </w:pict>
          </mc:Fallback>
        </mc:AlternateContent>
      </w:r>
    </w:p>
    <w:p w14:paraId="752D2147" w14:textId="0471A2B4" w:rsidR="00626EE1" w:rsidRPr="001F61C2" w:rsidRDefault="00626EE1" w:rsidP="00626EE1">
      <w:pPr>
        <w:rPr>
          <w:rFonts w:cstheme="minorHAnsi"/>
          <w:shd w:val="clear" w:color="auto" w:fill="FFFFFF"/>
        </w:rPr>
      </w:pPr>
    </w:p>
    <w:p w14:paraId="5F628C8A" w14:textId="1A2D4AEB" w:rsidR="00626EE1" w:rsidRPr="001F61C2" w:rsidRDefault="00626EE1" w:rsidP="00626EE1">
      <w:pPr>
        <w:rPr>
          <w:rFonts w:cstheme="minorHAnsi"/>
          <w:shd w:val="clear" w:color="auto" w:fill="FFFFFF"/>
        </w:rPr>
      </w:pPr>
    </w:p>
    <w:p w14:paraId="62B66BC3" w14:textId="77777777" w:rsidR="00626EE1" w:rsidRPr="001F61C2" w:rsidRDefault="00626EE1" w:rsidP="00626EE1">
      <w:pPr>
        <w:pStyle w:val="Nagwek1"/>
      </w:pPr>
    </w:p>
    <w:p w14:paraId="0B510BAF" w14:textId="77777777" w:rsidR="00626EE1" w:rsidRPr="001F61C2" w:rsidRDefault="00626EE1" w:rsidP="00626EE1">
      <w:pPr>
        <w:pStyle w:val="Nagwek1"/>
      </w:pPr>
    </w:p>
    <w:p w14:paraId="3F39E502" w14:textId="77777777" w:rsidR="00626EE1" w:rsidRPr="001F61C2" w:rsidRDefault="00626EE1" w:rsidP="00626EE1">
      <w:pPr>
        <w:pStyle w:val="Nagwek1"/>
      </w:pPr>
    </w:p>
    <w:p w14:paraId="31D1440F" w14:textId="77777777" w:rsidR="00504511" w:rsidRPr="001F61C2" w:rsidRDefault="00504511" w:rsidP="00626EE1">
      <w:pPr>
        <w:pStyle w:val="Nagwek1"/>
      </w:pPr>
      <w:bookmarkStart w:id="112" w:name="_Toc165709446"/>
    </w:p>
    <w:p w14:paraId="5FE1B04B" w14:textId="3436B52D" w:rsidR="00626EE1" w:rsidRPr="00626EE1" w:rsidRDefault="00626EE1" w:rsidP="00626EE1">
      <w:pPr>
        <w:pStyle w:val="Nagwek1"/>
        <w:sectPr w:rsidR="00626EE1" w:rsidRPr="00626EE1" w:rsidSect="00F72864">
          <w:pgSz w:w="11906" w:h="16838" w:code="9"/>
          <w:pgMar w:top="1417" w:right="1417" w:bottom="1417" w:left="1417" w:header="0" w:footer="0" w:gutter="0"/>
          <w:cols w:space="708"/>
          <w:docGrid w:linePitch="360"/>
        </w:sectPr>
      </w:pPr>
      <w:bookmarkStart w:id="113" w:name="_Toc170117988"/>
      <w:r w:rsidRPr="00626EE1">
        <w:t>PUBLIKACJE</w:t>
      </w:r>
      <w:bookmarkEnd w:id="112"/>
      <w:bookmarkEnd w:id="113"/>
    </w:p>
    <w:p w14:paraId="2B156C92" w14:textId="531BC359" w:rsidR="0020574F" w:rsidRPr="00004768" w:rsidRDefault="00004768" w:rsidP="0020574F">
      <w:pPr>
        <w:spacing w:after="0"/>
        <w:rPr>
          <w:rStyle w:val="Nagwek2Znak"/>
        </w:rPr>
      </w:pPr>
      <w:r>
        <w:rPr>
          <w:rStyle w:val="Nagwek2Znak"/>
        </w:rPr>
        <w:lastRenderedPageBreak/>
        <w:br/>
      </w:r>
      <w:r w:rsidR="0020574F" w:rsidRPr="00004768">
        <w:rPr>
          <w:rStyle w:val="Nagwek2Znak"/>
          <w:noProof/>
          <w:lang w:eastAsia="pl-PL"/>
        </w:rPr>
        <w:drawing>
          <wp:anchor distT="0" distB="0" distL="114300" distR="114300" simplePos="0" relativeHeight="251993088" behindDoc="0" locked="0" layoutInCell="1" allowOverlap="1" wp14:anchorId="259F371C" wp14:editId="1D3D6FF9">
            <wp:simplePos x="0" y="0"/>
            <wp:positionH relativeFrom="column">
              <wp:posOffset>-24765</wp:posOffset>
            </wp:positionH>
            <wp:positionV relativeFrom="paragraph">
              <wp:posOffset>0</wp:posOffset>
            </wp:positionV>
            <wp:extent cx="1980000" cy="1080000"/>
            <wp:effectExtent l="0" t="0" r="1270" b="6350"/>
            <wp:wrapThrough wrapText="bothSides">
              <wp:wrapPolygon edited="0">
                <wp:start x="0" y="0"/>
                <wp:lineTo x="0" y="21346"/>
                <wp:lineTo x="21406" y="21346"/>
                <wp:lineTo x="21406" y="0"/>
                <wp:lineTo x="0" y="0"/>
              </wp:wrapPolygon>
            </wp:wrapThrough>
            <wp:docPr id="240138641" name="Obraz 9" descr="Obraz zawierający wyroby z metalu, łańcuch, kluczyki, w pomieszczeniu&#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138641" name="Obraz 9" descr="Obraz zawierający wyroby z metalu, łańcuch, kluczyki, w pomieszczeniu&#10;&#10;Opis wygenerowany automatyczni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74F" w:rsidRPr="00004768">
        <w:rPr>
          <w:rStyle w:val="Nagwek2Znak"/>
          <w:noProof/>
          <w:lang w:eastAsia="pl-PL"/>
        </w:rPr>
        <mc:AlternateContent>
          <mc:Choice Requires="wps">
            <w:drawing>
              <wp:anchor distT="0" distB="0" distL="114300" distR="114300" simplePos="0" relativeHeight="251992064" behindDoc="0" locked="0" layoutInCell="1" allowOverlap="1" wp14:anchorId="4C4EE130" wp14:editId="539509D5">
                <wp:simplePos x="0" y="0"/>
                <wp:positionH relativeFrom="margin">
                  <wp:posOffset>-98755</wp:posOffset>
                </wp:positionH>
                <wp:positionV relativeFrom="paragraph">
                  <wp:posOffset>-383540</wp:posOffset>
                </wp:positionV>
                <wp:extent cx="527050" cy="372745"/>
                <wp:effectExtent l="0" t="0" r="6350" b="8255"/>
                <wp:wrapNone/>
                <wp:docPr id="1763336851"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325CE85B" w14:textId="0D824D10" w:rsidR="00541DD6" w:rsidRPr="00142068" w:rsidRDefault="00CC6551" w:rsidP="00C23347">
                            <w:pPr>
                              <w:pStyle w:val="NumeracjaRozdzial"/>
                            </w:pPr>
                            <w:r>
                              <w:t>1</w:t>
                            </w:r>
                            <w:r w:rsidR="00541DD6" w:rsidRPr="00142068">
                              <w:t>.</w:t>
                            </w:r>
                          </w:p>
                          <w:p w14:paraId="314AA8BA" w14:textId="77777777" w:rsidR="00541DD6" w:rsidRDefault="00541DD6" w:rsidP="002057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4EE130" id="_x0000_s1044" type="#_x0000_t202" style="position:absolute;margin-left:-7.8pt;margin-top:-30.2pt;width:41.5pt;height:29.35pt;z-index:251992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OPth1C8CAABbBAAADgAAAAAAAAAAAAAAAAAu&#10;AgAAZHJzL2Uyb0RvYy54bWxQSwECLQAUAAYACAAAACEAokroqeEAAAAJAQAADwAAAAAAAAAAAAAA&#10;AACJBAAAZHJzL2Rvd25yZXYueG1sUEsFBgAAAAAEAAQA8wAAAJcFAAAAAA==&#10;" fillcolor="white [3201]" stroked="f" strokeweight=".5pt">
                <v:textbox>
                  <w:txbxContent>
                    <w:p w14:paraId="325CE85B" w14:textId="0D824D10" w:rsidR="00541DD6" w:rsidRPr="00142068" w:rsidRDefault="00CC6551" w:rsidP="00C23347">
                      <w:pPr>
                        <w:pStyle w:val="NumeracjaRozdzial"/>
                      </w:pPr>
                      <w:r>
                        <w:t>1</w:t>
                      </w:r>
                      <w:r w:rsidR="00541DD6" w:rsidRPr="00142068">
                        <w:t>.</w:t>
                      </w:r>
                    </w:p>
                    <w:p w14:paraId="314AA8BA" w14:textId="77777777" w:rsidR="00541DD6" w:rsidRDefault="00541DD6" w:rsidP="0020574F"/>
                  </w:txbxContent>
                </v:textbox>
                <w10:wrap anchorx="margin"/>
              </v:shape>
            </w:pict>
          </mc:Fallback>
        </mc:AlternateContent>
      </w:r>
      <w:bookmarkStart w:id="114" w:name="_Toc165709453"/>
      <w:bookmarkStart w:id="115" w:name="_Toc170117989"/>
      <w:r w:rsidR="0020574F" w:rsidRPr="00004768">
        <w:rPr>
          <w:rStyle w:val="Nagwek2Znak"/>
        </w:rPr>
        <w:t xml:space="preserve">UD263 </w:t>
      </w:r>
      <w:r w:rsidR="004D1B53">
        <w:rPr>
          <w:rStyle w:val="Nagwek2Znak"/>
        </w:rPr>
        <w:t>-</w:t>
      </w:r>
      <w:r w:rsidR="0020574F" w:rsidRPr="00004768">
        <w:rPr>
          <w:rStyle w:val="Nagwek2Znak"/>
        </w:rPr>
        <w:t xml:space="preserve"> projekt, który miał w PL zablokowa</w:t>
      </w:r>
      <w:r w:rsidR="00784B97" w:rsidRPr="00004768">
        <w:rPr>
          <w:rStyle w:val="Nagwek2Znak"/>
        </w:rPr>
        <w:t>ć innowacyjność</w:t>
      </w:r>
      <w:bookmarkEnd w:id="114"/>
      <w:bookmarkEnd w:id="115"/>
    </w:p>
    <w:p w14:paraId="4D6B8F15" w14:textId="77777777" w:rsidR="0020574F" w:rsidRPr="00EC4F25" w:rsidRDefault="0020574F" w:rsidP="001F7A1E">
      <w:pPr>
        <w:spacing w:after="0" w:line="240" w:lineRule="auto"/>
        <w:jc w:val="center"/>
        <w:rPr>
          <w:rFonts w:cstheme="minorHAnsi"/>
          <w:b/>
          <w:bCs/>
          <w:lang w:eastAsia="pl-PL"/>
        </w:rPr>
      </w:pPr>
    </w:p>
    <w:p w14:paraId="6421FF2F" w14:textId="3D23F9A7" w:rsidR="001F7A1E" w:rsidRPr="00EC4F25" w:rsidRDefault="001F7A1E" w:rsidP="001F7A1E">
      <w:pPr>
        <w:spacing w:after="0" w:line="240" w:lineRule="auto"/>
        <w:jc w:val="center"/>
        <w:rPr>
          <w:rFonts w:cstheme="minorHAnsi"/>
          <w:b/>
          <w:bCs/>
          <w:lang w:eastAsia="pl-PL"/>
        </w:rPr>
      </w:pPr>
    </w:p>
    <w:p w14:paraId="074792C8" w14:textId="60C7D2A9" w:rsidR="001F7A1E" w:rsidRPr="00EC4F25" w:rsidRDefault="001F7A1E" w:rsidP="001F7A1E">
      <w:pPr>
        <w:spacing w:after="0"/>
        <w:rPr>
          <w:b/>
          <w:bCs/>
          <w:sz w:val="26"/>
          <w:szCs w:val="26"/>
        </w:rPr>
      </w:pPr>
    </w:p>
    <w:tbl>
      <w:tblPr>
        <w:tblStyle w:val="Tabela-Siatka"/>
        <w:tblW w:w="97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556"/>
        <w:gridCol w:w="920"/>
      </w:tblGrid>
      <w:tr w:rsidR="004B308F" w:rsidRPr="002969DE" w14:paraId="162CCCE5" w14:textId="77777777" w:rsidTr="00004768">
        <w:trPr>
          <w:gridAfter w:val="1"/>
          <w:wAfter w:w="920" w:type="dxa"/>
        </w:trPr>
        <w:tc>
          <w:tcPr>
            <w:tcW w:w="1276" w:type="dxa"/>
          </w:tcPr>
          <w:p w14:paraId="24E8C862" w14:textId="77777777" w:rsidR="004B308F" w:rsidRPr="002969DE" w:rsidRDefault="004B308F" w:rsidP="005027DA">
            <w:pPr>
              <w:rPr>
                <w:rFonts w:cstheme="minorHAnsi"/>
                <w:b/>
                <w:bCs/>
                <w:noProof/>
                <w:sz w:val="22"/>
                <w:szCs w:val="22"/>
              </w:rPr>
            </w:pPr>
          </w:p>
        </w:tc>
        <w:tc>
          <w:tcPr>
            <w:tcW w:w="7556" w:type="dxa"/>
          </w:tcPr>
          <w:p w14:paraId="115C1F63" w14:textId="77777777" w:rsidR="004B308F" w:rsidRPr="002969DE" w:rsidRDefault="004B308F" w:rsidP="005027DA">
            <w:pPr>
              <w:rPr>
                <w:rFonts w:asciiTheme="minorHAnsi" w:hAnsiTheme="minorHAnsi" w:cstheme="minorHAnsi"/>
                <w:b/>
                <w:bCs/>
                <w:color w:val="000000"/>
                <w:sz w:val="22"/>
                <w:szCs w:val="22"/>
              </w:rPr>
            </w:pPr>
            <w:r w:rsidRPr="002969DE">
              <w:rPr>
                <w:rFonts w:asciiTheme="minorHAnsi" w:hAnsiTheme="minorHAnsi" w:cstheme="minorHAnsi"/>
                <w:b/>
                <w:bCs/>
                <w:color w:val="000000"/>
                <w:sz w:val="22"/>
                <w:szCs w:val="22"/>
              </w:rPr>
              <w:t>AUTORZY:</w:t>
            </w:r>
          </w:p>
        </w:tc>
      </w:tr>
      <w:tr w:rsidR="004B308F" w:rsidRPr="001D7639" w14:paraId="141D260E" w14:textId="77777777" w:rsidTr="00004768">
        <w:tc>
          <w:tcPr>
            <w:tcW w:w="1276" w:type="dxa"/>
          </w:tcPr>
          <w:p w14:paraId="4FBD1BF2" w14:textId="77777777" w:rsidR="004B308F" w:rsidRPr="002969DE" w:rsidRDefault="004B308F" w:rsidP="005027DA">
            <w:pPr>
              <w:rPr>
                <w:rFonts w:cstheme="minorHAnsi"/>
                <w:b/>
                <w:bCs/>
                <w:color w:val="000000"/>
                <w:sz w:val="22"/>
                <w:szCs w:val="22"/>
              </w:rPr>
            </w:pPr>
          </w:p>
          <w:p w14:paraId="24E5F9F1" w14:textId="77777777" w:rsidR="004B308F" w:rsidRPr="002969DE" w:rsidRDefault="004B308F" w:rsidP="005027DA">
            <w:pPr>
              <w:rPr>
                <w:rFonts w:cstheme="minorHAnsi"/>
                <w:b/>
                <w:bCs/>
                <w:color w:val="000000"/>
                <w:sz w:val="22"/>
                <w:szCs w:val="22"/>
              </w:rPr>
            </w:pPr>
            <w:r w:rsidRPr="002969DE">
              <w:rPr>
                <w:noProof/>
              </w:rPr>
              <w:drawing>
                <wp:inline distT="0" distB="0" distL="0" distR="0" wp14:anchorId="4009CA6F" wp14:editId="29C70201">
                  <wp:extent cx="662400" cy="900000"/>
                  <wp:effectExtent l="0" t="0" r="4445" b="0"/>
                  <wp:docPr id="846556268"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56268"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gridSpan w:val="2"/>
          </w:tcPr>
          <w:p w14:paraId="25B26307" w14:textId="77777777" w:rsidR="004B308F" w:rsidRPr="002969DE" w:rsidRDefault="004B308F" w:rsidP="005027DA">
            <w:pPr>
              <w:rPr>
                <w:rFonts w:asciiTheme="minorHAnsi" w:hAnsiTheme="minorHAnsi" w:cstheme="minorHAnsi"/>
                <w:bCs/>
                <w:color w:val="000000"/>
                <w:sz w:val="22"/>
                <w:szCs w:val="22"/>
              </w:rPr>
            </w:pPr>
            <w:r w:rsidRPr="002969DE">
              <w:rPr>
                <w:rFonts w:asciiTheme="minorHAnsi" w:hAnsiTheme="minorHAnsi" w:cstheme="minorHAnsi"/>
                <w:bCs/>
                <w:color w:val="000000"/>
                <w:sz w:val="22"/>
                <w:szCs w:val="22"/>
              </w:rPr>
              <w:t>Marek BESLER</w:t>
            </w:r>
          </w:p>
          <w:p w14:paraId="42A02B30" w14:textId="15A5ADBA" w:rsidR="007A5198" w:rsidRPr="007A5198" w:rsidRDefault="007A5198" w:rsidP="001F6BE3">
            <w:pPr>
              <w:pStyle w:val="Akapitzlist"/>
              <w:numPr>
                <w:ilvl w:val="0"/>
                <w:numId w:val="47"/>
              </w:numPr>
              <w:ind w:left="320" w:hanging="334"/>
              <w:rPr>
                <w:rFonts w:eastAsia="Times New Roman" w:cstheme="minorHAnsi"/>
                <w:bCs/>
                <w:color w:val="000000"/>
                <w:sz w:val="26"/>
                <w:szCs w:val="26"/>
              </w:rPr>
            </w:pPr>
            <w:r w:rsidRPr="007A5198">
              <w:rPr>
                <w:rFonts w:eastAsia="Times New Roman" w:cstheme="minorHAnsi"/>
                <w:bCs/>
                <w:color w:val="000000"/>
                <w:sz w:val="24"/>
                <w:szCs w:val="24"/>
              </w:rPr>
              <w:t>współorzekający w Komisji Odwoławczej przy Urzędzie Patentowym w sprawach własności przemysłowej, składom której przewodniczyli sędziowie Sądu Najwyższego, w latach 1979 -2001</w:t>
            </w:r>
          </w:p>
          <w:p w14:paraId="478DBA2A" w14:textId="31D48FDF" w:rsidR="004B308F" w:rsidRPr="002969DE" w:rsidRDefault="004B308F" w:rsidP="001F6BE3">
            <w:pPr>
              <w:pStyle w:val="Akapitzlist"/>
              <w:numPr>
                <w:ilvl w:val="0"/>
                <w:numId w:val="47"/>
              </w:numPr>
              <w:ind w:left="320" w:hanging="334"/>
              <w:rPr>
                <w:rFonts w:eastAsia="Times New Roman" w:cstheme="minorHAnsi"/>
                <w:bCs/>
                <w:color w:val="000000"/>
                <w:sz w:val="22"/>
                <w:szCs w:val="22"/>
              </w:rPr>
            </w:pPr>
            <w:r w:rsidRPr="002969DE">
              <w:rPr>
                <w:rFonts w:eastAsia="Times New Roman" w:cstheme="minorHAnsi"/>
                <w:bCs/>
                <w:color w:val="000000"/>
                <w:sz w:val="22"/>
                <w:szCs w:val="22"/>
              </w:rPr>
              <w:t>rzecznik patentowy nr 1571</w:t>
            </w:r>
          </w:p>
          <w:p w14:paraId="232BC70F" w14:textId="77777777" w:rsidR="004B308F" w:rsidRPr="002969DE" w:rsidRDefault="004B308F" w:rsidP="001F6BE3">
            <w:pPr>
              <w:pStyle w:val="Akapitzlist"/>
              <w:numPr>
                <w:ilvl w:val="0"/>
                <w:numId w:val="47"/>
              </w:numPr>
              <w:ind w:left="320" w:hanging="334"/>
              <w:rPr>
                <w:rFonts w:eastAsia="Times New Roman" w:cstheme="minorHAnsi"/>
                <w:bCs/>
                <w:color w:val="000000"/>
                <w:sz w:val="22"/>
                <w:szCs w:val="22"/>
              </w:rPr>
            </w:pPr>
            <w:r w:rsidRPr="002969DE">
              <w:rPr>
                <w:rFonts w:eastAsia="Times New Roman" w:cstheme="minorHAnsi"/>
                <w:bCs/>
                <w:color w:val="000000"/>
                <w:sz w:val="22"/>
                <w:szCs w:val="22"/>
              </w:rPr>
              <w:t>profesjonalny pełnomocnik przed EUIPO (</w:t>
            </w:r>
            <w:r w:rsidRPr="002969DE">
              <w:rPr>
                <w:rFonts w:eastAsia="Times New Roman" w:cstheme="minorHAnsi"/>
                <w:bCs/>
                <w:i/>
                <w:color w:val="000000"/>
                <w:sz w:val="22"/>
                <w:szCs w:val="22"/>
              </w:rPr>
              <w:t>European Union Intellectual Property Office</w:t>
            </w:r>
            <w:r w:rsidRPr="002969DE">
              <w:rPr>
                <w:rFonts w:eastAsia="Times New Roman" w:cstheme="minorHAnsi"/>
                <w:bCs/>
                <w:color w:val="000000"/>
                <w:sz w:val="22"/>
                <w:szCs w:val="22"/>
              </w:rPr>
              <w:t xml:space="preserve"> – Urząd Unii Europejskiej ds. Własności Intelektualnej), nr 27177</w:t>
            </w:r>
          </w:p>
          <w:p w14:paraId="61805035" w14:textId="77777777" w:rsidR="004B308F" w:rsidRPr="002969DE" w:rsidRDefault="004B308F" w:rsidP="001F6BE3">
            <w:pPr>
              <w:pStyle w:val="Akapitzlist"/>
              <w:numPr>
                <w:ilvl w:val="0"/>
                <w:numId w:val="47"/>
              </w:numPr>
              <w:ind w:left="320" w:hanging="334"/>
              <w:rPr>
                <w:rFonts w:eastAsia="Times New Roman" w:cstheme="minorHAnsi"/>
                <w:bCs/>
                <w:color w:val="000000"/>
                <w:sz w:val="22"/>
                <w:szCs w:val="22"/>
              </w:rPr>
            </w:pPr>
            <w:r w:rsidRPr="002969DE">
              <w:rPr>
                <w:rFonts w:eastAsia="Times New Roman" w:cstheme="minorHAnsi"/>
                <w:bCs/>
                <w:color w:val="000000"/>
                <w:sz w:val="22"/>
                <w:szCs w:val="22"/>
              </w:rPr>
              <w:t>Europejski Rzecznik Patentowy nr 138820</w:t>
            </w:r>
          </w:p>
          <w:p w14:paraId="1291DF38" w14:textId="77777777" w:rsidR="004B308F" w:rsidRPr="002969DE" w:rsidRDefault="004B308F" w:rsidP="001F6BE3">
            <w:pPr>
              <w:pStyle w:val="Akapitzlist"/>
              <w:numPr>
                <w:ilvl w:val="0"/>
                <w:numId w:val="47"/>
              </w:numPr>
              <w:ind w:left="320" w:hanging="334"/>
              <w:rPr>
                <w:rFonts w:eastAsia="Times New Roman" w:cstheme="minorHAnsi"/>
                <w:bCs/>
                <w:color w:val="000000"/>
                <w:sz w:val="22"/>
                <w:szCs w:val="22"/>
              </w:rPr>
            </w:pPr>
            <w:r w:rsidRPr="002969DE">
              <w:rPr>
                <w:rFonts w:eastAsia="Times New Roman" w:cstheme="minorHAnsi"/>
                <w:bCs/>
                <w:color w:val="000000"/>
                <w:sz w:val="22"/>
                <w:szCs w:val="22"/>
              </w:rPr>
              <w:t>Prezes Polskiej Izby Rzeczników Patentowych w latach 2002-2005</w:t>
            </w:r>
          </w:p>
          <w:p w14:paraId="012D1248" w14:textId="77777777" w:rsidR="004B308F" w:rsidRPr="002969DE" w:rsidRDefault="004B308F" w:rsidP="001F6BE3">
            <w:pPr>
              <w:pStyle w:val="Akapitzlist"/>
              <w:numPr>
                <w:ilvl w:val="0"/>
                <w:numId w:val="47"/>
              </w:numPr>
              <w:ind w:left="320" w:hanging="334"/>
              <w:rPr>
                <w:rFonts w:eastAsia="Times New Roman" w:cstheme="minorHAnsi"/>
                <w:bCs/>
                <w:color w:val="000000"/>
                <w:sz w:val="22"/>
                <w:szCs w:val="22"/>
              </w:rPr>
            </w:pPr>
            <w:r w:rsidRPr="002969DE">
              <w:rPr>
                <w:rFonts w:eastAsia="Times New Roman" w:cstheme="minorHAnsi"/>
                <w:bCs/>
                <w:color w:val="000000"/>
                <w:sz w:val="22"/>
                <w:szCs w:val="22"/>
              </w:rPr>
              <w:t>Wiceprezes Zarządu StoWI od 2023 r.</w:t>
            </w:r>
          </w:p>
          <w:p w14:paraId="39230AB4" w14:textId="701D04CA" w:rsidR="004B308F" w:rsidRPr="002969DE" w:rsidRDefault="004B308F" w:rsidP="001F6BE3">
            <w:pPr>
              <w:pStyle w:val="Akapitzlist"/>
              <w:numPr>
                <w:ilvl w:val="0"/>
                <w:numId w:val="47"/>
              </w:numPr>
              <w:ind w:left="320" w:hanging="334"/>
              <w:rPr>
                <w:rFonts w:eastAsia="Times New Roman" w:cstheme="minorHAnsi"/>
                <w:bCs/>
                <w:color w:val="000000"/>
                <w:sz w:val="22"/>
                <w:szCs w:val="22"/>
              </w:rPr>
            </w:pPr>
            <w:r w:rsidRPr="002969DE">
              <w:rPr>
                <w:rFonts w:eastAsia="Times New Roman" w:cstheme="minorHAnsi"/>
                <w:bCs/>
                <w:color w:val="000000"/>
                <w:sz w:val="22"/>
                <w:szCs w:val="22"/>
              </w:rPr>
              <w:t>Redaktor naczelny Kwartalnika „THINK-TANK WSZY</w:t>
            </w:r>
            <w:r w:rsidR="00670256" w:rsidRPr="002969DE">
              <w:rPr>
                <w:rFonts w:eastAsia="Times New Roman" w:cstheme="minorHAnsi"/>
                <w:bCs/>
                <w:color w:val="000000"/>
                <w:sz w:val="22"/>
                <w:szCs w:val="22"/>
              </w:rPr>
              <w:t>S</w:t>
            </w:r>
            <w:r w:rsidRPr="002969DE">
              <w:rPr>
                <w:rFonts w:eastAsia="Times New Roman" w:cstheme="minorHAnsi"/>
                <w:bCs/>
                <w:color w:val="000000"/>
                <w:sz w:val="22"/>
                <w:szCs w:val="22"/>
              </w:rPr>
              <w:t>TKO o IP w PL” od listopada 2023 r.</w:t>
            </w:r>
          </w:p>
          <w:p w14:paraId="105E7E3A" w14:textId="77777777" w:rsidR="004B308F" w:rsidRPr="002969DE" w:rsidRDefault="004B308F" w:rsidP="005027DA">
            <w:pPr>
              <w:ind w:left="658"/>
              <w:rPr>
                <w:rFonts w:cstheme="minorHAnsi"/>
                <w:bCs/>
                <w:color w:val="000000"/>
                <w:sz w:val="22"/>
                <w:szCs w:val="22"/>
              </w:rPr>
            </w:pPr>
          </w:p>
        </w:tc>
      </w:tr>
      <w:tr w:rsidR="004B308F" w:rsidRPr="001D7639" w14:paraId="710F6BC1" w14:textId="77777777" w:rsidTr="00004768">
        <w:tc>
          <w:tcPr>
            <w:tcW w:w="1276" w:type="dxa"/>
          </w:tcPr>
          <w:p w14:paraId="3D49964B" w14:textId="77777777" w:rsidR="004B308F" w:rsidRPr="001237AA" w:rsidRDefault="004B308F" w:rsidP="005027DA">
            <w:pPr>
              <w:rPr>
                <w:rFonts w:cstheme="minorHAnsi"/>
                <w:b/>
                <w:bCs/>
                <w:noProof/>
                <w:sz w:val="6"/>
                <w:szCs w:val="6"/>
              </w:rPr>
            </w:pPr>
          </w:p>
          <w:p w14:paraId="4B177F5B" w14:textId="77777777" w:rsidR="004B308F" w:rsidRPr="00EC4F25" w:rsidRDefault="004B308F" w:rsidP="005027DA">
            <w:pPr>
              <w:rPr>
                <w:rFonts w:cstheme="minorHAnsi"/>
                <w:b/>
                <w:bCs/>
                <w:noProof/>
                <w:sz w:val="18"/>
                <w:szCs w:val="18"/>
              </w:rPr>
            </w:pPr>
            <w:r>
              <w:rPr>
                <w:noProof/>
              </w:rPr>
              <w:drawing>
                <wp:inline distT="0" distB="0" distL="0" distR="0" wp14:anchorId="0E759240" wp14:editId="52A4B242">
                  <wp:extent cx="662400" cy="900000"/>
                  <wp:effectExtent l="0" t="0" r="4445" b="0"/>
                  <wp:docPr id="1836690104"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90104"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gridSpan w:val="2"/>
          </w:tcPr>
          <w:p w14:paraId="5F7DA42B" w14:textId="77777777" w:rsidR="004B308F" w:rsidRDefault="004B308F" w:rsidP="005027DA">
            <w:pPr>
              <w:rPr>
                <w:rFonts w:asciiTheme="minorHAnsi" w:hAnsiTheme="minorHAnsi" w:cstheme="minorHAnsi"/>
                <w:bCs/>
                <w:color w:val="000000"/>
                <w:sz w:val="22"/>
                <w:szCs w:val="22"/>
              </w:rPr>
            </w:pPr>
            <w:r w:rsidRPr="001D7639">
              <w:rPr>
                <w:rFonts w:asciiTheme="minorHAnsi" w:hAnsiTheme="minorHAnsi" w:cstheme="minorHAnsi"/>
                <w:bCs/>
                <w:color w:val="000000"/>
                <w:sz w:val="22"/>
                <w:szCs w:val="22"/>
              </w:rPr>
              <w:t xml:space="preserve">Ryszard MATUSIAK </w:t>
            </w:r>
          </w:p>
          <w:p w14:paraId="2CF8697E"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rzecznik patentowy w latach 1978-97</w:t>
            </w:r>
          </w:p>
          <w:p w14:paraId="50F3C82F"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 xml:space="preserve">współzałożyciel Polskiej Izby Rzeczników Patentowych </w:t>
            </w:r>
          </w:p>
          <w:p w14:paraId="3353A2DE"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uczestnik I Krajowego Zjazdu w dniu 28.08.1993 r.</w:t>
            </w:r>
          </w:p>
          <w:p w14:paraId="2A9BF8CA"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Przewodniczący Głównej Komisji Rewizyjnej SIMP 28.06.2002-26.11.2022</w:t>
            </w:r>
          </w:p>
          <w:p w14:paraId="3CA42491"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 xml:space="preserve">Ekspert Urzędu Marszałkowskiego Województwa Wielkopolskiego </w:t>
            </w:r>
          </w:p>
          <w:p w14:paraId="001B9796"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 xml:space="preserve">Wpisany przez Urząd Marszałkowski Województwa Wielkopolskiego na Listę Krajową Ekspertów </w:t>
            </w:r>
          </w:p>
          <w:p w14:paraId="3D92FEDA" w14:textId="77777777" w:rsidR="002969DE" w:rsidRPr="002969DE" w:rsidRDefault="002969DE" w:rsidP="002969DE">
            <w:pPr>
              <w:pStyle w:val="Akapitzlist"/>
              <w:numPr>
                <w:ilvl w:val="0"/>
                <w:numId w:val="48"/>
              </w:numPr>
              <w:ind w:left="326" w:hanging="326"/>
              <w:rPr>
                <w:rFonts w:asciiTheme="minorHAnsi" w:eastAsia="Times New Roman" w:hAnsiTheme="minorHAnsi" w:cstheme="minorHAnsi"/>
                <w:bCs/>
                <w:color w:val="000000"/>
                <w:sz w:val="22"/>
                <w:szCs w:val="22"/>
              </w:rPr>
            </w:pPr>
            <w:r w:rsidRPr="002969DE">
              <w:rPr>
                <w:rFonts w:asciiTheme="minorHAnsi" w:eastAsia="Times New Roman" w:hAnsiTheme="minorHAnsi" w:cstheme="minorHAnsi"/>
                <w:bCs/>
                <w:color w:val="000000"/>
                <w:sz w:val="22"/>
                <w:szCs w:val="22"/>
              </w:rPr>
              <w:t xml:space="preserve">Przewodniczący </w:t>
            </w:r>
            <w:proofErr w:type="spellStart"/>
            <w:r w:rsidRPr="002969DE">
              <w:rPr>
                <w:rFonts w:asciiTheme="minorHAnsi" w:eastAsia="Times New Roman" w:hAnsiTheme="minorHAnsi" w:cstheme="minorHAnsi"/>
                <w:bCs/>
                <w:color w:val="000000"/>
                <w:sz w:val="22"/>
                <w:szCs w:val="22"/>
              </w:rPr>
              <w:t>WKTiR</w:t>
            </w:r>
            <w:proofErr w:type="spellEnd"/>
            <w:r w:rsidRPr="002969DE">
              <w:rPr>
                <w:rFonts w:asciiTheme="minorHAnsi" w:eastAsia="Times New Roman" w:hAnsiTheme="minorHAnsi" w:cstheme="minorHAnsi"/>
                <w:bCs/>
                <w:color w:val="000000"/>
                <w:sz w:val="22"/>
                <w:szCs w:val="22"/>
              </w:rPr>
              <w:t xml:space="preserve"> w Poznaniu (1981-1985) </w:t>
            </w:r>
          </w:p>
          <w:p w14:paraId="31AB724F" w14:textId="77777777" w:rsidR="004B308F" w:rsidRPr="002969DE" w:rsidRDefault="002969DE" w:rsidP="002969DE">
            <w:pPr>
              <w:numPr>
                <w:ilvl w:val="0"/>
                <w:numId w:val="48"/>
              </w:numPr>
              <w:ind w:left="326" w:hanging="326"/>
              <w:rPr>
                <w:rFonts w:asciiTheme="minorHAnsi" w:hAnsiTheme="minorHAnsi" w:cstheme="minorHAnsi"/>
                <w:bCs/>
                <w:color w:val="000000"/>
                <w:sz w:val="22"/>
                <w:szCs w:val="22"/>
              </w:rPr>
            </w:pPr>
            <w:r w:rsidRPr="002969DE">
              <w:rPr>
                <w:rFonts w:asciiTheme="minorHAnsi" w:hAnsiTheme="minorHAnsi" w:cstheme="minorHAnsi"/>
                <w:bCs/>
                <w:color w:val="000000"/>
                <w:sz w:val="22"/>
                <w:szCs w:val="22"/>
              </w:rPr>
              <w:t>Rzeczoznawca SIMP</w:t>
            </w:r>
          </w:p>
          <w:p w14:paraId="58E1FF63" w14:textId="4B47D53A" w:rsidR="002969DE" w:rsidRPr="007A5198" w:rsidRDefault="002969DE" w:rsidP="002969DE">
            <w:pPr>
              <w:ind w:left="720"/>
              <w:rPr>
                <w:rFonts w:cstheme="minorHAnsi"/>
                <w:bCs/>
                <w:color w:val="000000"/>
                <w:sz w:val="10"/>
                <w:szCs w:val="10"/>
              </w:rPr>
            </w:pPr>
          </w:p>
        </w:tc>
      </w:tr>
      <w:tr w:rsidR="004B308F" w:rsidRPr="00375E11" w14:paraId="305B77A5" w14:textId="77777777" w:rsidTr="00004768">
        <w:tc>
          <w:tcPr>
            <w:tcW w:w="1276" w:type="dxa"/>
          </w:tcPr>
          <w:p w14:paraId="77A5AF70" w14:textId="77777777" w:rsidR="004B308F" w:rsidRPr="001237AA" w:rsidRDefault="004B308F" w:rsidP="005027DA">
            <w:pPr>
              <w:tabs>
                <w:tab w:val="left" w:pos="2261"/>
              </w:tabs>
              <w:rPr>
                <w:rFonts w:cstheme="minorHAnsi"/>
                <w:b/>
                <w:bCs/>
                <w:color w:val="000000"/>
                <w:sz w:val="6"/>
                <w:szCs w:val="6"/>
              </w:rPr>
            </w:pPr>
          </w:p>
          <w:p w14:paraId="2A486449" w14:textId="77777777" w:rsidR="004B308F" w:rsidRDefault="004B308F" w:rsidP="005027DA">
            <w:pPr>
              <w:tabs>
                <w:tab w:val="left" w:pos="2261"/>
              </w:tabs>
              <w:rPr>
                <w:rFonts w:cstheme="minorHAnsi"/>
                <w:b/>
                <w:bCs/>
                <w:color w:val="000000"/>
                <w:sz w:val="26"/>
                <w:szCs w:val="26"/>
              </w:rPr>
            </w:pPr>
            <w:r>
              <w:rPr>
                <w:noProof/>
              </w:rPr>
              <w:drawing>
                <wp:inline distT="0" distB="0" distL="0" distR="0" wp14:anchorId="5717CC94" wp14:editId="7E12940F">
                  <wp:extent cx="658800" cy="900000"/>
                  <wp:effectExtent l="0" t="0" r="8255" b="0"/>
                  <wp:docPr id="805770015"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70015"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476" w:type="dxa"/>
            <w:gridSpan w:val="2"/>
          </w:tcPr>
          <w:p w14:paraId="363BFD17" w14:textId="77777777" w:rsidR="004B308F" w:rsidRPr="002969DE" w:rsidRDefault="004B308F" w:rsidP="005027DA">
            <w:pPr>
              <w:rPr>
                <w:rFonts w:ascii="Calibri" w:hAnsi="Calibri" w:cstheme="minorHAnsi"/>
                <w:bCs/>
                <w:color w:val="000000"/>
                <w:sz w:val="22"/>
                <w:szCs w:val="22"/>
              </w:rPr>
            </w:pPr>
            <w:r w:rsidRPr="002969DE">
              <w:rPr>
                <w:rFonts w:ascii="Calibri" w:hAnsi="Calibri" w:cstheme="minorHAnsi"/>
                <w:bCs/>
                <w:color w:val="000000"/>
                <w:sz w:val="22"/>
                <w:szCs w:val="22"/>
              </w:rPr>
              <w:t>Anna KORBELA</w:t>
            </w:r>
          </w:p>
          <w:p w14:paraId="4FB11657" w14:textId="342A3201" w:rsidR="00755F82" w:rsidRPr="00755F82" w:rsidRDefault="00FE4722" w:rsidP="001F6BE3">
            <w:pPr>
              <w:pStyle w:val="Akapitzlist"/>
              <w:numPr>
                <w:ilvl w:val="0"/>
                <w:numId w:val="45"/>
              </w:numPr>
              <w:ind w:left="320" w:hanging="334"/>
              <w:rPr>
                <w:rFonts w:eastAsia="Times New Roman" w:cstheme="minorHAnsi"/>
                <w:bCs/>
                <w:color w:val="000000"/>
                <w:sz w:val="24"/>
                <w:szCs w:val="24"/>
              </w:rPr>
            </w:pPr>
            <w:r w:rsidRPr="00755F82">
              <w:rPr>
                <w:rFonts w:eastAsia="Times New Roman" w:cstheme="minorHAnsi"/>
                <w:bCs/>
                <w:color w:val="000000"/>
                <w:sz w:val="22"/>
                <w:szCs w:val="22"/>
              </w:rPr>
              <w:t xml:space="preserve">w 1994 r. </w:t>
            </w:r>
            <w:r>
              <w:rPr>
                <w:rFonts w:cstheme="minorHAnsi"/>
                <w:bCs/>
                <w:color w:val="000000"/>
              </w:rPr>
              <w:t xml:space="preserve">zdała </w:t>
            </w:r>
            <w:r w:rsidR="00755F82" w:rsidRPr="00755F82">
              <w:rPr>
                <w:rFonts w:eastAsia="Times New Roman" w:cstheme="minorHAnsi"/>
                <w:bCs/>
                <w:color w:val="000000"/>
                <w:sz w:val="22"/>
                <w:szCs w:val="22"/>
              </w:rPr>
              <w:t xml:space="preserve">egzamin sędziowski poprzedzony etatową aplikacją sędziowską (złożony z </w:t>
            </w:r>
            <w:r w:rsidR="00123357" w:rsidRPr="00755F82">
              <w:rPr>
                <w:rFonts w:eastAsia="Times New Roman" w:cstheme="minorHAnsi"/>
                <w:bCs/>
                <w:color w:val="000000"/>
                <w:sz w:val="22"/>
                <w:szCs w:val="22"/>
              </w:rPr>
              <w:t xml:space="preserve">dobrym </w:t>
            </w:r>
            <w:r w:rsidR="00755F82" w:rsidRPr="00755F82">
              <w:rPr>
                <w:rFonts w:eastAsia="Times New Roman" w:cstheme="minorHAnsi"/>
                <w:bCs/>
                <w:color w:val="000000"/>
                <w:sz w:val="22"/>
                <w:szCs w:val="22"/>
              </w:rPr>
              <w:t>wynikiem, umożliwiającym podjęcie kariery sędziowskiej</w:t>
            </w:r>
            <w:r w:rsidR="00D76DA8">
              <w:rPr>
                <w:rFonts w:eastAsia="Times New Roman" w:cstheme="minorHAnsi"/>
                <w:bCs/>
                <w:color w:val="000000"/>
                <w:sz w:val="22"/>
                <w:szCs w:val="22"/>
              </w:rPr>
              <w:t>)</w:t>
            </w:r>
          </w:p>
          <w:p w14:paraId="36693A84" w14:textId="55B9B066"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rzecznik patentowy nr 3040</w:t>
            </w:r>
          </w:p>
          <w:p w14:paraId="7DF6A7A6" w14:textId="77777777"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radca prawny nr 364/96</w:t>
            </w:r>
          </w:p>
          <w:p w14:paraId="7A8A995E" w14:textId="70AA8DE9"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 xml:space="preserve">profesjonalny pełnomocnik przed EUIPO (European Union Intellectual Property Office </w:t>
            </w:r>
            <w:r w:rsidR="003A208A" w:rsidRPr="002969DE">
              <w:rPr>
                <w:rFonts w:eastAsia="Times New Roman" w:cstheme="minorHAnsi"/>
                <w:bCs/>
                <w:color w:val="000000"/>
                <w:sz w:val="22"/>
                <w:szCs w:val="22"/>
              </w:rPr>
              <w:t>-</w:t>
            </w:r>
            <w:r w:rsidRPr="002969DE">
              <w:rPr>
                <w:rFonts w:eastAsia="Times New Roman" w:cstheme="minorHAnsi"/>
                <w:bCs/>
                <w:color w:val="000000"/>
                <w:sz w:val="22"/>
                <w:szCs w:val="22"/>
              </w:rPr>
              <w:t xml:space="preserve"> </w:t>
            </w:r>
            <w:r w:rsidR="00F745E5" w:rsidRPr="002969DE">
              <w:rPr>
                <w:rFonts w:eastAsia="Times New Roman" w:cstheme="minorHAnsi"/>
                <w:bCs/>
                <w:color w:val="000000"/>
                <w:sz w:val="22"/>
                <w:szCs w:val="22"/>
              </w:rPr>
              <w:t>Urzędem</w:t>
            </w:r>
            <w:r w:rsidRPr="002969DE">
              <w:rPr>
                <w:rFonts w:eastAsia="Times New Roman" w:cstheme="minorHAnsi"/>
                <w:bCs/>
                <w:color w:val="000000"/>
                <w:sz w:val="22"/>
                <w:szCs w:val="22"/>
              </w:rPr>
              <w:t xml:space="preserve"> Unii Europejskiej ds. Własności Intelektualnej), nr 27595</w:t>
            </w:r>
          </w:p>
          <w:p w14:paraId="322A93F9" w14:textId="77777777"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Europejski Rzecznik Patentowy nr 137760</w:t>
            </w:r>
          </w:p>
          <w:p w14:paraId="267B95CB" w14:textId="509A8706"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pełnomocnik uprawniony do działania przed DPMA (</w:t>
            </w:r>
            <w:proofErr w:type="spellStart"/>
            <w:r w:rsidRPr="002969DE">
              <w:rPr>
                <w:rFonts w:eastAsia="Times New Roman" w:cstheme="minorHAnsi"/>
                <w:bCs/>
                <w:color w:val="000000"/>
                <w:sz w:val="22"/>
                <w:szCs w:val="22"/>
              </w:rPr>
              <w:t>Deutsches</w:t>
            </w:r>
            <w:proofErr w:type="spellEnd"/>
            <w:r w:rsidRPr="002969DE">
              <w:rPr>
                <w:rFonts w:eastAsia="Times New Roman" w:cstheme="minorHAnsi"/>
                <w:bCs/>
                <w:color w:val="000000"/>
                <w:sz w:val="22"/>
                <w:szCs w:val="22"/>
              </w:rPr>
              <w:t xml:space="preserve"> Patent- </w:t>
            </w:r>
            <w:proofErr w:type="spellStart"/>
            <w:r w:rsidRPr="002969DE">
              <w:rPr>
                <w:rFonts w:eastAsia="Times New Roman" w:cstheme="minorHAnsi"/>
                <w:bCs/>
                <w:color w:val="000000"/>
                <w:sz w:val="22"/>
                <w:szCs w:val="22"/>
              </w:rPr>
              <w:t>und</w:t>
            </w:r>
            <w:proofErr w:type="spellEnd"/>
            <w:r w:rsidRPr="002969DE">
              <w:rPr>
                <w:rFonts w:eastAsia="Times New Roman" w:cstheme="minorHAnsi"/>
                <w:bCs/>
                <w:color w:val="000000"/>
                <w:sz w:val="22"/>
                <w:szCs w:val="22"/>
              </w:rPr>
              <w:t xml:space="preserve"> </w:t>
            </w:r>
            <w:proofErr w:type="spellStart"/>
            <w:r w:rsidRPr="002969DE">
              <w:rPr>
                <w:rFonts w:eastAsia="Times New Roman" w:cstheme="minorHAnsi"/>
                <w:bCs/>
                <w:color w:val="000000"/>
                <w:sz w:val="22"/>
                <w:szCs w:val="22"/>
              </w:rPr>
              <w:t>Markenamt</w:t>
            </w:r>
            <w:proofErr w:type="spellEnd"/>
            <w:r w:rsidRPr="002969DE">
              <w:rPr>
                <w:rFonts w:eastAsia="Times New Roman" w:cstheme="minorHAnsi"/>
                <w:bCs/>
                <w:color w:val="000000"/>
                <w:sz w:val="22"/>
                <w:szCs w:val="22"/>
              </w:rPr>
              <w:t xml:space="preserve"> </w:t>
            </w:r>
            <w:r w:rsidR="003A208A" w:rsidRPr="002969DE">
              <w:rPr>
                <w:rFonts w:eastAsia="Times New Roman" w:cstheme="minorHAnsi"/>
                <w:bCs/>
                <w:color w:val="000000"/>
                <w:sz w:val="22"/>
                <w:szCs w:val="22"/>
              </w:rPr>
              <w:t>-</w:t>
            </w:r>
            <w:r w:rsidRPr="002969DE">
              <w:rPr>
                <w:rFonts w:eastAsia="Times New Roman" w:cstheme="minorHAnsi"/>
                <w:bCs/>
                <w:color w:val="000000"/>
                <w:sz w:val="22"/>
                <w:szCs w:val="22"/>
              </w:rPr>
              <w:t xml:space="preserve"> </w:t>
            </w:r>
            <w:r w:rsidR="003A208A" w:rsidRPr="002969DE">
              <w:rPr>
                <w:rFonts w:eastAsia="Times New Roman" w:cstheme="minorHAnsi"/>
                <w:bCs/>
                <w:color w:val="000000"/>
                <w:sz w:val="22"/>
                <w:szCs w:val="22"/>
              </w:rPr>
              <w:t xml:space="preserve">Niemieckim Urzędem ds. Patentów </w:t>
            </w:r>
            <w:r w:rsidRPr="002969DE">
              <w:rPr>
                <w:rFonts w:eastAsia="Times New Roman" w:cstheme="minorHAnsi"/>
                <w:bCs/>
                <w:color w:val="000000"/>
                <w:sz w:val="22"/>
                <w:szCs w:val="22"/>
              </w:rPr>
              <w:t>i Znaków Towarowych) nr 38701324</w:t>
            </w:r>
          </w:p>
          <w:p w14:paraId="6E2E5A85" w14:textId="147EB634"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pełnomocnik przed UPC (</w:t>
            </w:r>
            <w:proofErr w:type="spellStart"/>
            <w:r w:rsidRPr="002969DE">
              <w:rPr>
                <w:rFonts w:eastAsia="Times New Roman" w:cstheme="minorHAnsi"/>
                <w:bCs/>
                <w:color w:val="000000"/>
                <w:sz w:val="22"/>
                <w:szCs w:val="22"/>
              </w:rPr>
              <w:t>Unitary</w:t>
            </w:r>
            <w:proofErr w:type="spellEnd"/>
            <w:r w:rsidRPr="002969DE">
              <w:rPr>
                <w:rFonts w:eastAsia="Times New Roman" w:cstheme="minorHAnsi"/>
                <w:bCs/>
                <w:color w:val="000000"/>
                <w:sz w:val="22"/>
                <w:szCs w:val="22"/>
              </w:rPr>
              <w:t xml:space="preserve"> Patent Court </w:t>
            </w:r>
            <w:r w:rsidR="003A208A" w:rsidRPr="002969DE">
              <w:rPr>
                <w:rFonts w:eastAsia="Times New Roman" w:cstheme="minorHAnsi"/>
                <w:bCs/>
                <w:color w:val="000000"/>
                <w:sz w:val="22"/>
                <w:szCs w:val="22"/>
              </w:rPr>
              <w:t>-</w:t>
            </w:r>
            <w:r w:rsidRPr="002969DE">
              <w:rPr>
                <w:rFonts w:eastAsia="Times New Roman" w:cstheme="minorHAnsi"/>
                <w:bCs/>
                <w:color w:val="000000"/>
                <w:sz w:val="22"/>
                <w:szCs w:val="22"/>
              </w:rPr>
              <w:t xml:space="preserve"> Jednolitym Sądem Patentowym) AUTH_525119/2023</w:t>
            </w:r>
            <w:r w:rsidR="003A208A" w:rsidRPr="002969DE">
              <w:rPr>
                <w:rFonts w:eastAsia="Times New Roman" w:cstheme="minorHAnsi"/>
                <w:bCs/>
                <w:color w:val="000000"/>
                <w:sz w:val="22"/>
                <w:szCs w:val="22"/>
              </w:rPr>
              <w:t xml:space="preserve"> </w:t>
            </w:r>
          </w:p>
          <w:p w14:paraId="03538EFD" w14:textId="77777777" w:rsidR="004B308F" w:rsidRPr="002969DE" w:rsidRDefault="004B308F" w:rsidP="001F6BE3">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Prezes Polskiej Izby Rzeczników Patentowych w latach 2009-2013 i 2013-2017</w:t>
            </w:r>
          </w:p>
          <w:p w14:paraId="6588A3BE" w14:textId="51C90E81" w:rsidR="004B308F" w:rsidRPr="007A5198" w:rsidRDefault="004B308F" w:rsidP="007A5198">
            <w:pPr>
              <w:pStyle w:val="Akapitzlist"/>
              <w:numPr>
                <w:ilvl w:val="0"/>
                <w:numId w:val="45"/>
              </w:numPr>
              <w:ind w:left="320" w:hanging="334"/>
              <w:rPr>
                <w:rFonts w:eastAsia="Times New Roman" w:cstheme="minorHAnsi"/>
                <w:bCs/>
                <w:color w:val="000000"/>
                <w:sz w:val="22"/>
                <w:szCs w:val="22"/>
              </w:rPr>
            </w:pPr>
            <w:r w:rsidRPr="002969DE">
              <w:rPr>
                <w:rFonts w:eastAsia="Times New Roman" w:cstheme="minorHAnsi"/>
                <w:bCs/>
                <w:color w:val="000000"/>
                <w:sz w:val="22"/>
                <w:szCs w:val="22"/>
              </w:rPr>
              <w:t>Prezes StoWI od 2023 r.</w:t>
            </w:r>
          </w:p>
          <w:p w14:paraId="3FE0DBC2" w14:textId="77777777" w:rsidR="002969DE" w:rsidRPr="00375E11" w:rsidRDefault="002969DE" w:rsidP="005027DA">
            <w:pPr>
              <w:pStyle w:val="Akapitzlist"/>
              <w:ind w:left="669"/>
              <w:rPr>
                <w:rFonts w:eastAsia="Times New Roman" w:cstheme="minorHAnsi"/>
                <w:bCs/>
                <w:color w:val="000000"/>
              </w:rPr>
            </w:pPr>
          </w:p>
        </w:tc>
      </w:tr>
    </w:tbl>
    <w:p w14:paraId="550C4624" w14:textId="77777777" w:rsidR="002969DE" w:rsidRDefault="002969DE" w:rsidP="0001114C">
      <w:pPr>
        <w:spacing w:after="0" w:line="240" w:lineRule="auto"/>
        <w:jc w:val="center"/>
        <w:rPr>
          <w:b/>
          <w:bCs/>
          <w:sz w:val="24"/>
          <w:szCs w:val="24"/>
        </w:rPr>
      </w:pPr>
    </w:p>
    <w:p w14:paraId="395101AF" w14:textId="77777777" w:rsidR="002969DE" w:rsidRDefault="002969DE" w:rsidP="007A5198">
      <w:pPr>
        <w:spacing w:after="0" w:line="240" w:lineRule="auto"/>
        <w:rPr>
          <w:b/>
          <w:bCs/>
          <w:sz w:val="24"/>
          <w:szCs w:val="24"/>
        </w:rPr>
      </w:pPr>
    </w:p>
    <w:p w14:paraId="53DBD424" w14:textId="77777777" w:rsidR="002969DE" w:rsidRDefault="002969DE" w:rsidP="0001114C">
      <w:pPr>
        <w:spacing w:after="0" w:line="240" w:lineRule="auto"/>
        <w:jc w:val="center"/>
        <w:rPr>
          <w:b/>
          <w:bCs/>
          <w:sz w:val="24"/>
          <w:szCs w:val="24"/>
        </w:rPr>
      </w:pPr>
    </w:p>
    <w:p w14:paraId="09FE3EC6" w14:textId="73BA79B4" w:rsidR="0001114C" w:rsidRDefault="0001114C" w:rsidP="0001114C">
      <w:pPr>
        <w:spacing w:after="0" w:line="240" w:lineRule="auto"/>
        <w:jc w:val="center"/>
        <w:rPr>
          <w:b/>
          <w:bCs/>
          <w:sz w:val="24"/>
          <w:szCs w:val="24"/>
        </w:rPr>
      </w:pPr>
      <w:r>
        <w:rPr>
          <w:b/>
          <w:bCs/>
          <w:sz w:val="24"/>
          <w:szCs w:val="24"/>
        </w:rPr>
        <w:t>* * *</w:t>
      </w:r>
    </w:p>
    <w:p w14:paraId="5779610F" w14:textId="77777777" w:rsidR="007A5198" w:rsidRDefault="007A5198" w:rsidP="0001114C">
      <w:pPr>
        <w:spacing w:after="0" w:line="240" w:lineRule="auto"/>
        <w:jc w:val="center"/>
        <w:rPr>
          <w:b/>
          <w:bCs/>
          <w:sz w:val="24"/>
          <w:szCs w:val="24"/>
        </w:rPr>
      </w:pPr>
    </w:p>
    <w:p w14:paraId="70C3893E" w14:textId="6F1C419C" w:rsidR="001F7A1E" w:rsidRDefault="001F7A1E" w:rsidP="0046138F">
      <w:pPr>
        <w:spacing w:after="0" w:line="240" w:lineRule="auto"/>
        <w:ind w:left="4111" w:hanging="567"/>
        <w:jc w:val="right"/>
        <w:rPr>
          <w:rFonts w:cstheme="minorHAnsi"/>
          <w:bCs/>
          <w:sz w:val="24"/>
          <w:szCs w:val="24"/>
        </w:rPr>
      </w:pPr>
      <w:bookmarkStart w:id="116" w:name="_Hlk169171441"/>
      <w:r w:rsidRPr="002428B7">
        <w:rPr>
          <w:rFonts w:cstheme="minorHAnsi"/>
          <w:bCs/>
          <w:sz w:val="24"/>
          <w:szCs w:val="24"/>
        </w:rPr>
        <w:lastRenderedPageBreak/>
        <w:t>Warszawa, Poznań</w:t>
      </w:r>
      <w:r w:rsidR="00B80330">
        <w:rPr>
          <w:rFonts w:cstheme="minorHAnsi"/>
          <w:bCs/>
          <w:sz w:val="24"/>
          <w:szCs w:val="24"/>
        </w:rPr>
        <w:t xml:space="preserve">, </w:t>
      </w:r>
      <w:r w:rsidRPr="002428B7">
        <w:rPr>
          <w:rFonts w:cstheme="minorHAnsi"/>
          <w:bCs/>
          <w:sz w:val="24"/>
          <w:szCs w:val="24"/>
        </w:rPr>
        <w:t>dnia 1 sierpnia 2023 r.</w:t>
      </w:r>
    </w:p>
    <w:p w14:paraId="0A8D667D" w14:textId="77777777" w:rsidR="0046138F" w:rsidRPr="002428B7" w:rsidRDefault="0046138F" w:rsidP="0046138F">
      <w:pPr>
        <w:spacing w:after="0" w:line="240" w:lineRule="auto"/>
        <w:ind w:left="3969"/>
        <w:jc w:val="right"/>
        <w:rPr>
          <w:rFonts w:cstheme="minorHAnsi"/>
          <w:bCs/>
          <w:color w:val="0070C0"/>
          <w:sz w:val="24"/>
          <w:szCs w:val="24"/>
        </w:rPr>
      </w:pPr>
      <w:proofErr w:type="spellStart"/>
      <w:r w:rsidRPr="002428B7">
        <w:rPr>
          <w:rFonts w:cstheme="minorHAnsi"/>
          <w:bCs/>
          <w:color w:val="0070C0"/>
          <w:sz w:val="24"/>
          <w:szCs w:val="24"/>
        </w:rPr>
        <w:t>Warsaw</w:t>
      </w:r>
      <w:proofErr w:type="spellEnd"/>
      <w:r w:rsidRPr="002428B7">
        <w:rPr>
          <w:rFonts w:cstheme="minorHAnsi"/>
          <w:bCs/>
          <w:color w:val="0070C0"/>
          <w:sz w:val="24"/>
          <w:szCs w:val="24"/>
        </w:rPr>
        <w:t>, Poznań, August 1st, 2023</w:t>
      </w:r>
    </w:p>
    <w:p w14:paraId="65F1DBE2" w14:textId="77777777" w:rsidR="0046138F" w:rsidRPr="002428B7" w:rsidRDefault="0046138F" w:rsidP="0046138F">
      <w:pPr>
        <w:spacing w:after="0" w:line="240" w:lineRule="auto"/>
        <w:ind w:left="4111" w:hanging="567"/>
        <w:jc w:val="right"/>
        <w:rPr>
          <w:rFonts w:cstheme="minorHAnsi"/>
          <w:bCs/>
          <w:sz w:val="24"/>
          <w:szCs w:val="24"/>
        </w:rPr>
      </w:pPr>
    </w:p>
    <w:p w14:paraId="5CE66FF4" w14:textId="26796DC3" w:rsidR="001F7A1E" w:rsidRPr="002428B7" w:rsidRDefault="001F7A1E" w:rsidP="001F7A1E">
      <w:pPr>
        <w:autoSpaceDE w:val="0"/>
        <w:autoSpaceDN w:val="0"/>
        <w:adjustRightInd w:val="0"/>
        <w:spacing w:after="0" w:line="240" w:lineRule="auto"/>
        <w:ind w:firstLine="567"/>
        <w:jc w:val="center"/>
        <w:rPr>
          <w:rFonts w:cstheme="minorHAnsi"/>
          <w:b/>
          <w:bCs/>
          <w:color w:val="E7E6E6" w:themeColor="background2"/>
          <w:sz w:val="24"/>
          <w:szCs w:val="24"/>
        </w:rPr>
      </w:pPr>
    </w:p>
    <w:p w14:paraId="0F61DDA1" w14:textId="77777777" w:rsidR="001F7A1E" w:rsidRPr="002428B7" w:rsidRDefault="001F7A1E" w:rsidP="001F7A1E">
      <w:pPr>
        <w:autoSpaceDE w:val="0"/>
        <w:autoSpaceDN w:val="0"/>
        <w:adjustRightInd w:val="0"/>
        <w:spacing w:after="0" w:line="240" w:lineRule="auto"/>
        <w:ind w:firstLine="567"/>
        <w:jc w:val="center"/>
        <w:rPr>
          <w:rFonts w:cstheme="minorHAnsi"/>
          <w:b/>
          <w:bCs/>
          <w:color w:val="000000"/>
          <w:sz w:val="24"/>
          <w:szCs w:val="24"/>
        </w:rPr>
      </w:pPr>
      <w:r w:rsidRPr="002428B7">
        <w:rPr>
          <w:rFonts w:cstheme="minorHAnsi"/>
          <w:b/>
          <w:bCs/>
          <w:color w:val="000000"/>
          <w:sz w:val="24"/>
          <w:szCs w:val="24"/>
        </w:rPr>
        <w:t>PROJEKT UD263 - AKTU PRAWNEGO</w:t>
      </w:r>
    </w:p>
    <w:p w14:paraId="388011E0" w14:textId="77777777" w:rsidR="001F7A1E" w:rsidRPr="002428B7" w:rsidRDefault="001F7A1E" w:rsidP="001F7A1E">
      <w:pPr>
        <w:autoSpaceDE w:val="0"/>
        <w:autoSpaceDN w:val="0"/>
        <w:adjustRightInd w:val="0"/>
        <w:spacing w:after="0" w:line="240" w:lineRule="auto"/>
        <w:ind w:firstLine="567"/>
        <w:jc w:val="center"/>
        <w:rPr>
          <w:rFonts w:cstheme="minorHAnsi"/>
          <w:b/>
          <w:bCs/>
          <w:color w:val="000000"/>
          <w:sz w:val="24"/>
          <w:szCs w:val="24"/>
        </w:rPr>
      </w:pPr>
      <w:r w:rsidRPr="002428B7">
        <w:rPr>
          <w:rFonts w:cstheme="minorHAnsi"/>
          <w:b/>
          <w:bCs/>
          <w:color w:val="000000"/>
          <w:sz w:val="24"/>
          <w:szCs w:val="24"/>
        </w:rPr>
        <w:t xml:space="preserve">BLOKUJĄCEGO ROZWÓJ POLSKIEJ INNOWACYJNOŚCI </w:t>
      </w:r>
    </w:p>
    <w:p w14:paraId="383413C4" w14:textId="77777777" w:rsidR="00B80330" w:rsidRPr="00046454" w:rsidRDefault="00B80330" w:rsidP="00B80330">
      <w:pPr>
        <w:autoSpaceDE w:val="0"/>
        <w:autoSpaceDN w:val="0"/>
        <w:adjustRightInd w:val="0"/>
        <w:spacing w:after="0" w:line="240" w:lineRule="auto"/>
        <w:ind w:firstLine="567"/>
        <w:jc w:val="center"/>
        <w:rPr>
          <w:rFonts w:cstheme="minorHAnsi"/>
          <w:b/>
          <w:bCs/>
          <w:color w:val="2E74B5" w:themeColor="accent5" w:themeShade="BF"/>
          <w:sz w:val="24"/>
          <w:szCs w:val="24"/>
        </w:rPr>
      </w:pPr>
      <w:r w:rsidRPr="00046454">
        <w:rPr>
          <w:rFonts w:cstheme="minorHAnsi"/>
          <w:b/>
          <w:bCs/>
          <w:color w:val="2E74B5" w:themeColor="accent5" w:themeShade="BF"/>
          <w:sz w:val="24"/>
          <w:szCs w:val="24"/>
        </w:rPr>
        <w:t>UD263 DRAFT - LEGAL ACT</w:t>
      </w:r>
    </w:p>
    <w:p w14:paraId="40E710AF" w14:textId="77777777" w:rsidR="00B80330" w:rsidRPr="00046454" w:rsidRDefault="00B80330" w:rsidP="00B80330">
      <w:pPr>
        <w:autoSpaceDE w:val="0"/>
        <w:autoSpaceDN w:val="0"/>
        <w:adjustRightInd w:val="0"/>
        <w:spacing w:after="0" w:line="240" w:lineRule="auto"/>
        <w:ind w:firstLine="567"/>
        <w:jc w:val="center"/>
        <w:rPr>
          <w:rFonts w:cstheme="minorHAnsi"/>
          <w:b/>
          <w:bCs/>
          <w:color w:val="2E74B5" w:themeColor="accent5" w:themeShade="BF"/>
          <w:sz w:val="24"/>
          <w:szCs w:val="24"/>
          <w:lang w:val="en-US"/>
        </w:rPr>
      </w:pPr>
      <w:r w:rsidRPr="00046454">
        <w:rPr>
          <w:rFonts w:cstheme="minorHAnsi"/>
          <w:b/>
          <w:bCs/>
          <w:color w:val="2E74B5" w:themeColor="accent5" w:themeShade="BF"/>
          <w:sz w:val="24"/>
          <w:szCs w:val="24"/>
          <w:lang w:val="en-US"/>
        </w:rPr>
        <w:t>BLOCKING THE DEVELOPMENT OF POLISH INNOVATION</w:t>
      </w:r>
    </w:p>
    <w:p w14:paraId="12C5666B" w14:textId="77777777" w:rsidR="001F7A1E" w:rsidRPr="00B80330" w:rsidRDefault="001F7A1E" w:rsidP="001F7A1E">
      <w:pPr>
        <w:autoSpaceDE w:val="0"/>
        <w:autoSpaceDN w:val="0"/>
        <w:adjustRightInd w:val="0"/>
        <w:spacing w:after="0" w:line="240" w:lineRule="auto"/>
        <w:jc w:val="both"/>
        <w:rPr>
          <w:rFonts w:cstheme="minorHAnsi"/>
          <w:i/>
          <w:iCs/>
          <w:color w:val="000000"/>
          <w:sz w:val="24"/>
          <w:szCs w:val="24"/>
          <w:lang w:val="en-US"/>
        </w:rPr>
      </w:pPr>
    </w:p>
    <w:p w14:paraId="39F6D2BD" w14:textId="77777777" w:rsidR="001F7A1E" w:rsidRPr="007A5198" w:rsidRDefault="001F7A1E" w:rsidP="00046454">
      <w:pPr>
        <w:pStyle w:val="nrbrzegowy2"/>
        <w:numPr>
          <w:ilvl w:val="0"/>
          <w:numId w:val="80"/>
        </w:numPr>
        <w:ind w:left="0" w:hanging="851"/>
        <w:rPr>
          <w:b/>
        </w:rPr>
      </w:pPr>
      <w:r w:rsidRPr="002428B7">
        <w:t xml:space="preserve">Z uwagą obserwujemy prace zmierzające do zmian systemu polskiego prawa. Nasz głęboki niepokój wywołał </w:t>
      </w:r>
      <w:r w:rsidRPr="007A5198">
        <w:rPr>
          <w:b/>
          <w:u w:val="single"/>
        </w:rPr>
        <w:t>projekt ustawy Prawo własności przemysłowej</w:t>
      </w:r>
      <w:r w:rsidRPr="002428B7">
        <w:t xml:space="preserve">, któremu w wykazie prac legislacyjnych Rady Ministrów nadano numer </w:t>
      </w:r>
      <w:r w:rsidRPr="007A5198">
        <w:rPr>
          <w:b/>
          <w:u w:val="single"/>
        </w:rPr>
        <w:t>UD263</w:t>
      </w:r>
      <w:r w:rsidRPr="007A5198">
        <w:rPr>
          <w:b/>
        </w:rPr>
        <w:t>:</w:t>
      </w:r>
    </w:p>
    <w:p w14:paraId="4CFF7B85" w14:textId="1D9950A5" w:rsidR="001F7A1E" w:rsidRPr="004D1B53" w:rsidRDefault="00B82931" w:rsidP="00046454">
      <w:pPr>
        <w:pStyle w:val="nrbrzegowy2"/>
        <w:numPr>
          <w:ilvl w:val="0"/>
          <w:numId w:val="0"/>
        </w:numPr>
        <w:rPr>
          <w:color w:val="0070C0"/>
        </w:rPr>
      </w:pPr>
      <w:hyperlink r:id="rId142" w:history="1">
        <w:r w:rsidR="00046454" w:rsidRPr="003937DC">
          <w:rPr>
            <w:rStyle w:val="Hipercze"/>
            <w:rFonts w:cstheme="minorHAnsi"/>
            <w:szCs w:val="24"/>
          </w:rPr>
          <w:t>https://legislacja.rcl.gov.pl/projekt/12359055</w:t>
        </w:r>
      </w:hyperlink>
      <w:r w:rsidR="001F7A1E" w:rsidRPr="004D1B53">
        <w:rPr>
          <w:color w:val="0070C0"/>
        </w:rPr>
        <w:t xml:space="preserve"> </w:t>
      </w:r>
      <w:proofErr w:type="gramStart"/>
      <w:r w:rsidR="001F7A1E" w:rsidRPr="004D1B53">
        <w:rPr>
          <w:color w:val="0070C0"/>
        </w:rPr>
        <w:t xml:space="preserve">  .</w:t>
      </w:r>
      <w:proofErr w:type="gramEnd"/>
    </w:p>
    <w:p w14:paraId="268CF966" w14:textId="77777777" w:rsidR="00B80330" w:rsidRPr="00046454" w:rsidRDefault="00B80330" w:rsidP="00046454">
      <w:pPr>
        <w:pStyle w:val="nrbrzegowy2"/>
        <w:numPr>
          <w:ilvl w:val="0"/>
          <w:numId w:val="0"/>
        </w:numPr>
        <w:rPr>
          <w:color w:val="2E74B5" w:themeColor="accent5" w:themeShade="BF"/>
          <w:lang w:val="en-US"/>
        </w:rPr>
      </w:pPr>
      <w:r w:rsidRPr="00046454">
        <w:rPr>
          <w:color w:val="2E74B5" w:themeColor="accent5" w:themeShade="BF"/>
          <w:lang w:val="en-US"/>
        </w:rPr>
        <w:t xml:space="preserve">We are closely monitoring the works aimed at changing the Polish legal system. Our deep concern was caused by the </w:t>
      </w:r>
      <w:r w:rsidRPr="00046454">
        <w:rPr>
          <w:b/>
          <w:color w:val="2E74B5" w:themeColor="accent5" w:themeShade="BF"/>
          <w:u w:val="single"/>
          <w:lang w:val="en-US"/>
        </w:rPr>
        <w:t>draft on the Act of Industrial Property Law</w:t>
      </w:r>
      <w:r w:rsidRPr="00046454">
        <w:rPr>
          <w:color w:val="2E74B5" w:themeColor="accent5" w:themeShade="BF"/>
          <w:lang w:val="en-US"/>
        </w:rPr>
        <w:t xml:space="preserve">, which was given the number </w:t>
      </w:r>
      <w:r w:rsidRPr="00046454">
        <w:rPr>
          <w:b/>
          <w:color w:val="2E74B5" w:themeColor="accent5" w:themeShade="BF"/>
          <w:u w:val="single"/>
          <w:lang w:val="en-US"/>
        </w:rPr>
        <w:t>UD263</w:t>
      </w:r>
      <w:r w:rsidRPr="00046454">
        <w:rPr>
          <w:color w:val="2E74B5" w:themeColor="accent5" w:themeShade="BF"/>
          <w:lang w:val="en-US"/>
        </w:rPr>
        <w:t xml:space="preserve"> in the list of legislative works of the Council of Ministers:</w:t>
      </w:r>
    </w:p>
    <w:p w14:paraId="09488DDB" w14:textId="77777777" w:rsidR="00B80330" w:rsidRPr="00046454" w:rsidRDefault="00B80330" w:rsidP="00046454">
      <w:pPr>
        <w:pStyle w:val="nrbrzegowy2"/>
        <w:numPr>
          <w:ilvl w:val="0"/>
          <w:numId w:val="0"/>
        </w:numPr>
        <w:rPr>
          <w:color w:val="2E74B5" w:themeColor="accent5" w:themeShade="BF"/>
          <w:lang w:val="en-US"/>
        </w:rPr>
      </w:pPr>
      <w:r w:rsidRPr="00046454">
        <w:rPr>
          <w:color w:val="2E74B5" w:themeColor="accent5" w:themeShade="BF"/>
          <w:lang w:val="en-US"/>
        </w:rPr>
        <w:t>https://legistacja.rcl.gov.pl/projekt/12359055.</w:t>
      </w:r>
    </w:p>
    <w:p w14:paraId="743789AF" w14:textId="77777777" w:rsidR="001F7A1E" w:rsidRPr="00B80330" w:rsidRDefault="001F7A1E" w:rsidP="00046454">
      <w:pPr>
        <w:pStyle w:val="nrbrzegowy2"/>
        <w:numPr>
          <w:ilvl w:val="0"/>
          <w:numId w:val="0"/>
        </w:numPr>
        <w:ind w:hanging="851"/>
        <w:rPr>
          <w:sz w:val="10"/>
          <w:szCs w:val="10"/>
          <w:lang w:val="en-US"/>
        </w:rPr>
      </w:pPr>
    </w:p>
    <w:p w14:paraId="11A9F94F" w14:textId="77777777" w:rsidR="001F7A1E" w:rsidRPr="002428B7" w:rsidRDefault="001F7A1E" w:rsidP="00046454">
      <w:pPr>
        <w:pStyle w:val="nrbrzegowy2"/>
        <w:ind w:left="0" w:hanging="851"/>
      </w:pPr>
      <w:r w:rsidRPr="002428B7">
        <w:t>Tak jak powoli wyłania się drzewo wyrastające z pestki o fatalnym kodzie genetycznym (nie wybucha, lecz rośnie niespiesznie, coraz bardziej karłowate, pokrzywione, sękate i kłopotliwe), tak też dopiero po pewnym czasie ujawniają się skutki wejścia w życie wadliwego aktu prawnego. Dzieje się tak zwłaszcza w przypadku regulacji prawnych dotyczących wynalazków, wzorów użytkowych i przemysłowych oraz znaków towarowych, na które Urząd Patentowy RP udziela ochrony (tak przecież ważnej dla naszej gospodarki). Jeśli ktoś nieobdarzony wyobraźnią czytając przepisy prawne nie potrafi przewidywać ich skutków, musi poczekać wiele lat, nim pozna błędy wynikające z zaproponowanych przez siebie nielogicznych zapisów.</w:t>
      </w:r>
    </w:p>
    <w:p w14:paraId="3A15A2D9" w14:textId="77777777" w:rsidR="00B80330" w:rsidRPr="00046454" w:rsidRDefault="00B80330" w:rsidP="00046454">
      <w:pPr>
        <w:pStyle w:val="nrbrzegowy2"/>
        <w:numPr>
          <w:ilvl w:val="0"/>
          <w:numId w:val="0"/>
        </w:numPr>
        <w:rPr>
          <w:color w:val="2E74B5" w:themeColor="accent5" w:themeShade="BF"/>
          <w:lang w:val="en-US"/>
        </w:rPr>
      </w:pPr>
      <w:r w:rsidRPr="00046454">
        <w:rPr>
          <w:color w:val="2E74B5" w:themeColor="accent5" w:themeShade="BF"/>
          <w:lang w:val="en-US"/>
        </w:rPr>
        <w:t>Just as a tree growing from a pit with a fatal genetic code slowly emerges (it does not explode, but grows slowly, more and more stunted, crooked, gnarled and troublesome), only after some time do the effects of the entry into force of a defective legal act become apparent. This is especially true in the case of legal regulations concerning inventions, utility models and industrial designs, as well as trademarks, for which the protection (so important for our economy) is granted by the Polish Patent Office. If, while reading legal provisions someone not endowed with imagination is unable to predict their effects, they must wait many years before they learn the errors resulting from the illogical provisions they propose.</w:t>
      </w:r>
    </w:p>
    <w:p w14:paraId="6B152617" w14:textId="77777777" w:rsidR="00B80330" w:rsidRPr="001C51B8" w:rsidRDefault="00B80330" w:rsidP="00046454">
      <w:pPr>
        <w:pStyle w:val="nrbrzegowy2"/>
        <w:numPr>
          <w:ilvl w:val="0"/>
          <w:numId w:val="0"/>
        </w:numPr>
        <w:ind w:hanging="851"/>
        <w:rPr>
          <w:color w:val="0070C0"/>
          <w:sz w:val="10"/>
          <w:szCs w:val="10"/>
          <w:lang w:val="en-US"/>
        </w:rPr>
      </w:pPr>
    </w:p>
    <w:p w14:paraId="3B59A278" w14:textId="59904954" w:rsidR="001F7A1E" w:rsidRDefault="001F7A1E" w:rsidP="00046454">
      <w:pPr>
        <w:pStyle w:val="nrbrzegowy2"/>
        <w:ind w:left="0" w:hanging="851"/>
        <w:rPr>
          <w:u w:val="single"/>
        </w:rPr>
      </w:pPr>
      <w:r w:rsidRPr="002428B7">
        <w:t xml:space="preserve">Ta prawidłowość dotyczy projektu „nowej” ustawy </w:t>
      </w:r>
      <w:r w:rsidRPr="002428B7">
        <w:rPr>
          <w:b/>
          <w:u w:val="single"/>
        </w:rPr>
        <w:t>Prawo własności przemysłowej</w:t>
      </w:r>
      <w:r w:rsidRPr="002428B7">
        <w:rPr>
          <w:u w:val="single"/>
        </w:rPr>
        <w:t xml:space="preserve"> </w:t>
      </w:r>
      <w:r w:rsidRPr="002428B7">
        <w:rPr>
          <w:b/>
          <w:u w:val="single"/>
        </w:rPr>
        <w:t>UD263</w:t>
      </w:r>
      <w:r w:rsidR="004D1B53" w:rsidRPr="004D1B53">
        <w:rPr>
          <w:b/>
        </w:rPr>
        <w:t>.</w:t>
      </w:r>
      <w:r w:rsidRPr="002428B7">
        <w:rPr>
          <w:u w:val="single"/>
        </w:rPr>
        <w:t xml:space="preserve"> </w:t>
      </w:r>
    </w:p>
    <w:p w14:paraId="0A516849" w14:textId="701A64F3" w:rsidR="004D1B53" w:rsidRPr="00046454" w:rsidRDefault="004D1B53" w:rsidP="00046454">
      <w:pPr>
        <w:pStyle w:val="nrbrzegowy2"/>
        <w:numPr>
          <w:ilvl w:val="0"/>
          <w:numId w:val="0"/>
        </w:numPr>
        <w:rPr>
          <w:color w:val="2E74B5" w:themeColor="accent5" w:themeShade="BF"/>
          <w:u w:val="single"/>
          <w:lang w:val="en-US"/>
        </w:rPr>
      </w:pPr>
      <w:r w:rsidRPr="00046454">
        <w:rPr>
          <w:color w:val="2E74B5" w:themeColor="accent5" w:themeShade="BF"/>
          <w:lang w:val="en-US"/>
        </w:rPr>
        <w:t xml:space="preserve">This regularity applies to the draft on the "new" Act of </w:t>
      </w:r>
      <w:r w:rsidRPr="00046454">
        <w:rPr>
          <w:b/>
          <w:color w:val="2E74B5" w:themeColor="accent5" w:themeShade="BF"/>
          <w:u w:val="single"/>
          <w:lang w:val="en-US"/>
        </w:rPr>
        <w:t>Industrial Property Law UD263</w:t>
      </w:r>
      <w:r w:rsidRPr="00046454">
        <w:rPr>
          <w:color w:val="2E74B5" w:themeColor="accent5" w:themeShade="BF"/>
          <w:lang w:val="en-US"/>
        </w:rPr>
        <w:t xml:space="preserve"> with the same title as the current </w:t>
      </w:r>
      <w:r w:rsidRPr="00046454">
        <w:rPr>
          <w:b/>
          <w:color w:val="2E74B5" w:themeColor="accent5" w:themeShade="BF"/>
          <w:lang w:val="en-US"/>
        </w:rPr>
        <w:t>Industrial Property Law</w:t>
      </w:r>
      <w:r w:rsidRPr="00046454">
        <w:rPr>
          <w:color w:val="2E74B5" w:themeColor="accent5" w:themeShade="BF"/>
          <w:lang w:val="en-US"/>
        </w:rPr>
        <w:t>.</w:t>
      </w:r>
    </w:p>
    <w:p w14:paraId="78BA96A1" w14:textId="77777777" w:rsidR="001F7A1E" w:rsidRPr="002428B7" w:rsidRDefault="001F7A1E" w:rsidP="00046454">
      <w:pPr>
        <w:pStyle w:val="nrbrzegowy2"/>
        <w:ind w:left="0" w:hanging="851"/>
      </w:pPr>
      <w:r w:rsidRPr="002428B7">
        <w:t xml:space="preserve">zatytułowanej identycznie, jak obowiązująca obecnie ustawa </w:t>
      </w:r>
      <w:r w:rsidRPr="002428B7">
        <w:rPr>
          <w:b/>
        </w:rPr>
        <w:t>Prawo własności przemysłowej</w:t>
      </w:r>
      <w:r w:rsidRPr="002428B7">
        <w:t>. Powtórzenie tytułu już na wstępie sygnalizuje, że rozważana koncepcja gwarantowałaby kłopoty wynikające z mylenia obu aktów prawnych.</w:t>
      </w:r>
    </w:p>
    <w:p w14:paraId="5898CAE3" w14:textId="6DA12188" w:rsidR="00B80330" w:rsidRPr="00046454" w:rsidRDefault="00B80330" w:rsidP="00046454">
      <w:pPr>
        <w:pStyle w:val="nrbrzegowy2"/>
        <w:numPr>
          <w:ilvl w:val="0"/>
          <w:numId w:val="0"/>
        </w:numPr>
        <w:rPr>
          <w:color w:val="2E74B5" w:themeColor="accent5" w:themeShade="BF"/>
          <w:lang w:val="en-US"/>
        </w:rPr>
      </w:pPr>
      <w:r w:rsidRPr="00046454">
        <w:rPr>
          <w:color w:val="2E74B5" w:themeColor="accent5" w:themeShade="BF"/>
          <w:lang w:val="en-US"/>
        </w:rPr>
        <w:t>The repetition of the title at the very beginning indicates that the considered concept would guarantee problems resulting from confusing the two legal acts.</w:t>
      </w:r>
    </w:p>
    <w:p w14:paraId="41AC1979" w14:textId="77777777" w:rsidR="00B80330" w:rsidRPr="004D1B53" w:rsidRDefault="00B80330" w:rsidP="004D1B53">
      <w:pPr>
        <w:pStyle w:val="nrbrzegowy2"/>
        <w:numPr>
          <w:ilvl w:val="0"/>
          <w:numId w:val="0"/>
        </w:numPr>
        <w:ind w:left="604"/>
        <w:rPr>
          <w:color w:val="0070C0"/>
          <w:sz w:val="10"/>
          <w:szCs w:val="10"/>
          <w:lang w:val="en-US"/>
        </w:rPr>
      </w:pPr>
    </w:p>
    <w:p w14:paraId="37032439" w14:textId="77777777" w:rsidR="001F7A1E" w:rsidRPr="002428B7" w:rsidRDefault="001F7A1E" w:rsidP="00046454">
      <w:pPr>
        <w:pStyle w:val="nrbrzegowy2"/>
        <w:ind w:left="0" w:hanging="851"/>
      </w:pPr>
      <w:r w:rsidRPr="002428B7">
        <w:t>Aktualnie wyraźnie zamrożono prace nad UD263, lecz wciąż zachodzi obawa, czy nie zostaną one podjęte, a nie powinny. Tekst projektu jest jednak wciąż dostępny na stronach internetowych Rządowego Centrum Legislacji.</w:t>
      </w:r>
    </w:p>
    <w:p w14:paraId="1DEC62B1" w14:textId="77777777" w:rsidR="004D1B53" w:rsidRPr="00046454" w:rsidRDefault="004D1B53" w:rsidP="00046454">
      <w:pPr>
        <w:pStyle w:val="nrbrzegowy2"/>
        <w:numPr>
          <w:ilvl w:val="0"/>
          <w:numId w:val="0"/>
        </w:numPr>
        <w:rPr>
          <w:color w:val="2E74B5" w:themeColor="accent5" w:themeShade="BF"/>
          <w:lang w:val="en-US"/>
        </w:rPr>
      </w:pPr>
      <w:r w:rsidRPr="00046454">
        <w:rPr>
          <w:color w:val="2E74B5" w:themeColor="accent5" w:themeShade="BF"/>
          <w:lang w:val="en-US"/>
        </w:rPr>
        <w:lastRenderedPageBreak/>
        <w:t>Currently, work on UD263 has been clearly frozen, but there is still a fear whether they will be undertaken - and they should not be. However, the text of the draft is still available on the website of the Government Legislation Centre.</w:t>
      </w:r>
    </w:p>
    <w:p w14:paraId="7C9C921B" w14:textId="6C381C85" w:rsidR="001F7A1E" w:rsidRPr="002428B7" w:rsidRDefault="001F7A1E" w:rsidP="00046454">
      <w:pPr>
        <w:pStyle w:val="nrbrzegowy2"/>
        <w:ind w:left="0" w:hanging="851"/>
        <w:rPr>
          <w:lang w:val="en-US"/>
        </w:rPr>
      </w:pPr>
      <w:r w:rsidRPr="002428B7">
        <w:t xml:space="preserve">Lektura uzmysławia nam, że projekt UD263 jest wysoce niedopracowany. </w:t>
      </w:r>
      <w:r w:rsidRPr="002428B7">
        <w:rPr>
          <w:lang w:val="en-US"/>
        </w:rPr>
        <w:t xml:space="preserve">Co </w:t>
      </w:r>
      <w:proofErr w:type="spellStart"/>
      <w:r w:rsidRPr="002428B7">
        <w:rPr>
          <w:lang w:val="en-US"/>
        </w:rPr>
        <w:t>więcej</w:t>
      </w:r>
      <w:proofErr w:type="spellEnd"/>
      <w:r w:rsidRPr="002428B7">
        <w:rPr>
          <w:lang w:val="en-US"/>
        </w:rPr>
        <w:t xml:space="preserve">, z </w:t>
      </w:r>
      <w:proofErr w:type="spellStart"/>
      <w:r w:rsidRPr="002428B7">
        <w:rPr>
          <w:lang w:val="en-US"/>
        </w:rPr>
        <w:t>jego</w:t>
      </w:r>
      <w:proofErr w:type="spellEnd"/>
      <w:r w:rsidRPr="002428B7">
        <w:rPr>
          <w:lang w:val="en-US"/>
        </w:rPr>
        <w:t xml:space="preserve"> </w:t>
      </w:r>
      <w:proofErr w:type="spellStart"/>
      <w:r w:rsidRPr="002428B7">
        <w:rPr>
          <w:lang w:val="en-US"/>
        </w:rPr>
        <w:t>założeń</w:t>
      </w:r>
      <w:proofErr w:type="spellEnd"/>
      <w:r w:rsidRPr="002428B7">
        <w:rPr>
          <w:lang w:val="en-US"/>
        </w:rPr>
        <w:t xml:space="preserve"> </w:t>
      </w:r>
      <w:proofErr w:type="spellStart"/>
      <w:r w:rsidRPr="002428B7">
        <w:rPr>
          <w:lang w:val="en-US"/>
        </w:rPr>
        <w:t>niestety</w:t>
      </w:r>
      <w:proofErr w:type="spellEnd"/>
      <w:r w:rsidRPr="002428B7">
        <w:rPr>
          <w:lang w:val="en-US"/>
        </w:rPr>
        <w:t xml:space="preserve">: </w:t>
      </w:r>
    </w:p>
    <w:p w14:paraId="1F2EBDB5" w14:textId="77777777" w:rsidR="00B80330" w:rsidRPr="00046454" w:rsidRDefault="00B80330" w:rsidP="00046454">
      <w:pPr>
        <w:pStyle w:val="nrbrzegowy2"/>
        <w:numPr>
          <w:ilvl w:val="0"/>
          <w:numId w:val="0"/>
        </w:numPr>
        <w:rPr>
          <w:color w:val="2E74B5" w:themeColor="accent5" w:themeShade="BF"/>
          <w:lang w:val="en-US"/>
        </w:rPr>
      </w:pPr>
      <w:r w:rsidRPr="00046454">
        <w:rPr>
          <w:color w:val="2E74B5" w:themeColor="accent5" w:themeShade="BF"/>
          <w:lang w:val="en-US"/>
        </w:rPr>
        <w:t>Reading makes us realize that the UD263 draft is highly underdeveloped. Moreover, from its assumptions, unfortunately:</w:t>
      </w:r>
    </w:p>
    <w:p w14:paraId="5649110B" w14:textId="77777777" w:rsidR="001F7A1E" w:rsidRPr="004D1B53" w:rsidRDefault="001F7A1E" w:rsidP="001F7A1E">
      <w:pPr>
        <w:pStyle w:val="Akapitzlist"/>
        <w:autoSpaceDE w:val="0"/>
        <w:autoSpaceDN w:val="0"/>
        <w:adjustRightInd w:val="0"/>
        <w:ind w:left="567"/>
        <w:jc w:val="both"/>
        <w:rPr>
          <w:rFonts w:asciiTheme="minorHAnsi" w:hAnsiTheme="minorHAnsi" w:cstheme="minorHAnsi"/>
          <w:color w:val="000000"/>
          <w:sz w:val="10"/>
          <w:szCs w:val="10"/>
          <w:lang w:val="en-US"/>
        </w:rPr>
      </w:pPr>
    </w:p>
    <w:p w14:paraId="4C1FB740" w14:textId="77777777" w:rsidR="001F7A1E" w:rsidRPr="002428B7" w:rsidRDefault="001F7A1E" w:rsidP="001F6BE3">
      <w:pPr>
        <w:pStyle w:val="Akapitzlist"/>
        <w:numPr>
          <w:ilvl w:val="0"/>
          <w:numId w:val="33"/>
        </w:numPr>
        <w:autoSpaceDE w:val="0"/>
        <w:autoSpaceDN w:val="0"/>
        <w:adjustRightInd w:val="0"/>
        <w:ind w:left="567" w:hanging="283"/>
        <w:contextualSpacing/>
        <w:jc w:val="both"/>
        <w:rPr>
          <w:rFonts w:asciiTheme="minorHAnsi" w:hAnsiTheme="minorHAnsi" w:cstheme="minorHAnsi"/>
          <w:sz w:val="24"/>
          <w:szCs w:val="24"/>
        </w:rPr>
      </w:pPr>
      <w:r w:rsidRPr="002428B7">
        <w:rPr>
          <w:rFonts w:asciiTheme="minorHAnsi" w:hAnsiTheme="minorHAnsi" w:cstheme="minorHAnsi"/>
          <w:b/>
          <w:bCs/>
          <w:sz w:val="24"/>
          <w:szCs w:val="24"/>
          <w:u w:val="single"/>
        </w:rPr>
        <w:t>wynika, że</w:t>
      </w:r>
      <w:r w:rsidRPr="002428B7">
        <w:rPr>
          <w:rFonts w:asciiTheme="minorHAnsi" w:hAnsiTheme="minorHAnsi" w:cstheme="minorHAnsi"/>
          <w:b/>
          <w:bCs/>
          <w:sz w:val="24"/>
          <w:szCs w:val="24"/>
        </w:rPr>
        <w:t xml:space="preserve">: </w:t>
      </w:r>
      <w:r w:rsidRPr="002428B7">
        <w:rPr>
          <w:rFonts w:asciiTheme="minorHAnsi" w:hAnsiTheme="minorHAnsi" w:cstheme="minorHAnsi"/>
          <w:sz w:val="24"/>
          <w:szCs w:val="24"/>
        </w:rPr>
        <w:t xml:space="preserve">zawiera on nienaprawialne usterki (kilka błędów omówiono niżej, najpoważniejsze </w:t>
      </w:r>
      <w:bookmarkStart w:id="117" w:name="_Hlk141506971"/>
      <w:r w:rsidRPr="002428B7">
        <w:rPr>
          <w:rFonts w:asciiTheme="minorHAnsi" w:hAnsiTheme="minorHAnsi" w:cstheme="minorHAnsi"/>
          <w:sz w:val="24"/>
          <w:szCs w:val="24"/>
        </w:rPr>
        <w:t>wymagają odrębnych publikacji</w:t>
      </w:r>
      <w:bookmarkEnd w:id="117"/>
      <w:r w:rsidRPr="002428B7">
        <w:rPr>
          <w:rFonts w:asciiTheme="minorHAnsi" w:hAnsiTheme="minorHAnsi" w:cstheme="minorHAnsi"/>
          <w:sz w:val="24"/>
          <w:szCs w:val="24"/>
        </w:rPr>
        <w:t>);</w:t>
      </w:r>
    </w:p>
    <w:p w14:paraId="3EE038A8" w14:textId="77777777" w:rsidR="00B80330" w:rsidRPr="00046454" w:rsidRDefault="00B80330" w:rsidP="00B80330">
      <w:pPr>
        <w:pStyle w:val="Akapitzlist"/>
        <w:numPr>
          <w:ilvl w:val="0"/>
          <w:numId w:val="33"/>
        </w:numPr>
        <w:autoSpaceDE w:val="0"/>
        <w:autoSpaceDN w:val="0"/>
        <w:adjustRightInd w:val="0"/>
        <w:ind w:left="567" w:hanging="283"/>
        <w:contextualSpacing/>
        <w:jc w:val="both"/>
        <w:rPr>
          <w:rFonts w:cstheme="minorHAnsi"/>
          <w:color w:val="2E74B5" w:themeColor="accent5" w:themeShade="BF"/>
          <w:sz w:val="24"/>
          <w:szCs w:val="24"/>
          <w:lang w:val="en-US"/>
        </w:rPr>
      </w:pPr>
      <w:r w:rsidRPr="00046454">
        <w:rPr>
          <w:rFonts w:asciiTheme="minorHAnsi" w:hAnsiTheme="minorHAnsi" w:cstheme="minorHAnsi"/>
          <w:b/>
          <w:bCs/>
          <w:color w:val="2E74B5" w:themeColor="accent5" w:themeShade="BF"/>
          <w:sz w:val="24"/>
          <w:szCs w:val="24"/>
          <w:u w:val="single"/>
          <w:lang w:val="en-US"/>
        </w:rPr>
        <w:t>results that</w:t>
      </w:r>
      <w:r w:rsidRPr="00046454">
        <w:rPr>
          <w:rFonts w:asciiTheme="minorHAnsi" w:hAnsiTheme="minorHAnsi" w:cstheme="minorHAnsi"/>
          <w:color w:val="2E74B5" w:themeColor="accent5" w:themeShade="BF"/>
          <w:sz w:val="24"/>
          <w:szCs w:val="24"/>
          <w:lang w:val="en-US"/>
        </w:rPr>
        <w:t>: it contains irreparable defects (several errors are discussed below, the most serious ones require separate publication</w:t>
      </w:r>
      <w:proofErr w:type="gramStart"/>
      <w:r w:rsidRPr="00046454">
        <w:rPr>
          <w:rFonts w:asciiTheme="minorHAnsi" w:hAnsiTheme="minorHAnsi" w:cstheme="minorHAnsi"/>
          <w:color w:val="2E74B5" w:themeColor="accent5" w:themeShade="BF"/>
          <w:sz w:val="24"/>
          <w:szCs w:val="24"/>
          <w:lang w:val="en-US"/>
        </w:rPr>
        <w:t>);</w:t>
      </w:r>
      <w:proofErr w:type="gramEnd"/>
    </w:p>
    <w:p w14:paraId="3AEA67B6" w14:textId="77777777" w:rsidR="00B80330" w:rsidRPr="0086648C" w:rsidRDefault="00B80330" w:rsidP="00B80330">
      <w:pPr>
        <w:pStyle w:val="Akapitzlist"/>
        <w:autoSpaceDE w:val="0"/>
        <w:autoSpaceDN w:val="0"/>
        <w:adjustRightInd w:val="0"/>
        <w:ind w:left="567"/>
        <w:contextualSpacing/>
        <w:jc w:val="both"/>
        <w:rPr>
          <w:rFonts w:asciiTheme="minorHAnsi" w:hAnsiTheme="minorHAnsi" w:cstheme="minorHAnsi"/>
          <w:color w:val="0070C0"/>
          <w:sz w:val="10"/>
          <w:szCs w:val="10"/>
          <w:lang w:val="en-US"/>
        </w:rPr>
      </w:pPr>
    </w:p>
    <w:p w14:paraId="58A457F7" w14:textId="0C3668A4" w:rsidR="001F7A1E" w:rsidRPr="002428B7" w:rsidRDefault="001F7A1E" w:rsidP="001F6BE3">
      <w:pPr>
        <w:pStyle w:val="Akapitzlist"/>
        <w:numPr>
          <w:ilvl w:val="0"/>
          <w:numId w:val="33"/>
        </w:numPr>
        <w:autoSpaceDE w:val="0"/>
        <w:autoSpaceDN w:val="0"/>
        <w:adjustRightInd w:val="0"/>
        <w:ind w:left="567" w:hanging="283"/>
        <w:contextualSpacing/>
        <w:jc w:val="both"/>
        <w:rPr>
          <w:rFonts w:asciiTheme="minorHAnsi" w:hAnsiTheme="minorHAnsi" w:cstheme="minorHAnsi"/>
          <w:color w:val="000000"/>
          <w:sz w:val="24"/>
          <w:szCs w:val="24"/>
        </w:rPr>
      </w:pPr>
      <w:r w:rsidRPr="002428B7">
        <w:rPr>
          <w:rFonts w:asciiTheme="minorHAnsi" w:hAnsiTheme="minorHAnsi" w:cstheme="minorHAnsi"/>
          <w:b/>
          <w:bCs/>
          <w:color w:val="000000"/>
          <w:sz w:val="24"/>
          <w:szCs w:val="24"/>
          <w:u w:val="single"/>
        </w:rPr>
        <w:t>wynika, że</w:t>
      </w:r>
      <w:r w:rsidRPr="002428B7">
        <w:rPr>
          <w:rFonts w:asciiTheme="minorHAnsi" w:hAnsiTheme="minorHAnsi" w:cstheme="minorHAnsi"/>
          <w:b/>
          <w:bCs/>
          <w:color w:val="000000"/>
          <w:sz w:val="24"/>
          <w:szCs w:val="24"/>
        </w:rPr>
        <w:t xml:space="preserve">: </w:t>
      </w:r>
      <w:r w:rsidRPr="002428B7">
        <w:rPr>
          <w:rFonts w:asciiTheme="minorHAnsi" w:hAnsiTheme="minorHAnsi" w:cstheme="minorHAnsi"/>
          <w:color w:val="000000"/>
          <w:sz w:val="24"/>
          <w:szCs w:val="24"/>
        </w:rPr>
        <w:t>zaproponowano w nim rozwiązania, które z założenia generowałyby koszty (społeczne i ekonomiczne), np. w uzasadnieniu projektu UD263 zapewnia się nas, że nastąpi przyspieszenie udzielania praw wyłącznych na wzory użytkowe, gdy będą udzielane w szybkim trybie „</w:t>
      </w:r>
      <w:r w:rsidRPr="002428B7">
        <w:rPr>
          <w:rFonts w:asciiTheme="minorHAnsi" w:hAnsiTheme="minorHAnsi" w:cstheme="minorHAnsi"/>
          <w:i/>
          <w:iCs/>
          <w:color w:val="000000"/>
          <w:sz w:val="24"/>
          <w:szCs w:val="24"/>
        </w:rPr>
        <w:t>rejestrowym</w:t>
      </w:r>
      <w:r w:rsidRPr="002428B7">
        <w:rPr>
          <w:rFonts w:asciiTheme="minorHAnsi" w:hAnsiTheme="minorHAnsi" w:cstheme="minorHAnsi"/>
          <w:color w:val="000000"/>
          <w:sz w:val="24"/>
          <w:szCs w:val="24"/>
        </w:rPr>
        <w:t>”, a nie po starannie przeprowadzanym „</w:t>
      </w:r>
      <w:r w:rsidRPr="002428B7">
        <w:rPr>
          <w:rFonts w:asciiTheme="minorHAnsi" w:hAnsiTheme="minorHAnsi" w:cstheme="minorHAnsi"/>
          <w:i/>
          <w:iCs/>
          <w:color w:val="000000"/>
          <w:sz w:val="24"/>
          <w:szCs w:val="24"/>
        </w:rPr>
        <w:t>badawczym</w:t>
      </w:r>
      <w:r w:rsidRPr="002428B7">
        <w:rPr>
          <w:rFonts w:asciiTheme="minorHAnsi" w:hAnsiTheme="minorHAnsi" w:cstheme="minorHAnsi"/>
          <w:color w:val="000000"/>
          <w:sz w:val="24"/>
          <w:szCs w:val="24"/>
        </w:rPr>
        <w:t>”; tymczasem nie wolno wprowadzać tego typu zmian w sposób nieprzemyślany - świetnie zilustrowano ten problem tym</w:t>
      </w:r>
      <w:r w:rsidR="001C51B8">
        <w:rPr>
          <w:rFonts w:asciiTheme="minorHAnsi" w:hAnsiTheme="minorHAnsi" w:cstheme="minorHAnsi"/>
          <w:color w:val="000000"/>
          <w:sz w:val="24"/>
          <w:szCs w:val="24"/>
        </w:rPr>
        <w:t>,</w:t>
      </w:r>
      <w:r w:rsidRPr="002428B7">
        <w:rPr>
          <w:rFonts w:asciiTheme="minorHAnsi" w:hAnsiTheme="minorHAnsi" w:cstheme="minorHAnsi"/>
          <w:color w:val="000000"/>
          <w:sz w:val="24"/>
          <w:szCs w:val="24"/>
        </w:rPr>
        <w:t xml:space="preserve"> co stało się</w:t>
      </w:r>
      <w:r w:rsidR="001C51B8">
        <w:rPr>
          <w:rFonts w:asciiTheme="minorHAnsi" w:hAnsiTheme="minorHAnsi" w:cstheme="minorHAnsi"/>
          <w:color w:val="000000"/>
          <w:sz w:val="24"/>
          <w:szCs w:val="24"/>
        </w:rPr>
        <w:t>,</w:t>
      </w:r>
      <w:r w:rsidRPr="002428B7">
        <w:rPr>
          <w:rFonts w:asciiTheme="minorHAnsi" w:hAnsiTheme="minorHAnsi" w:cstheme="minorHAnsi"/>
          <w:color w:val="000000"/>
          <w:sz w:val="24"/>
          <w:szCs w:val="24"/>
        </w:rPr>
        <w:t xml:space="preserve"> gdy zastąpiono tryb „</w:t>
      </w:r>
      <w:r w:rsidRPr="002428B7">
        <w:rPr>
          <w:rFonts w:asciiTheme="minorHAnsi" w:hAnsiTheme="minorHAnsi" w:cstheme="minorHAnsi"/>
          <w:i/>
          <w:iCs/>
          <w:color w:val="000000"/>
          <w:sz w:val="24"/>
          <w:szCs w:val="24"/>
        </w:rPr>
        <w:t>badawczy</w:t>
      </w:r>
      <w:r w:rsidRPr="002428B7">
        <w:rPr>
          <w:rFonts w:asciiTheme="minorHAnsi" w:hAnsiTheme="minorHAnsi" w:cstheme="minorHAnsi"/>
          <w:color w:val="000000"/>
          <w:sz w:val="24"/>
          <w:szCs w:val="24"/>
        </w:rPr>
        <w:t>” formalnym</w:t>
      </w:r>
      <w:r w:rsidR="001C51B8">
        <w:rPr>
          <w:rFonts w:asciiTheme="minorHAnsi" w:hAnsiTheme="minorHAnsi" w:cstheme="minorHAnsi"/>
          <w:color w:val="000000"/>
          <w:sz w:val="24"/>
          <w:szCs w:val="24"/>
        </w:rPr>
        <w:t>, tzw.</w:t>
      </w:r>
      <w:r w:rsidRPr="002428B7">
        <w:rPr>
          <w:rFonts w:asciiTheme="minorHAnsi" w:hAnsiTheme="minorHAnsi" w:cstheme="minorHAnsi"/>
          <w:color w:val="000000"/>
          <w:sz w:val="24"/>
          <w:szCs w:val="24"/>
        </w:rPr>
        <w:t xml:space="preserve"> „</w:t>
      </w:r>
      <w:r w:rsidRPr="002428B7">
        <w:rPr>
          <w:rFonts w:asciiTheme="minorHAnsi" w:hAnsiTheme="minorHAnsi" w:cstheme="minorHAnsi"/>
          <w:i/>
          <w:iCs/>
          <w:color w:val="000000"/>
          <w:sz w:val="24"/>
          <w:szCs w:val="24"/>
        </w:rPr>
        <w:t>rejestrowym</w:t>
      </w:r>
      <w:r w:rsidRPr="002428B7">
        <w:rPr>
          <w:rFonts w:asciiTheme="minorHAnsi" w:hAnsiTheme="minorHAnsi" w:cstheme="minorHAnsi"/>
          <w:color w:val="000000"/>
          <w:sz w:val="24"/>
          <w:szCs w:val="24"/>
        </w:rPr>
        <w:t>”</w:t>
      </w:r>
      <w:r w:rsidR="001C51B8">
        <w:rPr>
          <w:rFonts w:asciiTheme="minorHAnsi" w:hAnsiTheme="minorHAnsi" w:cstheme="minorHAnsi"/>
          <w:color w:val="000000"/>
          <w:sz w:val="24"/>
          <w:szCs w:val="24"/>
        </w:rPr>
        <w:t>,</w:t>
      </w:r>
      <w:r w:rsidRPr="002428B7">
        <w:rPr>
          <w:rFonts w:asciiTheme="minorHAnsi" w:hAnsiTheme="minorHAnsi" w:cstheme="minorHAnsi"/>
          <w:color w:val="000000"/>
          <w:sz w:val="24"/>
          <w:szCs w:val="24"/>
        </w:rPr>
        <w:t xml:space="preserve"> wdrażając tak zwaną „</w:t>
      </w:r>
      <w:r w:rsidRPr="002428B7">
        <w:rPr>
          <w:rFonts w:asciiTheme="minorHAnsi" w:hAnsiTheme="minorHAnsi" w:cstheme="minorHAnsi"/>
          <w:i/>
          <w:iCs/>
          <w:color w:val="000000"/>
          <w:sz w:val="24"/>
          <w:szCs w:val="24"/>
        </w:rPr>
        <w:t>ustawę pościgową</w:t>
      </w:r>
      <w:r w:rsidRPr="002428B7">
        <w:rPr>
          <w:rFonts w:asciiTheme="minorHAnsi" w:hAnsiTheme="minorHAnsi" w:cstheme="minorHAnsi"/>
          <w:color w:val="000000"/>
          <w:sz w:val="24"/>
          <w:szCs w:val="24"/>
        </w:rPr>
        <w:t>” zawierającą (podobnie jak UD263) wadliwe rozwiązanie dotyczące polskich znaków towarowych; wówczas także w uzasadnieniu projektu ustawy zapewniano nas o „</w:t>
      </w:r>
      <w:r w:rsidRPr="002428B7">
        <w:rPr>
          <w:rFonts w:asciiTheme="minorHAnsi" w:hAnsiTheme="minorHAnsi" w:cstheme="minorHAnsi"/>
          <w:i/>
          <w:iCs/>
          <w:color w:val="000000"/>
          <w:sz w:val="24"/>
          <w:szCs w:val="24"/>
        </w:rPr>
        <w:t>przyspieszeniu</w:t>
      </w:r>
      <w:r w:rsidRPr="002428B7">
        <w:rPr>
          <w:rFonts w:asciiTheme="minorHAnsi" w:hAnsiTheme="minorHAnsi" w:cstheme="minorHAnsi"/>
          <w:color w:val="000000"/>
          <w:sz w:val="24"/>
          <w:szCs w:val="24"/>
        </w:rPr>
        <w:t xml:space="preserve">”, zaś dziś konieczne są kolejne publikacje, aby omówić poważne skutki nieporadnej legislacji pościgowej (oraz koncepcji sprowadzania znakomitej kadry eksperckiej Urzędu Patentowego RP do roli kasjerów);  </w:t>
      </w:r>
    </w:p>
    <w:p w14:paraId="17B97C11" w14:textId="77777777" w:rsidR="00B80330" w:rsidRPr="00046454" w:rsidRDefault="00B80330" w:rsidP="00B80330">
      <w:pPr>
        <w:pStyle w:val="Akapitzlist"/>
        <w:numPr>
          <w:ilvl w:val="0"/>
          <w:numId w:val="33"/>
        </w:numPr>
        <w:autoSpaceDE w:val="0"/>
        <w:autoSpaceDN w:val="0"/>
        <w:adjustRightInd w:val="0"/>
        <w:ind w:left="567" w:hanging="283"/>
        <w:contextualSpacing/>
        <w:jc w:val="both"/>
        <w:rPr>
          <w:rFonts w:cstheme="minorHAnsi"/>
          <w:color w:val="2E74B5" w:themeColor="accent5" w:themeShade="BF"/>
          <w:sz w:val="24"/>
          <w:szCs w:val="24"/>
          <w:lang w:val="en-US"/>
        </w:rPr>
      </w:pPr>
      <w:r w:rsidRPr="00046454">
        <w:rPr>
          <w:rFonts w:asciiTheme="minorHAnsi" w:hAnsiTheme="minorHAnsi" w:cstheme="minorHAnsi"/>
          <w:b/>
          <w:bCs/>
          <w:color w:val="2E74B5" w:themeColor="accent5" w:themeShade="BF"/>
          <w:sz w:val="24"/>
          <w:szCs w:val="24"/>
          <w:u w:val="single"/>
          <w:lang w:val="en-US"/>
        </w:rPr>
        <w:t>results that</w:t>
      </w:r>
      <w:r w:rsidRPr="00046454">
        <w:rPr>
          <w:rFonts w:asciiTheme="minorHAnsi" w:hAnsiTheme="minorHAnsi" w:cstheme="minorHAnsi"/>
          <w:color w:val="2E74B5" w:themeColor="accent5" w:themeShade="BF"/>
          <w:sz w:val="24"/>
          <w:szCs w:val="24"/>
          <w:lang w:val="en-US"/>
        </w:rPr>
        <w:t xml:space="preserve">: it proposes solutions that would inherently generate costs (social and economic), e.g. in the justification of the draft UD263, we are assured that there will be an acceleration of granting exclusive rights for utility models when they are granted under the fast </w:t>
      </w:r>
      <w:r w:rsidRPr="00046454">
        <w:rPr>
          <w:rFonts w:asciiTheme="minorHAnsi" w:hAnsiTheme="minorHAnsi" w:cstheme="minorHAnsi"/>
          <w:i/>
          <w:iCs/>
          <w:color w:val="2E74B5" w:themeColor="accent5" w:themeShade="BF"/>
          <w:sz w:val="24"/>
          <w:szCs w:val="24"/>
          <w:lang w:val="en-US"/>
        </w:rPr>
        <w:t>"registration"</w:t>
      </w:r>
      <w:r w:rsidRPr="00046454">
        <w:rPr>
          <w:rFonts w:asciiTheme="minorHAnsi" w:hAnsiTheme="minorHAnsi" w:cstheme="minorHAnsi"/>
          <w:color w:val="2E74B5" w:themeColor="accent5" w:themeShade="BF"/>
          <w:sz w:val="24"/>
          <w:szCs w:val="24"/>
          <w:lang w:val="en-US"/>
        </w:rPr>
        <w:t xml:space="preserve"> procedure, and not after a carefully conducted </w:t>
      </w:r>
      <w:r w:rsidRPr="00046454">
        <w:rPr>
          <w:rFonts w:asciiTheme="minorHAnsi" w:hAnsiTheme="minorHAnsi" w:cstheme="minorHAnsi"/>
          <w:i/>
          <w:iCs/>
          <w:color w:val="2E74B5" w:themeColor="accent5" w:themeShade="BF"/>
          <w:sz w:val="24"/>
          <w:szCs w:val="24"/>
          <w:lang w:val="en-US"/>
        </w:rPr>
        <w:t>"examination"</w:t>
      </w:r>
      <w:r w:rsidRPr="00046454">
        <w:rPr>
          <w:rFonts w:asciiTheme="minorHAnsi" w:hAnsiTheme="minorHAnsi" w:cstheme="minorHAnsi"/>
          <w:color w:val="2E74B5" w:themeColor="accent5" w:themeShade="BF"/>
          <w:sz w:val="24"/>
          <w:szCs w:val="24"/>
          <w:lang w:val="en-US"/>
        </w:rPr>
        <w:t xml:space="preserve">; meanwhile, such changes should not be introduced in an ill-considered manner - this problem is excellently illustrated by what happened when the </w:t>
      </w:r>
      <w:r w:rsidRPr="00046454">
        <w:rPr>
          <w:rFonts w:asciiTheme="minorHAnsi" w:hAnsiTheme="minorHAnsi" w:cstheme="minorHAnsi"/>
          <w:i/>
          <w:iCs/>
          <w:color w:val="2E74B5" w:themeColor="accent5" w:themeShade="BF"/>
          <w:sz w:val="24"/>
          <w:szCs w:val="24"/>
          <w:lang w:val="en-US"/>
        </w:rPr>
        <w:t>"examination"</w:t>
      </w:r>
      <w:r w:rsidRPr="00046454">
        <w:rPr>
          <w:rFonts w:asciiTheme="minorHAnsi" w:hAnsiTheme="minorHAnsi" w:cstheme="minorHAnsi"/>
          <w:color w:val="2E74B5" w:themeColor="accent5" w:themeShade="BF"/>
          <w:sz w:val="24"/>
          <w:szCs w:val="24"/>
          <w:lang w:val="en-US"/>
        </w:rPr>
        <w:t xml:space="preserve"> procedure was replaced with the formal </w:t>
      </w:r>
      <w:r w:rsidRPr="00046454">
        <w:rPr>
          <w:rFonts w:asciiTheme="minorHAnsi" w:hAnsiTheme="minorHAnsi" w:cstheme="minorHAnsi"/>
          <w:i/>
          <w:iCs/>
          <w:color w:val="2E74B5" w:themeColor="accent5" w:themeShade="BF"/>
          <w:sz w:val="24"/>
          <w:szCs w:val="24"/>
          <w:lang w:val="en-US"/>
        </w:rPr>
        <w:t>"registration"</w:t>
      </w:r>
      <w:r w:rsidRPr="00046454">
        <w:rPr>
          <w:rFonts w:asciiTheme="minorHAnsi" w:hAnsiTheme="minorHAnsi" w:cstheme="minorHAnsi"/>
          <w:color w:val="2E74B5" w:themeColor="accent5" w:themeShade="BF"/>
          <w:sz w:val="24"/>
          <w:szCs w:val="24"/>
          <w:lang w:val="en-US"/>
        </w:rPr>
        <w:t xml:space="preserve"> one, implementing the so-called </w:t>
      </w:r>
      <w:r w:rsidRPr="00046454">
        <w:rPr>
          <w:rFonts w:asciiTheme="minorHAnsi" w:hAnsiTheme="minorHAnsi" w:cstheme="minorHAnsi"/>
          <w:i/>
          <w:iCs/>
          <w:color w:val="2E74B5" w:themeColor="accent5" w:themeShade="BF"/>
          <w:sz w:val="24"/>
          <w:szCs w:val="24"/>
          <w:lang w:val="en-US"/>
        </w:rPr>
        <w:t>"pursuit act"</w:t>
      </w:r>
      <w:r w:rsidRPr="00046454">
        <w:rPr>
          <w:rFonts w:asciiTheme="minorHAnsi" w:hAnsiTheme="minorHAnsi" w:cstheme="minorHAnsi"/>
          <w:color w:val="2E74B5" w:themeColor="accent5" w:themeShade="BF"/>
          <w:sz w:val="24"/>
          <w:szCs w:val="24"/>
          <w:lang w:val="en-US"/>
        </w:rPr>
        <w:t xml:space="preserve"> containing (similarly to UD263) a flawed solution concerning Polish trademarks; at that time we were also assured of </w:t>
      </w:r>
      <w:r w:rsidRPr="00046454">
        <w:rPr>
          <w:rFonts w:asciiTheme="minorHAnsi" w:hAnsiTheme="minorHAnsi" w:cstheme="minorHAnsi"/>
          <w:i/>
          <w:iCs/>
          <w:color w:val="2E74B5" w:themeColor="accent5" w:themeShade="BF"/>
          <w:sz w:val="24"/>
          <w:szCs w:val="24"/>
          <w:lang w:val="en-US"/>
        </w:rPr>
        <w:t>"acceleration"</w:t>
      </w:r>
      <w:r w:rsidRPr="00046454">
        <w:rPr>
          <w:rFonts w:asciiTheme="minorHAnsi" w:hAnsiTheme="minorHAnsi" w:cstheme="minorHAnsi"/>
          <w:color w:val="2E74B5" w:themeColor="accent5" w:themeShade="BF"/>
          <w:sz w:val="24"/>
          <w:szCs w:val="24"/>
          <w:lang w:val="en-US"/>
        </w:rPr>
        <w:t xml:space="preserve"> in the explanatory memorandum of the act, while today further publications are needed to discuss the serious consequences of the clumsy pursuit legislation (and the concept of reducing the excellent expert staff of the Polish Patent Office to the role of cashiers);</w:t>
      </w:r>
    </w:p>
    <w:p w14:paraId="389952FD" w14:textId="77777777" w:rsidR="001F7A1E" w:rsidRPr="00B80330" w:rsidRDefault="001F7A1E" w:rsidP="001F7A1E">
      <w:pPr>
        <w:pStyle w:val="Akapitzlist"/>
        <w:rPr>
          <w:rFonts w:asciiTheme="minorHAnsi" w:hAnsiTheme="minorHAnsi" w:cstheme="minorHAnsi"/>
          <w:color w:val="000000"/>
          <w:sz w:val="10"/>
          <w:szCs w:val="10"/>
          <w:lang w:val="en-US"/>
        </w:rPr>
      </w:pPr>
    </w:p>
    <w:p w14:paraId="6D118880" w14:textId="1E590EC2" w:rsidR="001F7A1E" w:rsidRPr="002428B7" w:rsidRDefault="001F7A1E" w:rsidP="001F6BE3">
      <w:pPr>
        <w:pStyle w:val="Akapitzlist"/>
        <w:numPr>
          <w:ilvl w:val="0"/>
          <w:numId w:val="33"/>
        </w:numPr>
        <w:autoSpaceDE w:val="0"/>
        <w:autoSpaceDN w:val="0"/>
        <w:adjustRightInd w:val="0"/>
        <w:ind w:left="567" w:hanging="283"/>
        <w:contextualSpacing/>
        <w:jc w:val="both"/>
        <w:rPr>
          <w:rFonts w:asciiTheme="minorHAnsi" w:hAnsiTheme="minorHAnsi" w:cstheme="minorHAnsi"/>
          <w:sz w:val="24"/>
          <w:szCs w:val="24"/>
        </w:rPr>
      </w:pPr>
      <w:r w:rsidRPr="002428B7">
        <w:rPr>
          <w:rFonts w:asciiTheme="minorHAnsi" w:hAnsiTheme="minorHAnsi" w:cstheme="minorHAnsi"/>
          <w:b/>
          <w:bCs/>
          <w:sz w:val="24"/>
          <w:szCs w:val="24"/>
          <w:u w:val="single"/>
        </w:rPr>
        <w:t>wynika, że</w:t>
      </w:r>
      <w:r w:rsidRPr="002428B7">
        <w:rPr>
          <w:rFonts w:asciiTheme="minorHAnsi" w:hAnsiTheme="minorHAnsi" w:cstheme="minorHAnsi"/>
          <w:b/>
          <w:bCs/>
          <w:sz w:val="24"/>
          <w:szCs w:val="24"/>
        </w:rPr>
        <w:t>:</w:t>
      </w:r>
      <w:r w:rsidRPr="002428B7">
        <w:rPr>
          <w:rFonts w:asciiTheme="minorHAnsi" w:hAnsiTheme="minorHAnsi" w:cstheme="minorHAnsi"/>
          <w:sz w:val="24"/>
          <w:szCs w:val="24"/>
        </w:rPr>
        <w:t xml:space="preserve"> jest rezultatem próby promocji instytucji forsujących ten projekt, które nie są przygotowane do podejmowania tak poważnych zadań, w których po prostu nie dostrzega się potrzeby przewidywania rezultatów proponowanych działań i beztrosko proponuje się dodatkowe obciążanie wymiaru sprawiedliwości wynikiem systemowo wadliwych rozwiązań.</w:t>
      </w:r>
    </w:p>
    <w:p w14:paraId="77EF3B8F" w14:textId="77777777" w:rsidR="00B80330" w:rsidRPr="00046454" w:rsidRDefault="00B80330" w:rsidP="00B80330">
      <w:pPr>
        <w:pStyle w:val="Akapitzlist"/>
        <w:numPr>
          <w:ilvl w:val="0"/>
          <w:numId w:val="33"/>
        </w:numPr>
        <w:autoSpaceDE w:val="0"/>
        <w:autoSpaceDN w:val="0"/>
        <w:adjustRightInd w:val="0"/>
        <w:ind w:left="567" w:hanging="283"/>
        <w:contextualSpacing/>
        <w:jc w:val="both"/>
        <w:rPr>
          <w:rFonts w:asciiTheme="minorHAnsi" w:hAnsiTheme="minorHAnsi" w:cstheme="minorHAnsi"/>
          <w:color w:val="2E74B5" w:themeColor="accent5" w:themeShade="BF"/>
          <w:sz w:val="24"/>
          <w:szCs w:val="24"/>
          <w:lang w:val="en-US"/>
        </w:rPr>
      </w:pPr>
      <w:r w:rsidRPr="00046454">
        <w:rPr>
          <w:rFonts w:asciiTheme="minorHAnsi" w:hAnsiTheme="minorHAnsi" w:cstheme="minorHAnsi"/>
          <w:b/>
          <w:bCs/>
          <w:color w:val="2E74B5" w:themeColor="accent5" w:themeShade="BF"/>
          <w:sz w:val="24"/>
          <w:szCs w:val="24"/>
          <w:u w:val="single"/>
          <w:lang w:val="en-US"/>
        </w:rPr>
        <w:t>results that</w:t>
      </w:r>
      <w:r w:rsidRPr="00046454">
        <w:rPr>
          <w:rFonts w:asciiTheme="minorHAnsi" w:hAnsiTheme="minorHAnsi" w:cstheme="minorHAnsi"/>
          <w:color w:val="2E74B5" w:themeColor="accent5" w:themeShade="BF"/>
          <w:sz w:val="24"/>
          <w:szCs w:val="24"/>
          <w:lang w:val="en-US"/>
        </w:rPr>
        <w:t>: it is the effect of an attempt to promote institutions forcing this project, which are not prepared to undertake such serious tasks, in which there is simply no need to anticipate the effects of the proposed actions and it is carelessly proposed to burden the judiciary with the result of systemically flawed solutions.</w:t>
      </w:r>
    </w:p>
    <w:p w14:paraId="0756B539" w14:textId="77777777" w:rsidR="00B80330" w:rsidRPr="00B80330" w:rsidRDefault="00B80330" w:rsidP="001F7A1E">
      <w:pPr>
        <w:pStyle w:val="Akapitzlist"/>
        <w:autoSpaceDE w:val="0"/>
        <w:autoSpaceDN w:val="0"/>
        <w:adjustRightInd w:val="0"/>
        <w:ind w:left="567"/>
        <w:jc w:val="both"/>
        <w:rPr>
          <w:rFonts w:asciiTheme="minorHAnsi" w:hAnsiTheme="minorHAnsi" w:cstheme="minorHAnsi"/>
          <w:color w:val="000000"/>
          <w:sz w:val="10"/>
          <w:szCs w:val="10"/>
          <w:lang w:val="en-US"/>
        </w:rPr>
      </w:pPr>
    </w:p>
    <w:p w14:paraId="1CA51229" w14:textId="4FFF08A5" w:rsidR="001F7A1E" w:rsidRPr="001C51B8" w:rsidRDefault="001F7A1E" w:rsidP="00046454">
      <w:pPr>
        <w:pStyle w:val="nrbrzegowy2"/>
        <w:ind w:left="0" w:hanging="851"/>
        <w:rPr>
          <w:color w:val="0070C0"/>
        </w:rPr>
      </w:pPr>
      <w:r w:rsidRPr="002428B7">
        <w:lastRenderedPageBreak/>
        <w:t>Ogromna szkoda, że projekt UD263 nie został poprzedzony opracowaniem założeń, które czytelnie wyjaśniłyby intencje projektodawcy. Fakt, że ich zabrakło</w:t>
      </w:r>
      <w:r w:rsidR="001C51B8">
        <w:t>,</w:t>
      </w:r>
      <w:r w:rsidRPr="002428B7">
        <w:t xml:space="preserve"> wynika z informacji udostępnianych przez Rządowe Centrum Legislacji na temat projektu ustawy </w:t>
      </w:r>
      <w:r w:rsidRPr="002428B7">
        <w:rPr>
          <w:b/>
        </w:rPr>
        <w:t>UD263</w:t>
      </w:r>
      <w:r w:rsidRPr="002428B7">
        <w:t xml:space="preserve">, które dostępne są pod adresem </w:t>
      </w:r>
      <w:hyperlink r:id="rId143" w:history="1">
        <w:r w:rsidRPr="001C51B8">
          <w:rPr>
            <w:rStyle w:val="Hipercze"/>
            <w:rFonts w:cstheme="minorHAnsi"/>
            <w:color w:val="0070C0"/>
            <w:szCs w:val="24"/>
          </w:rPr>
          <w:t>https://legislacja.rcl.gov.pl/projekt/12359055</w:t>
        </w:r>
      </w:hyperlink>
      <w:r w:rsidRPr="001C51B8">
        <w:rPr>
          <w:color w:val="0070C0"/>
        </w:rPr>
        <w:t xml:space="preserve"> :</w:t>
      </w:r>
    </w:p>
    <w:p w14:paraId="3E3C8151" w14:textId="77777777" w:rsidR="00B51759" w:rsidRPr="00046454" w:rsidRDefault="00B51759" w:rsidP="00046454">
      <w:pPr>
        <w:autoSpaceDE w:val="0"/>
        <w:autoSpaceDN w:val="0"/>
        <w:adjustRightInd w:val="0"/>
        <w:spacing w:after="0" w:line="240" w:lineRule="auto"/>
        <w:jc w:val="both"/>
        <w:rPr>
          <w:rFonts w:cstheme="minorHAnsi"/>
          <w:color w:val="2E74B5" w:themeColor="accent5" w:themeShade="BF"/>
          <w:sz w:val="24"/>
          <w:szCs w:val="24"/>
          <w:lang w:val="en-US"/>
        </w:rPr>
      </w:pPr>
      <w:r w:rsidRPr="00046454">
        <w:rPr>
          <w:rFonts w:cstheme="minorHAnsi"/>
          <w:color w:val="2E74B5" w:themeColor="accent5" w:themeShade="BF"/>
          <w:sz w:val="24"/>
          <w:szCs w:val="24"/>
          <w:lang w:val="en-US"/>
        </w:rPr>
        <w:t xml:space="preserve">It is a great pity that the UD263 draft was not preceded by the development of assumptions, which would have clearly explained the intentions of the drafters. The fact that these were missing is evident from the information made available by the Government Legislation Centre on the UD263 act draft, which is available at </w:t>
      </w:r>
      <w:proofErr w:type="gramStart"/>
      <w:r w:rsidRPr="00046454">
        <w:rPr>
          <w:rFonts w:cstheme="minorHAnsi"/>
          <w:color w:val="2E74B5" w:themeColor="accent5" w:themeShade="BF"/>
          <w:sz w:val="24"/>
          <w:szCs w:val="24"/>
          <w:lang w:val="en-US"/>
        </w:rPr>
        <w:t>https://legislacja.rcl.gov.pl/projekt/12359055 :</w:t>
      </w:r>
      <w:proofErr w:type="gramEnd"/>
    </w:p>
    <w:p w14:paraId="073EE44F" w14:textId="77777777" w:rsidR="001F7A1E" w:rsidRPr="00B51759" w:rsidRDefault="001F7A1E" w:rsidP="001F7A1E">
      <w:pPr>
        <w:autoSpaceDE w:val="0"/>
        <w:autoSpaceDN w:val="0"/>
        <w:adjustRightInd w:val="0"/>
        <w:spacing w:after="0" w:line="240" w:lineRule="auto"/>
        <w:jc w:val="both"/>
        <w:rPr>
          <w:rFonts w:cstheme="minorHAnsi"/>
          <w:color w:val="000000"/>
          <w:sz w:val="10"/>
          <w:szCs w:val="10"/>
          <w:lang w:val="en-US"/>
        </w:rPr>
      </w:pPr>
    </w:p>
    <w:p w14:paraId="12C95530" w14:textId="77777777" w:rsidR="001F7A1E" w:rsidRPr="002428B7" w:rsidRDefault="001F7A1E" w:rsidP="001F7A1E">
      <w:pPr>
        <w:autoSpaceDE w:val="0"/>
        <w:autoSpaceDN w:val="0"/>
        <w:adjustRightInd w:val="0"/>
        <w:spacing w:after="0" w:line="240" w:lineRule="auto"/>
        <w:ind w:left="567"/>
        <w:jc w:val="both"/>
        <w:rPr>
          <w:rFonts w:cstheme="minorHAnsi"/>
          <w:i/>
          <w:iCs/>
          <w:color w:val="333333"/>
          <w:sz w:val="24"/>
          <w:szCs w:val="24"/>
          <w:shd w:val="clear" w:color="auto" w:fill="FFFFFF"/>
        </w:rPr>
      </w:pPr>
      <w:r w:rsidRPr="002428B7">
        <w:rPr>
          <w:rFonts w:cstheme="minorHAnsi"/>
          <w:i/>
          <w:iCs/>
          <w:color w:val="333333"/>
          <w:sz w:val="24"/>
          <w:szCs w:val="24"/>
          <w:shd w:val="clear" w:color="auto" w:fill="FFFFFF"/>
        </w:rPr>
        <w:t>„Projekt zwolniony z obowiązku opracowywania założeń projektu ustaw decyzją Rady Ministrów”.</w:t>
      </w:r>
    </w:p>
    <w:p w14:paraId="0B3B40A1" w14:textId="77777777" w:rsidR="00B51759" w:rsidRPr="00046454" w:rsidRDefault="00B51759" w:rsidP="00B51759">
      <w:pPr>
        <w:autoSpaceDE w:val="0"/>
        <w:autoSpaceDN w:val="0"/>
        <w:adjustRightInd w:val="0"/>
        <w:spacing w:after="0" w:line="240" w:lineRule="auto"/>
        <w:ind w:left="567"/>
        <w:jc w:val="both"/>
        <w:rPr>
          <w:rFonts w:cstheme="minorHAnsi"/>
          <w:i/>
          <w:iCs/>
          <w:color w:val="2E74B5" w:themeColor="accent5" w:themeShade="BF"/>
          <w:sz w:val="24"/>
          <w:szCs w:val="24"/>
          <w:lang w:val="en-US"/>
        </w:rPr>
      </w:pPr>
      <w:r w:rsidRPr="00046454">
        <w:rPr>
          <w:rFonts w:cstheme="minorHAnsi"/>
          <w:i/>
          <w:iCs/>
          <w:color w:val="2E74B5" w:themeColor="accent5" w:themeShade="BF"/>
          <w:sz w:val="24"/>
          <w:szCs w:val="24"/>
          <w:lang w:val="en-US"/>
        </w:rPr>
        <w:t>"Draft exempted from the obligation to prepare the assumptions of drafts of acts by decision of the Council of Ministers".</w:t>
      </w:r>
    </w:p>
    <w:p w14:paraId="701FE275" w14:textId="77777777" w:rsidR="00B51759" w:rsidRPr="00B51759" w:rsidRDefault="00B51759" w:rsidP="001F7A1E">
      <w:pPr>
        <w:autoSpaceDE w:val="0"/>
        <w:autoSpaceDN w:val="0"/>
        <w:adjustRightInd w:val="0"/>
        <w:spacing w:after="0" w:line="240" w:lineRule="auto"/>
        <w:jc w:val="both"/>
        <w:rPr>
          <w:rFonts w:cstheme="minorHAnsi"/>
          <w:color w:val="000000"/>
          <w:sz w:val="10"/>
          <w:szCs w:val="10"/>
          <w:lang w:val="en-US"/>
        </w:rPr>
      </w:pPr>
    </w:p>
    <w:p w14:paraId="3500A226" w14:textId="77777777" w:rsidR="001F7A1E" w:rsidRPr="002428B7" w:rsidRDefault="001F7A1E" w:rsidP="00046454">
      <w:pPr>
        <w:pStyle w:val="nrbrzegowy2"/>
        <w:ind w:left="0" w:hanging="851"/>
      </w:pPr>
      <w:r w:rsidRPr="002428B7">
        <w:t>Uważamy, że zrezygnowano z przygotowania założeń projektu ustawy Prawo własności przemysłowej</w:t>
      </w:r>
      <w:r w:rsidRPr="002428B7">
        <w:rPr>
          <w:b/>
        </w:rPr>
        <w:t xml:space="preserve"> UD263 </w:t>
      </w:r>
      <w:r w:rsidRPr="002428B7">
        <w:t>w sposób nieprzemyślany, pomimo tego, że:</w:t>
      </w:r>
    </w:p>
    <w:p w14:paraId="1414C87C" w14:textId="77777777" w:rsidR="00B51759" w:rsidRPr="00046454" w:rsidRDefault="00B51759" w:rsidP="00046454">
      <w:pPr>
        <w:pStyle w:val="nrbrzegowy2"/>
        <w:numPr>
          <w:ilvl w:val="0"/>
          <w:numId w:val="0"/>
        </w:numPr>
        <w:rPr>
          <w:color w:val="2E74B5" w:themeColor="accent5" w:themeShade="BF"/>
          <w:lang w:val="en-US"/>
        </w:rPr>
      </w:pPr>
      <w:r w:rsidRPr="00046454">
        <w:rPr>
          <w:color w:val="2E74B5" w:themeColor="accent5" w:themeShade="BF"/>
          <w:lang w:val="en-US"/>
        </w:rPr>
        <w:t xml:space="preserve">We believe that the preparation of the assumptions of the draft of Act on Industrial Property Law </w:t>
      </w:r>
      <w:r w:rsidRPr="00046454">
        <w:rPr>
          <w:b/>
          <w:color w:val="2E74B5" w:themeColor="accent5" w:themeShade="BF"/>
          <w:lang w:val="en-US"/>
        </w:rPr>
        <w:t>UD263</w:t>
      </w:r>
      <w:r w:rsidRPr="00046454">
        <w:rPr>
          <w:color w:val="2E74B5" w:themeColor="accent5" w:themeShade="BF"/>
          <w:lang w:val="en-US"/>
        </w:rPr>
        <w:t xml:space="preserve"> has been abandoned in an ill-considered manner, </w:t>
      </w:r>
      <w:proofErr w:type="gramStart"/>
      <w:r w:rsidRPr="00046454">
        <w:rPr>
          <w:color w:val="2E74B5" w:themeColor="accent5" w:themeShade="BF"/>
          <w:lang w:val="en-US"/>
        </w:rPr>
        <w:t>despite the fact that</w:t>
      </w:r>
      <w:proofErr w:type="gramEnd"/>
      <w:r w:rsidRPr="00046454">
        <w:rPr>
          <w:color w:val="2E74B5" w:themeColor="accent5" w:themeShade="BF"/>
          <w:lang w:val="en-US"/>
        </w:rPr>
        <w:t>:</w:t>
      </w:r>
    </w:p>
    <w:p w14:paraId="2297D3E5" w14:textId="77777777" w:rsidR="001F7A1E" w:rsidRPr="00B51759" w:rsidRDefault="001F7A1E" w:rsidP="001F7A1E">
      <w:pPr>
        <w:autoSpaceDE w:val="0"/>
        <w:autoSpaceDN w:val="0"/>
        <w:adjustRightInd w:val="0"/>
        <w:spacing w:after="0" w:line="240" w:lineRule="auto"/>
        <w:jc w:val="both"/>
        <w:rPr>
          <w:rFonts w:cstheme="minorHAnsi"/>
          <w:color w:val="000000"/>
          <w:sz w:val="10"/>
          <w:szCs w:val="10"/>
          <w:lang w:val="en-US"/>
        </w:rPr>
      </w:pPr>
    </w:p>
    <w:p w14:paraId="35A8B842" w14:textId="77777777" w:rsidR="001F7A1E" w:rsidRPr="002428B7" w:rsidRDefault="001F7A1E" w:rsidP="001F6BE3">
      <w:pPr>
        <w:pStyle w:val="Akapitzlist"/>
        <w:numPr>
          <w:ilvl w:val="0"/>
          <w:numId w:val="31"/>
        </w:numPr>
        <w:autoSpaceDE w:val="0"/>
        <w:autoSpaceDN w:val="0"/>
        <w:adjustRightInd w:val="0"/>
        <w:ind w:left="567" w:hanging="425"/>
        <w:contextualSpacing/>
        <w:jc w:val="both"/>
        <w:rPr>
          <w:rFonts w:asciiTheme="minorHAnsi" w:hAnsiTheme="minorHAnsi" w:cstheme="minorHAnsi"/>
          <w:color w:val="000000"/>
          <w:sz w:val="24"/>
          <w:szCs w:val="24"/>
        </w:rPr>
      </w:pPr>
      <w:r w:rsidRPr="002428B7">
        <w:rPr>
          <w:rFonts w:asciiTheme="minorHAnsi" w:hAnsiTheme="minorHAnsi" w:cstheme="minorHAnsi"/>
          <w:color w:val="000000"/>
          <w:sz w:val="24"/>
          <w:szCs w:val="24"/>
        </w:rPr>
        <w:t>przedmiot regulacji obejmuje materię złożoną, niezwykle ważką dla rozwoju gospodarki narodowej,</w:t>
      </w:r>
    </w:p>
    <w:p w14:paraId="585A89EE" w14:textId="77777777" w:rsidR="00B51759" w:rsidRPr="00046454" w:rsidRDefault="00B51759" w:rsidP="00B51759">
      <w:pPr>
        <w:pStyle w:val="Akapitzlist"/>
        <w:numPr>
          <w:ilvl w:val="0"/>
          <w:numId w:val="31"/>
        </w:numPr>
        <w:autoSpaceDE w:val="0"/>
        <w:autoSpaceDN w:val="0"/>
        <w:adjustRightInd w:val="0"/>
        <w:ind w:left="567" w:hanging="425"/>
        <w:contextualSpacing/>
        <w:jc w:val="both"/>
        <w:rPr>
          <w:rFonts w:asciiTheme="minorHAnsi" w:hAnsiTheme="minorHAnsi" w:cstheme="minorHAnsi"/>
          <w:color w:val="2E74B5" w:themeColor="accent5" w:themeShade="BF"/>
          <w:sz w:val="24"/>
          <w:szCs w:val="24"/>
          <w:lang w:val="en-US"/>
        </w:rPr>
      </w:pPr>
      <w:r w:rsidRPr="00046454">
        <w:rPr>
          <w:rFonts w:asciiTheme="minorHAnsi" w:hAnsiTheme="minorHAnsi" w:cstheme="minorHAnsi"/>
          <w:color w:val="2E74B5" w:themeColor="accent5" w:themeShade="BF"/>
          <w:sz w:val="24"/>
          <w:szCs w:val="24"/>
          <w:lang w:val="en-US"/>
        </w:rPr>
        <w:t>the subject of the regulation covers a complex matter, extremely important for the development of the national economy,</w:t>
      </w:r>
    </w:p>
    <w:p w14:paraId="47CB12C4" w14:textId="71CCAACF" w:rsidR="001F7A1E" w:rsidRPr="002428B7" w:rsidRDefault="001F7A1E" w:rsidP="001F6BE3">
      <w:pPr>
        <w:pStyle w:val="Akapitzlist"/>
        <w:numPr>
          <w:ilvl w:val="0"/>
          <w:numId w:val="31"/>
        </w:numPr>
        <w:autoSpaceDE w:val="0"/>
        <w:autoSpaceDN w:val="0"/>
        <w:adjustRightInd w:val="0"/>
        <w:ind w:left="567" w:hanging="425"/>
        <w:contextualSpacing/>
        <w:jc w:val="both"/>
        <w:rPr>
          <w:rFonts w:asciiTheme="minorHAnsi" w:hAnsiTheme="minorHAnsi" w:cstheme="minorHAnsi"/>
          <w:color w:val="000000"/>
          <w:sz w:val="24"/>
          <w:szCs w:val="24"/>
        </w:rPr>
      </w:pPr>
      <w:r w:rsidRPr="002428B7">
        <w:rPr>
          <w:rFonts w:asciiTheme="minorHAnsi" w:hAnsiTheme="minorHAnsi" w:cstheme="minorHAnsi"/>
          <w:color w:val="000000"/>
          <w:sz w:val="24"/>
          <w:szCs w:val="24"/>
        </w:rPr>
        <w:t xml:space="preserve">sposób regulacji zbliża Prawo własności przemysłowej do aktu prawnego o charakterze kodeksu, a ponadto </w:t>
      </w:r>
    </w:p>
    <w:p w14:paraId="47D6B9E1" w14:textId="77777777" w:rsidR="00B51759" w:rsidRPr="00046454" w:rsidRDefault="00B51759" w:rsidP="00B51759">
      <w:pPr>
        <w:pStyle w:val="Akapitzlist"/>
        <w:numPr>
          <w:ilvl w:val="0"/>
          <w:numId w:val="31"/>
        </w:numPr>
        <w:autoSpaceDE w:val="0"/>
        <w:autoSpaceDN w:val="0"/>
        <w:adjustRightInd w:val="0"/>
        <w:ind w:left="567" w:hanging="425"/>
        <w:contextualSpacing/>
        <w:jc w:val="both"/>
        <w:rPr>
          <w:rFonts w:cstheme="minorHAnsi"/>
          <w:color w:val="2E74B5" w:themeColor="accent5" w:themeShade="BF"/>
          <w:sz w:val="24"/>
          <w:szCs w:val="24"/>
          <w:lang w:val="en-US"/>
        </w:rPr>
      </w:pPr>
      <w:r w:rsidRPr="00046454">
        <w:rPr>
          <w:rFonts w:asciiTheme="minorHAnsi" w:hAnsiTheme="minorHAnsi" w:cstheme="minorHAnsi"/>
          <w:color w:val="2E74B5" w:themeColor="accent5" w:themeShade="BF"/>
          <w:sz w:val="24"/>
          <w:szCs w:val="24"/>
          <w:lang w:val="en-US"/>
        </w:rPr>
        <w:t>the manner of regulation brings the Industrial Property Law closer to a code-like legal act, and moreover</w:t>
      </w:r>
    </w:p>
    <w:p w14:paraId="7887984B" w14:textId="24E56E9D" w:rsidR="001F7A1E" w:rsidRPr="002428B7" w:rsidRDefault="001F7A1E" w:rsidP="001F6BE3">
      <w:pPr>
        <w:pStyle w:val="Akapitzlist"/>
        <w:numPr>
          <w:ilvl w:val="0"/>
          <w:numId w:val="31"/>
        </w:numPr>
        <w:autoSpaceDE w:val="0"/>
        <w:autoSpaceDN w:val="0"/>
        <w:adjustRightInd w:val="0"/>
        <w:ind w:left="567" w:hanging="425"/>
        <w:contextualSpacing/>
        <w:jc w:val="both"/>
        <w:rPr>
          <w:rFonts w:asciiTheme="minorHAnsi" w:hAnsiTheme="minorHAnsi" w:cstheme="minorHAnsi"/>
          <w:color w:val="000000"/>
          <w:sz w:val="24"/>
          <w:szCs w:val="24"/>
        </w:rPr>
      </w:pPr>
      <w:r w:rsidRPr="002428B7">
        <w:rPr>
          <w:rFonts w:asciiTheme="minorHAnsi" w:hAnsiTheme="minorHAnsi" w:cstheme="minorHAnsi"/>
          <w:color w:val="000000"/>
          <w:sz w:val="24"/>
          <w:szCs w:val="24"/>
        </w:rPr>
        <w:t>projekt ustawy zakłada implementację dyrektyw unijnych.</w:t>
      </w:r>
    </w:p>
    <w:p w14:paraId="4A83B458" w14:textId="77777777" w:rsidR="00B51759" w:rsidRPr="00046454" w:rsidRDefault="00B51759" w:rsidP="00B51759">
      <w:pPr>
        <w:pStyle w:val="Akapitzlist"/>
        <w:numPr>
          <w:ilvl w:val="0"/>
          <w:numId w:val="31"/>
        </w:numPr>
        <w:autoSpaceDE w:val="0"/>
        <w:autoSpaceDN w:val="0"/>
        <w:adjustRightInd w:val="0"/>
        <w:ind w:left="567" w:hanging="425"/>
        <w:contextualSpacing/>
        <w:jc w:val="both"/>
        <w:rPr>
          <w:rFonts w:asciiTheme="minorHAnsi" w:hAnsiTheme="minorHAnsi" w:cstheme="minorHAnsi"/>
          <w:color w:val="2E74B5" w:themeColor="accent5" w:themeShade="BF"/>
          <w:sz w:val="24"/>
          <w:szCs w:val="24"/>
          <w:lang w:val="en-US"/>
        </w:rPr>
      </w:pPr>
      <w:r w:rsidRPr="00046454">
        <w:rPr>
          <w:rFonts w:asciiTheme="minorHAnsi" w:hAnsiTheme="minorHAnsi" w:cstheme="minorHAnsi"/>
          <w:color w:val="2E74B5" w:themeColor="accent5" w:themeShade="BF"/>
          <w:sz w:val="24"/>
          <w:szCs w:val="24"/>
          <w:lang w:val="en-US"/>
        </w:rPr>
        <w:t>the draft law provides for the implementation of EU directives.</w:t>
      </w:r>
    </w:p>
    <w:p w14:paraId="2E3BD60B" w14:textId="77777777" w:rsidR="001F7A1E" w:rsidRPr="00B51759" w:rsidRDefault="001F7A1E" w:rsidP="001F7A1E">
      <w:pPr>
        <w:pStyle w:val="Akapitzlist"/>
        <w:autoSpaceDE w:val="0"/>
        <w:autoSpaceDN w:val="0"/>
        <w:adjustRightInd w:val="0"/>
        <w:ind w:left="1287"/>
        <w:jc w:val="both"/>
        <w:rPr>
          <w:rFonts w:asciiTheme="minorHAnsi" w:hAnsiTheme="minorHAnsi" w:cstheme="minorHAnsi"/>
          <w:color w:val="000000"/>
          <w:sz w:val="10"/>
          <w:szCs w:val="10"/>
          <w:lang w:val="en-US"/>
        </w:rPr>
      </w:pPr>
    </w:p>
    <w:p w14:paraId="488F4241" w14:textId="77777777" w:rsidR="001F7A1E" w:rsidRDefault="001F7A1E" w:rsidP="00491ADF">
      <w:pPr>
        <w:pStyle w:val="nrbrzegowy2"/>
        <w:ind w:left="0" w:hanging="851"/>
      </w:pPr>
      <w:r w:rsidRPr="002428B7">
        <w:t xml:space="preserve">Przede wszystkim uważamy jednak, że na obecnym etapie nie występuje potrzeba wprowadzania nowej regulacji burzącej dotychczasowy porządek prawny w zakresie Prawa własności przemysłowej.  Z pewnością </w:t>
      </w:r>
      <w:r w:rsidRPr="002428B7">
        <w:rPr>
          <w:b/>
        </w:rPr>
        <w:t>nie</w:t>
      </w:r>
      <w:r w:rsidRPr="002428B7">
        <w:t xml:space="preserve"> </w:t>
      </w:r>
      <w:r w:rsidRPr="002428B7">
        <w:rPr>
          <w:b/>
        </w:rPr>
        <w:t>wolno zastępować obecnych, tak już niedoskonałych przepisów prawnych tak kontrowersyjną ustawą</w:t>
      </w:r>
      <w:r w:rsidRPr="002428B7">
        <w:t xml:space="preserve">, </w:t>
      </w:r>
      <w:r w:rsidRPr="002428B7">
        <w:rPr>
          <w:b/>
        </w:rPr>
        <w:t>jaką zaproponowano w</w:t>
      </w:r>
      <w:r w:rsidRPr="002428B7">
        <w:t xml:space="preserve"> </w:t>
      </w:r>
      <w:r w:rsidRPr="002428B7">
        <w:rPr>
          <w:b/>
        </w:rPr>
        <w:t>UD263.</w:t>
      </w:r>
      <w:r w:rsidRPr="002428B7">
        <w:t xml:space="preserve"> </w:t>
      </w:r>
    </w:p>
    <w:p w14:paraId="0C17D3E3" w14:textId="77777777" w:rsidR="0046138F" w:rsidRPr="00491ADF" w:rsidRDefault="0046138F" w:rsidP="00491ADF">
      <w:pPr>
        <w:pStyle w:val="nrbrzegowy2"/>
        <w:numPr>
          <w:ilvl w:val="0"/>
          <w:numId w:val="0"/>
        </w:numPr>
        <w:rPr>
          <w:color w:val="2E74B5" w:themeColor="accent5" w:themeShade="BF"/>
          <w:lang w:val="en-US"/>
        </w:rPr>
      </w:pPr>
      <w:r w:rsidRPr="00491ADF">
        <w:rPr>
          <w:color w:val="2E74B5" w:themeColor="accent5" w:themeShade="BF"/>
          <w:lang w:val="en-US"/>
        </w:rPr>
        <w:t xml:space="preserve">Above all, however, we are of the opinion that at the present stage there is no need to introduce a new regulation destroying the existing legal order in the scope of the Industrial Property Law.  Certainly, </w:t>
      </w:r>
      <w:r w:rsidRPr="00491ADF">
        <w:rPr>
          <w:b/>
          <w:color w:val="2E74B5" w:themeColor="accent5" w:themeShade="BF"/>
          <w:lang w:val="en-US"/>
        </w:rPr>
        <w:t>it is not allowed to replace the current, already so imperfect legislation with such a controversial act as proposed in UD263</w:t>
      </w:r>
      <w:r w:rsidRPr="00491ADF">
        <w:rPr>
          <w:color w:val="2E74B5" w:themeColor="accent5" w:themeShade="BF"/>
          <w:lang w:val="en-US"/>
        </w:rPr>
        <w:t>.</w:t>
      </w:r>
    </w:p>
    <w:p w14:paraId="49D77F72" w14:textId="77777777" w:rsidR="001F7A1E" w:rsidRPr="00CF192A" w:rsidRDefault="001F7A1E" w:rsidP="00491ADF">
      <w:pPr>
        <w:pStyle w:val="nrbrzegowy2"/>
        <w:numPr>
          <w:ilvl w:val="0"/>
          <w:numId w:val="0"/>
        </w:numPr>
        <w:ind w:hanging="851"/>
        <w:rPr>
          <w:sz w:val="10"/>
          <w:szCs w:val="10"/>
          <w:lang w:val="en-US"/>
        </w:rPr>
      </w:pPr>
    </w:p>
    <w:p w14:paraId="6B411CBE" w14:textId="77777777" w:rsidR="001F7A1E" w:rsidRDefault="001F7A1E" w:rsidP="00491ADF">
      <w:pPr>
        <w:pStyle w:val="nrbrzegowy2"/>
        <w:ind w:left="0" w:hanging="851"/>
      </w:pPr>
      <w:r w:rsidRPr="002428B7">
        <w:t xml:space="preserve">Wbrew zasadom rozporządzenia Prezesa Rady Ministrów z dnia 20 czerwca 2002 r. </w:t>
      </w:r>
      <w:r w:rsidRPr="002428B7">
        <w:br/>
        <w:t>w sprawie „Zasad techniki prawodawczej”, które to rozporządzenie ma swój tekst jednolity, stanowiący załącznik do obwieszczenia Prezesa Rady Ministrów z dnia 29 lutego 2016 r. (Dz. U. poz. 283), które podpisała pełniąca wówczas tę funkcję pani Beata SZYDŁO:</w:t>
      </w:r>
    </w:p>
    <w:p w14:paraId="5A696157" w14:textId="77777777" w:rsidR="0046138F" w:rsidRPr="00491ADF" w:rsidRDefault="0046138F" w:rsidP="00491ADF">
      <w:pPr>
        <w:pStyle w:val="nrbrzegowy2"/>
        <w:numPr>
          <w:ilvl w:val="0"/>
          <w:numId w:val="0"/>
        </w:numPr>
        <w:rPr>
          <w:color w:val="2E74B5" w:themeColor="accent5" w:themeShade="BF"/>
          <w:lang w:val="en-US"/>
        </w:rPr>
      </w:pPr>
      <w:r w:rsidRPr="00491ADF">
        <w:rPr>
          <w:color w:val="2E74B5" w:themeColor="accent5" w:themeShade="BF"/>
          <w:lang w:val="en-US"/>
        </w:rPr>
        <w:t xml:space="preserve">Contrary to the principles of the Regulation of the Prime Minister of 20 June 2002 on "Principles of Legislative Techniques", which regulation has its consolidated text attached to the announcement of the Prime Minister of 29 February 2016 (Journal of Laws, item 283), signed by </w:t>
      </w:r>
      <w:proofErr w:type="spellStart"/>
      <w:r w:rsidRPr="00491ADF">
        <w:rPr>
          <w:color w:val="2E74B5" w:themeColor="accent5" w:themeShade="BF"/>
          <w:lang w:val="en-US"/>
        </w:rPr>
        <w:t>Ms</w:t>
      </w:r>
      <w:proofErr w:type="spellEnd"/>
      <w:r w:rsidRPr="00491ADF">
        <w:rPr>
          <w:color w:val="2E74B5" w:themeColor="accent5" w:themeShade="BF"/>
          <w:lang w:val="en-US"/>
        </w:rPr>
        <w:t xml:space="preserve"> Beata SZYDŁO, who was in office at the time:</w:t>
      </w:r>
    </w:p>
    <w:p w14:paraId="4866C7C0" w14:textId="77777777" w:rsidR="001F7A1E" w:rsidRPr="0046138F" w:rsidRDefault="001F7A1E" w:rsidP="001F7A1E">
      <w:pPr>
        <w:autoSpaceDE w:val="0"/>
        <w:autoSpaceDN w:val="0"/>
        <w:adjustRightInd w:val="0"/>
        <w:spacing w:after="0" w:line="240" w:lineRule="auto"/>
        <w:jc w:val="both"/>
        <w:rPr>
          <w:rFonts w:cstheme="minorHAnsi"/>
          <w:color w:val="000000"/>
          <w:sz w:val="10"/>
          <w:szCs w:val="10"/>
          <w:lang w:val="en-US"/>
        </w:rPr>
      </w:pPr>
    </w:p>
    <w:p w14:paraId="2A09FB00" w14:textId="77777777" w:rsidR="001F7A1E" w:rsidRDefault="001F7A1E" w:rsidP="001F6BE3">
      <w:pPr>
        <w:pStyle w:val="Akapitzlist"/>
        <w:numPr>
          <w:ilvl w:val="0"/>
          <w:numId w:val="32"/>
        </w:numPr>
        <w:autoSpaceDE w:val="0"/>
        <w:autoSpaceDN w:val="0"/>
        <w:adjustRightInd w:val="0"/>
        <w:ind w:left="567" w:hanging="425"/>
        <w:contextualSpacing/>
        <w:jc w:val="both"/>
        <w:rPr>
          <w:rFonts w:asciiTheme="minorHAnsi" w:hAnsiTheme="minorHAnsi" w:cstheme="minorHAnsi"/>
          <w:color w:val="000000"/>
          <w:sz w:val="24"/>
          <w:szCs w:val="24"/>
        </w:rPr>
      </w:pPr>
      <w:r w:rsidRPr="002428B7">
        <w:rPr>
          <w:rFonts w:asciiTheme="minorHAnsi" w:hAnsiTheme="minorHAnsi" w:cstheme="minorHAnsi"/>
          <w:color w:val="000000"/>
          <w:sz w:val="24"/>
          <w:szCs w:val="24"/>
        </w:rPr>
        <w:lastRenderedPageBreak/>
        <w:t>nie rozważono rozwiązania alternatywnego, którym jest ograniczenie prac ustawodawczych do nowelizacji (w niezbędnym zakresie) obowiązującej ustawy Prawo własności przemysłowej,</w:t>
      </w:r>
    </w:p>
    <w:p w14:paraId="17BE9798" w14:textId="77777777" w:rsidR="0046138F" w:rsidRPr="00491ADF" w:rsidRDefault="0046138F" w:rsidP="0046138F">
      <w:pPr>
        <w:pStyle w:val="Akapitzlist"/>
        <w:numPr>
          <w:ilvl w:val="0"/>
          <w:numId w:val="32"/>
        </w:numPr>
        <w:autoSpaceDE w:val="0"/>
        <w:autoSpaceDN w:val="0"/>
        <w:adjustRightInd w:val="0"/>
        <w:ind w:left="567" w:hanging="425"/>
        <w:contextualSpacing/>
        <w:jc w:val="both"/>
        <w:rPr>
          <w:rFonts w:asciiTheme="minorHAnsi" w:hAnsiTheme="minorHAnsi" w:cstheme="minorHAnsi"/>
          <w:color w:val="2E74B5" w:themeColor="accent5" w:themeShade="BF"/>
          <w:sz w:val="24"/>
          <w:szCs w:val="24"/>
          <w:lang w:val="en-US"/>
        </w:rPr>
      </w:pPr>
      <w:r w:rsidRPr="00491ADF">
        <w:rPr>
          <w:rFonts w:asciiTheme="minorHAnsi" w:hAnsiTheme="minorHAnsi" w:cstheme="minorHAnsi"/>
          <w:color w:val="2E74B5" w:themeColor="accent5" w:themeShade="BF"/>
          <w:sz w:val="24"/>
          <w:szCs w:val="24"/>
          <w:lang w:val="en-US"/>
        </w:rPr>
        <w:t>no consideration has been given to the alternative solution, which is to limit the legislative work to an amendment (to the extent necessary) of the existing Act on Industrial Property Law,</w:t>
      </w:r>
    </w:p>
    <w:p w14:paraId="79B4CE7C" w14:textId="77777777" w:rsidR="001F7A1E" w:rsidRDefault="001F7A1E" w:rsidP="001F6BE3">
      <w:pPr>
        <w:pStyle w:val="Akapitzlist"/>
        <w:numPr>
          <w:ilvl w:val="0"/>
          <w:numId w:val="32"/>
        </w:numPr>
        <w:autoSpaceDE w:val="0"/>
        <w:autoSpaceDN w:val="0"/>
        <w:adjustRightInd w:val="0"/>
        <w:ind w:left="567" w:hanging="425"/>
        <w:contextualSpacing/>
        <w:jc w:val="both"/>
        <w:rPr>
          <w:rFonts w:asciiTheme="minorHAnsi" w:hAnsiTheme="minorHAnsi" w:cstheme="minorHAnsi"/>
          <w:color w:val="000000"/>
          <w:sz w:val="24"/>
          <w:szCs w:val="24"/>
        </w:rPr>
      </w:pPr>
      <w:r w:rsidRPr="002428B7">
        <w:rPr>
          <w:rFonts w:asciiTheme="minorHAnsi" w:hAnsiTheme="minorHAnsi" w:cstheme="minorHAnsi"/>
          <w:b/>
          <w:bCs/>
          <w:color w:val="000000"/>
          <w:sz w:val="24"/>
          <w:szCs w:val="24"/>
        </w:rPr>
        <w:t>nie przedstawiono</w:t>
      </w:r>
      <w:r w:rsidRPr="002428B7">
        <w:rPr>
          <w:rFonts w:asciiTheme="minorHAnsi" w:hAnsiTheme="minorHAnsi" w:cstheme="minorHAnsi"/>
          <w:color w:val="000000"/>
          <w:sz w:val="24"/>
          <w:szCs w:val="24"/>
        </w:rPr>
        <w:t xml:space="preserve"> też </w:t>
      </w:r>
      <w:r w:rsidRPr="002428B7">
        <w:rPr>
          <w:rFonts w:asciiTheme="minorHAnsi" w:hAnsiTheme="minorHAnsi" w:cstheme="minorHAnsi"/>
          <w:b/>
          <w:bCs/>
          <w:color w:val="000000"/>
          <w:sz w:val="24"/>
          <w:szCs w:val="24"/>
        </w:rPr>
        <w:t>przepisów przejściowych</w:t>
      </w:r>
      <w:r w:rsidRPr="002428B7">
        <w:rPr>
          <w:rFonts w:asciiTheme="minorHAnsi" w:hAnsiTheme="minorHAnsi" w:cstheme="minorHAnsi"/>
          <w:color w:val="000000"/>
          <w:sz w:val="24"/>
          <w:szCs w:val="24"/>
        </w:rPr>
        <w:t xml:space="preserve">, wprawdzie w art. 498 projektu ustawy </w:t>
      </w:r>
      <w:r w:rsidRPr="002428B7">
        <w:rPr>
          <w:rFonts w:asciiTheme="minorHAnsi" w:eastAsia="Times New Roman" w:hAnsiTheme="minorHAnsi" w:cstheme="minorHAnsi"/>
          <w:b/>
          <w:color w:val="000000"/>
          <w:sz w:val="24"/>
          <w:szCs w:val="24"/>
        </w:rPr>
        <w:t xml:space="preserve">UD263 </w:t>
      </w:r>
      <w:r w:rsidRPr="002428B7">
        <w:rPr>
          <w:rFonts w:asciiTheme="minorHAnsi" w:hAnsiTheme="minorHAnsi" w:cstheme="minorHAnsi"/>
          <w:color w:val="000000"/>
          <w:sz w:val="24"/>
          <w:szCs w:val="24"/>
        </w:rPr>
        <w:t xml:space="preserve">zakłada się wydanie odrębnego aktu prawnego (który miałby je zawierać), ale brak tego zapowiadanego aktu prawnego powoduje, że materiał przedstawiony do dyskusji ma charakter kadłubowy, co - w naszej ocenie -  </w:t>
      </w:r>
      <w:r w:rsidRPr="002428B7">
        <w:rPr>
          <w:rFonts w:asciiTheme="minorHAnsi" w:hAnsiTheme="minorHAnsi" w:cstheme="minorHAnsi"/>
          <w:b/>
          <w:bCs/>
          <w:color w:val="000000"/>
          <w:sz w:val="24"/>
          <w:szCs w:val="24"/>
        </w:rPr>
        <w:t>dyskwalifikuje projekt</w:t>
      </w:r>
      <w:r w:rsidRPr="002428B7">
        <w:rPr>
          <w:rFonts w:asciiTheme="minorHAnsi" w:hAnsiTheme="minorHAnsi" w:cstheme="minorHAnsi"/>
          <w:color w:val="000000"/>
          <w:sz w:val="24"/>
          <w:szCs w:val="24"/>
        </w:rPr>
        <w:t xml:space="preserve"> ustawy </w:t>
      </w:r>
      <w:r w:rsidRPr="002428B7">
        <w:rPr>
          <w:rFonts w:asciiTheme="minorHAnsi" w:eastAsia="Times New Roman" w:hAnsiTheme="minorHAnsi" w:cstheme="minorHAnsi"/>
          <w:b/>
          <w:color w:val="000000"/>
          <w:sz w:val="24"/>
          <w:szCs w:val="24"/>
        </w:rPr>
        <w:t>UD263</w:t>
      </w:r>
      <w:r w:rsidRPr="002428B7">
        <w:rPr>
          <w:rFonts w:asciiTheme="minorHAnsi" w:hAnsiTheme="minorHAnsi" w:cstheme="minorHAnsi"/>
          <w:color w:val="000000"/>
          <w:sz w:val="24"/>
          <w:szCs w:val="24"/>
        </w:rPr>
        <w:t>, ponieważ obecnie sytuacja kształtuje się zupełnie tak, jakby poddano pod dyskusję publiczną część projektowanego aktu prawnego, sygnalizując przedstawienie kolejnej jego części w bliżej nieokreślonej przyszłości,</w:t>
      </w:r>
    </w:p>
    <w:p w14:paraId="367B1F24" w14:textId="77777777" w:rsidR="0046138F" w:rsidRPr="00491ADF" w:rsidRDefault="0046138F" w:rsidP="0046138F">
      <w:pPr>
        <w:pStyle w:val="Akapitzlist"/>
        <w:numPr>
          <w:ilvl w:val="0"/>
          <w:numId w:val="32"/>
        </w:numPr>
        <w:autoSpaceDE w:val="0"/>
        <w:autoSpaceDN w:val="0"/>
        <w:adjustRightInd w:val="0"/>
        <w:ind w:left="567" w:hanging="425"/>
        <w:contextualSpacing/>
        <w:jc w:val="both"/>
        <w:rPr>
          <w:rFonts w:asciiTheme="minorHAnsi" w:hAnsiTheme="minorHAnsi" w:cstheme="minorHAnsi"/>
          <w:color w:val="2E74B5" w:themeColor="accent5" w:themeShade="BF"/>
          <w:sz w:val="24"/>
          <w:szCs w:val="24"/>
          <w:lang w:val="en-US"/>
        </w:rPr>
      </w:pPr>
      <w:r w:rsidRPr="00491ADF">
        <w:rPr>
          <w:rFonts w:asciiTheme="minorHAnsi" w:hAnsiTheme="minorHAnsi" w:cstheme="minorHAnsi"/>
          <w:color w:val="2E74B5" w:themeColor="accent5" w:themeShade="BF"/>
          <w:sz w:val="24"/>
          <w:szCs w:val="24"/>
          <w:lang w:val="en-US"/>
        </w:rPr>
        <w:t xml:space="preserve">moreover, </w:t>
      </w:r>
      <w:r w:rsidRPr="00491ADF">
        <w:rPr>
          <w:rFonts w:asciiTheme="minorHAnsi" w:hAnsiTheme="minorHAnsi" w:cstheme="minorHAnsi"/>
          <w:b/>
          <w:bCs/>
          <w:color w:val="2E74B5" w:themeColor="accent5" w:themeShade="BF"/>
          <w:sz w:val="24"/>
          <w:szCs w:val="24"/>
          <w:lang w:val="en-US"/>
        </w:rPr>
        <w:t>no transitional provisions have been presented</w:t>
      </w:r>
      <w:r w:rsidRPr="00491ADF">
        <w:rPr>
          <w:rFonts w:asciiTheme="minorHAnsi" w:hAnsiTheme="minorHAnsi" w:cstheme="minorHAnsi"/>
          <w:color w:val="2E74B5" w:themeColor="accent5" w:themeShade="BF"/>
          <w:sz w:val="24"/>
          <w:szCs w:val="24"/>
          <w:lang w:val="en-US"/>
        </w:rPr>
        <w:t xml:space="preserve">, although Article 498 of the draft  UD263 of the Act assumes the issuance of a separate legal act (which would contain them), however, the absence of this announced legal act makes the material presented for discussion caducous, which, in our opinion, </w:t>
      </w:r>
      <w:r w:rsidRPr="00491ADF">
        <w:rPr>
          <w:rFonts w:asciiTheme="minorHAnsi" w:hAnsiTheme="minorHAnsi" w:cstheme="minorHAnsi"/>
          <w:b/>
          <w:bCs/>
          <w:color w:val="2E74B5" w:themeColor="accent5" w:themeShade="BF"/>
          <w:sz w:val="24"/>
          <w:szCs w:val="24"/>
          <w:lang w:val="en-US"/>
        </w:rPr>
        <w:t>disqualifies the draft</w:t>
      </w:r>
      <w:r w:rsidRPr="00491ADF">
        <w:rPr>
          <w:rFonts w:asciiTheme="minorHAnsi" w:hAnsiTheme="minorHAnsi" w:cstheme="minorHAnsi"/>
          <w:color w:val="2E74B5" w:themeColor="accent5" w:themeShade="BF"/>
          <w:sz w:val="24"/>
          <w:szCs w:val="24"/>
          <w:lang w:val="en-US"/>
        </w:rPr>
        <w:t xml:space="preserve"> </w:t>
      </w:r>
      <w:r w:rsidRPr="00491ADF">
        <w:rPr>
          <w:rFonts w:asciiTheme="minorHAnsi" w:hAnsiTheme="minorHAnsi" w:cstheme="minorHAnsi"/>
          <w:b/>
          <w:bCs/>
          <w:color w:val="2E74B5" w:themeColor="accent5" w:themeShade="BF"/>
          <w:sz w:val="24"/>
          <w:szCs w:val="24"/>
          <w:lang w:val="en-US"/>
        </w:rPr>
        <w:t xml:space="preserve">UD263 </w:t>
      </w:r>
      <w:r w:rsidRPr="00491ADF">
        <w:rPr>
          <w:rFonts w:asciiTheme="minorHAnsi" w:hAnsiTheme="minorHAnsi" w:cstheme="minorHAnsi"/>
          <w:color w:val="2E74B5" w:themeColor="accent5" w:themeShade="BF"/>
          <w:sz w:val="24"/>
          <w:szCs w:val="24"/>
          <w:lang w:val="en-US"/>
        </w:rPr>
        <w:t>of the Act, as now the situation is shaped quite as if a part of the drafted act was submitted for public discussion, signaling the presentation of its another part in an unspecified future,</w:t>
      </w:r>
    </w:p>
    <w:p w14:paraId="61C7D2DC" w14:textId="77777777" w:rsidR="001F7A1E" w:rsidRDefault="001F7A1E" w:rsidP="001F6BE3">
      <w:pPr>
        <w:pStyle w:val="Akapitzlist"/>
        <w:numPr>
          <w:ilvl w:val="0"/>
          <w:numId w:val="32"/>
        </w:numPr>
        <w:autoSpaceDE w:val="0"/>
        <w:autoSpaceDN w:val="0"/>
        <w:adjustRightInd w:val="0"/>
        <w:ind w:left="567" w:hanging="425"/>
        <w:contextualSpacing/>
        <w:jc w:val="both"/>
        <w:rPr>
          <w:rFonts w:asciiTheme="minorHAnsi" w:hAnsiTheme="minorHAnsi" w:cstheme="minorHAnsi"/>
          <w:color w:val="000000"/>
          <w:sz w:val="24"/>
          <w:szCs w:val="24"/>
        </w:rPr>
      </w:pPr>
      <w:r w:rsidRPr="002428B7">
        <w:rPr>
          <w:rFonts w:asciiTheme="minorHAnsi" w:hAnsiTheme="minorHAnsi" w:cstheme="minorHAnsi"/>
          <w:color w:val="000000"/>
          <w:sz w:val="24"/>
          <w:szCs w:val="24"/>
        </w:rPr>
        <w:t xml:space="preserve">wbrew regule określonej w § 13 ww. Zasad techniki prawodawczej - </w:t>
      </w:r>
      <w:r w:rsidRPr="002428B7">
        <w:rPr>
          <w:rFonts w:asciiTheme="minorHAnsi" w:hAnsiTheme="minorHAnsi" w:cstheme="minorHAnsi"/>
          <w:b/>
          <w:bCs/>
          <w:color w:val="000000"/>
          <w:sz w:val="24"/>
          <w:szCs w:val="24"/>
        </w:rPr>
        <w:t>nie przedstawiono</w:t>
      </w:r>
      <w:r w:rsidRPr="002428B7">
        <w:rPr>
          <w:rFonts w:asciiTheme="minorHAnsi" w:hAnsiTheme="minorHAnsi" w:cstheme="minorHAnsi"/>
          <w:color w:val="000000"/>
          <w:sz w:val="24"/>
          <w:szCs w:val="24"/>
        </w:rPr>
        <w:t xml:space="preserve"> wraz z projektem ustawy </w:t>
      </w:r>
      <w:r w:rsidRPr="002428B7">
        <w:rPr>
          <w:rFonts w:asciiTheme="minorHAnsi" w:eastAsia="Times New Roman" w:hAnsiTheme="minorHAnsi" w:cstheme="minorHAnsi"/>
          <w:b/>
          <w:color w:val="000000"/>
          <w:sz w:val="24"/>
          <w:szCs w:val="24"/>
        </w:rPr>
        <w:t xml:space="preserve">UD263 </w:t>
      </w:r>
      <w:r w:rsidRPr="002428B7">
        <w:rPr>
          <w:rFonts w:asciiTheme="minorHAnsi" w:hAnsiTheme="minorHAnsi" w:cstheme="minorHAnsi"/>
          <w:b/>
          <w:bCs/>
          <w:color w:val="000000"/>
          <w:sz w:val="24"/>
          <w:szCs w:val="24"/>
        </w:rPr>
        <w:t>aktów wykonawczych</w:t>
      </w:r>
      <w:r w:rsidRPr="002428B7">
        <w:rPr>
          <w:rFonts w:asciiTheme="minorHAnsi" w:hAnsiTheme="minorHAnsi" w:cstheme="minorHAnsi"/>
          <w:color w:val="000000"/>
          <w:sz w:val="24"/>
          <w:szCs w:val="24"/>
        </w:rPr>
        <w:t xml:space="preserve"> do niej.</w:t>
      </w:r>
    </w:p>
    <w:p w14:paraId="38EB69AA" w14:textId="77777777" w:rsidR="0046138F" w:rsidRPr="00491ADF" w:rsidRDefault="0046138F" w:rsidP="0046138F">
      <w:pPr>
        <w:pStyle w:val="Akapitzlist"/>
        <w:numPr>
          <w:ilvl w:val="0"/>
          <w:numId w:val="32"/>
        </w:numPr>
        <w:autoSpaceDE w:val="0"/>
        <w:autoSpaceDN w:val="0"/>
        <w:adjustRightInd w:val="0"/>
        <w:ind w:left="567" w:hanging="425"/>
        <w:contextualSpacing/>
        <w:jc w:val="both"/>
        <w:rPr>
          <w:rFonts w:asciiTheme="minorHAnsi" w:hAnsiTheme="minorHAnsi" w:cstheme="minorHAnsi"/>
          <w:color w:val="2E74B5" w:themeColor="accent5" w:themeShade="BF"/>
          <w:sz w:val="24"/>
          <w:szCs w:val="24"/>
          <w:lang w:val="en-US"/>
        </w:rPr>
      </w:pPr>
      <w:r w:rsidRPr="00491ADF">
        <w:rPr>
          <w:rFonts w:asciiTheme="minorHAnsi" w:hAnsiTheme="minorHAnsi" w:cstheme="minorHAnsi"/>
          <w:color w:val="2E74B5" w:themeColor="accent5" w:themeShade="BF"/>
          <w:sz w:val="24"/>
          <w:szCs w:val="24"/>
          <w:lang w:val="en-US"/>
        </w:rPr>
        <w:t xml:space="preserve">contrary to the rule set out in § 13 of the </w:t>
      </w:r>
      <w:proofErr w:type="gramStart"/>
      <w:r w:rsidRPr="00491ADF">
        <w:rPr>
          <w:rFonts w:asciiTheme="minorHAnsi" w:hAnsiTheme="minorHAnsi" w:cstheme="minorHAnsi"/>
          <w:color w:val="2E74B5" w:themeColor="accent5" w:themeShade="BF"/>
          <w:sz w:val="24"/>
          <w:szCs w:val="24"/>
          <w:lang w:val="en-US"/>
        </w:rPr>
        <w:t>aforementioned Principles</w:t>
      </w:r>
      <w:proofErr w:type="gramEnd"/>
      <w:r w:rsidRPr="00491ADF">
        <w:rPr>
          <w:rFonts w:asciiTheme="minorHAnsi" w:hAnsiTheme="minorHAnsi" w:cstheme="minorHAnsi"/>
          <w:color w:val="2E74B5" w:themeColor="accent5" w:themeShade="BF"/>
          <w:sz w:val="24"/>
          <w:szCs w:val="24"/>
          <w:lang w:val="en-US"/>
        </w:rPr>
        <w:t xml:space="preserve"> of Legislative Techniques - </w:t>
      </w:r>
      <w:r w:rsidRPr="00491ADF">
        <w:rPr>
          <w:rFonts w:asciiTheme="minorHAnsi" w:hAnsiTheme="minorHAnsi" w:cstheme="minorHAnsi"/>
          <w:b/>
          <w:bCs/>
          <w:color w:val="2E74B5" w:themeColor="accent5" w:themeShade="BF"/>
          <w:sz w:val="24"/>
          <w:szCs w:val="24"/>
          <w:lang w:val="en-US"/>
        </w:rPr>
        <w:t>no implementing acts</w:t>
      </w:r>
      <w:r w:rsidRPr="00491ADF">
        <w:rPr>
          <w:rFonts w:asciiTheme="minorHAnsi" w:hAnsiTheme="minorHAnsi" w:cstheme="minorHAnsi"/>
          <w:color w:val="2E74B5" w:themeColor="accent5" w:themeShade="BF"/>
          <w:sz w:val="24"/>
          <w:szCs w:val="24"/>
          <w:lang w:val="en-US"/>
        </w:rPr>
        <w:t xml:space="preserve"> were presented with the draft </w:t>
      </w:r>
      <w:r w:rsidRPr="00491ADF">
        <w:rPr>
          <w:rFonts w:asciiTheme="minorHAnsi" w:hAnsiTheme="minorHAnsi" w:cstheme="minorHAnsi"/>
          <w:b/>
          <w:bCs/>
          <w:color w:val="2E74B5" w:themeColor="accent5" w:themeShade="BF"/>
          <w:sz w:val="24"/>
          <w:szCs w:val="24"/>
          <w:lang w:val="en-US"/>
        </w:rPr>
        <w:t>UD263</w:t>
      </w:r>
      <w:r w:rsidRPr="00491ADF">
        <w:rPr>
          <w:rFonts w:asciiTheme="minorHAnsi" w:hAnsiTheme="minorHAnsi" w:cstheme="minorHAnsi"/>
          <w:color w:val="2E74B5" w:themeColor="accent5" w:themeShade="BF"/>
          <w:sz w:val="24"/>
          <w:szCs w:val="24"/>
          <w:lang w:val="en-US"/>
        </w:rPr>
        <w:t xml:space="preserve"> of the Act.</w:t>
      </w:r>
    </w:p>
    <w:p w14:paraId="42DF6CB5" w14:textId="77777777" w:rsidR="001F7A1E" w:rsidRPr="0046138F" w:rsidRDefault="001F7A1E" w:rsidP="001F7A1E">
      <w:pPr>
        <w:pStyle w:val="Akapitzlist"/>
        <w:autoSpaceDE w:val="0"/>
        <w:autoSpaceDN w:val="0"/>
        <w:adjustRightInd w:val="0"/>
        <w:ind w:left="567"/>
        <w:jc w:val="both"/>
        <w:rPr>
          <w:rFonts w:asciiTheme="minorHAnsi" w:hAnsiTheme="minorHAnsi" w:cstheme="minorHAnsi"/>
          <w:color w:val="000000"/>
          <w:sz w:val="10"/>
          <w:szCs w:val="10"/>
          <w:lang w:val="en-US"/>
        </w:rPr>
      </w:pPr>
    </w:p>
    <w:p w14:paraId="27AE7945" w14:textId="77777777" w:rsidR="00CF192A" w:rsidRPr="0086648C" w:rsidRDefault="00CF192A" w:rsidP="00CF192A">
      <w:pPr>
        <w:pStyle w:val="Akapitzlist"/>
        <w:autoSpaceDE w:val="0"/>
        <w:autoSpaceDN w:val="0"/>
        <w:adjustRightInd w:val="0"/>
        <w:ind w:left="567"/>
        <w:contextualSpacing/>
        <w:jc w:val="both"/>
        <w:rPr>
          <w:rFonts w:asciiTheme="minorHAnsi" w:hAnsiTheme="minorHAnsi" w:cstheme="minorHAnsi"/>
          <w:color w:val="0070C0"/>
          <w:sz w:val="10"/>
          <w:szCs w:val="10"/>
          <w:lang w:val="en-US"/>
        </w:rPr>
      </w:pPr>
    </w:p>
    <w:p w14:paraId="7127AE67" w14:textId="77777777" w:rsidR="00CF192A" w:rsidRPr="00CF192A" w:rsidRDefault="00CF192A" w:rsidP="001F7A1E">
      <w:pPr>
        <w:pStyle w:val="Akapitzlist"/>
        <w:autoSpaceDE w:val="0"/>
        <w:autoSpaceDN w:val="0"/>
        <w:adjustRightInd w:val="0"/>
        <w:ind w:left="567"/>
        <w:jc w:val="both"/>
        <w:rPr>
          <w:rFonts w:asciiTheme="minorHAnsi" w:hAnsiTheme="minorHAnsi" w:cstheme="minorHAnsi"/>
          <w:color w:val="000000"/>
          <w:sz w:val="10"/>
          <w:szCs w:val="10"/>
          <w:lang w:val="en-US"/>
        </w:rPr>
      </w:pPr>
    </w:p>
    <w:p w14:paraId="105A4328" w14:textId="77777777" w:rsidR="001F7A1E" w:rsidRPr="002428B7" w:rsidRDefault="001F7A1E" w:rsidP="00491ADF">
      <w:pPr>
        <w:pStyle w:val="nrbrzegowy2"/>
        <w:ind w:left="0" w:hanging="851"/>
      </w:pPr>
      <w:r w:rsidRPr="002428B7">
        <w:t xml:space="preserve">Poniżej omawiamy przykłady kilku zaledwie, wybranych, wadliwych, lecz nie najpoważniejszych - naszym zdaniem - rozwiązań objętych projektem ustawy </w:t>
      </w:r>
      <w:r w:rsidRPr="002428B7">
        <w:rPr>
          <w:b/>
        </w:rPr>
        <w:t>UD263</w:t>
      </w:r>
      <w:r w:rsidRPr="002428B7">
        <w:t xml:space="preserve">. </w:t>
      </w:r>
    </w:p>
    <w:p w14:paraId="2155D7F0" w14:textId="77777777" w:rsidR="004D1B53" w:rsidRPr="00491ADF" w:rsidRDefault="004D1B53" w:rsidP="00491ADF">
      <w:pPr>
        <w:pStyle w:val="nrbrzegowy2"/>
        <w:numPr>
          <w:ilvl w:val="0"/>
          <w:numId w:val="0"/>
        </w:numPr>
        <w:rPr>
          <w:color w:val="2E74B5" w:themeColor="accent5" w:themeShade="BF"/>
          <w:lang w:val="en-US"/>
        </w:rPr>
      </w:pPr>
      <w:r w:rsidRPr="00491ADF">
        <w:rPr>
          <w:color w:val="2E74B5" w:themeColor="accent5" w:themeShade="BF"/>
          <w:lang w:val="en-US"/>
        </w:rPr>
        <w:t xml:space="preserve">Below we discuss examples of only a few, selected, flawed, but not the most serious - in our opinion - solutions covered by the draft </w:t>
      </w:r>
      <w:r w:rsidRPr="00491ADF">
        <w:rPr>
          <w:b/>
          <w:color w:val="2E74B5" w:themeColor="accent5" w:themeShade="BF"/>
          <w:lang w:val="en-US"/>
        </w:rPr>
        <w:t>UD263</w:t>
      </w:r>
      <w:r w:rsidRPr="00491ADF">
        <w:rPr>
          <w:color w:val="2E74B5" w:themeColor="accent5" w:themeShade="BF"/>
          <w:lang w:val="en-US"/>
        </w:rPr>
        <w:t xml:space="preserve"> of the Act.</w:t>
      </w:r>
    </w:p>
    <w:p w14:paraId="326AB76E" w14:textId="7B0C738D" w:rsidR="001F7A1E" w:rsidRPr="002428B7" w:rsidRDefault="001F7A1E" w:rsidP="00491ADF">
      <w:pPr>
        <w:pStyle w:val="nrbrzegowy2"/>
        <w:ind w:left="0" w:hanging="851"/>
        <w:rPr>
          <w:color w:val="000000"/>
        </w:rPr>
      </w:pPr>
      <w:r w:rsidRPr="002428B7">
        <w:rPr>
          <w:color w:val="000000"/>
        </w:rPr>
        <w:t xml:space="preserve">Szersze omówienie proponowanych rozwiązań byłoby możliwe po przedłożeniu przez projektodawcę kompletnego materiału obejmującego projektowaną regulację ustawową (w tym przepisów intertemporalnych) oraz kompletu projektów aktów wykonawczych. </w:t>
      </w:r>
    </w:p>
    <w:p w14:paraId="3811D260" w14:textId="77777777" w:rsidR="0046138F" w:rsidRPr="00491ADF" w:rsidRDefault="0046138F" w:rsidP="00491ADF">
      <w:pPr>
        <w:pStyle w:val="nrbrzegowy2"/>
        <w:numPr>
          <w:ilvl w:val="0"/>
          <w:numId w:val="0"/>
        </w:numPr>
        <w:rPr>
          <w:color w:val="2E74B5" w:themeColor="accent5" w:themeShade="BF"/>
          <w:lang w:val="en-US"/>
        </w:rPr>
      </w:pPr>
      <w:r w:rsidRPr="00491ADF">
        <w:rPr>
          <w:color w:val="2E74B5" w:themeColor="accent5" w:themeShade="BF"/>
          <w:lang w:val="en-US"/>
        </w:rPr>
        <w:t>A more extensive discussion of the proposed solutions would be possible after the drafter submits complete material covering the proposed statutory regulation (including intertemporal provisions) and a set of draft of executive acts.</w:t>
      </w:r>
    </w:p>
    <w:p w14:paraId="57BB51A8" w14:textId="77777777" w:rsidR="0046138F" w:rsidRPr="002F7E5D" w:rsidRDefault="0046138F" w:rsidP="00491ADF">
      <w:pPr>
        <w:pStyle w:val="nrbrzegowy2"/>
        <w:numPr>
          <w:ilvl w:val="0"/>
          <w:numId w:val="0"/>
        </w:numPr>
        <w:ind w:hanging="851"/>
        <w:rPr>
          <w:color w:val="000000"/>
          <w:sz w:val="10"/>
          <w:szCs w:val="10"/>
          <w:lang w:val="en-US"/>
        </w:rPr>
      </w:pPr>
    </w:p>
    <w:p w14:paraId="34483D52" w14:textId="1EC070FD" w:rsidR="001F7A1E" w:rsidRDefault="001F7A1E" w:rsidP="00491ADF">
      <w:pPr>
        <w:pStyle w:val="nrbrzegowy2"/>
        <w:ind w:left="0" w:hanging="851"/>
        <w:rPr>
          <w:color w:val="000000"/>
        </w:rPr>
      </w:pPr>
      <w:r w:rsidRPr="002428B7">
        <w:rPr>
          <w:color w:val="000000"/>
        </w:rPr>
        <w:t xml:space="preserve">Wyrażamy jednak nadzieję, że </w:t>
      </w:r>
      <w:r w:rsidRPr="002428B7">
        <w:rPr>
          <w:b/>
          <w:color w:val="000000"/>
        </w:rPr>
        <w:t>prace UD263 zostaną oficjalnie zamknięte</w:t>
      </w:r>
      <w:r w:rsidRPr="002428B7">
        <w:rPr>
          <w:color w:val="000000"/>
        </w:rPr>
        <w:t>, także z opisanych niżej przyczyn i analizowanie tego wadliwego projektu aktu prawnego nie będzie już konieczne.</w:t>
      </w:r>
    </w:p>
    <w:p w14:paraId="3A86C327" w14:textId="7860A52F" w:rsidR="0046138F" w:rsidRPr="00491ADF" w:rsidRDefault="0046138F" w:rsidP="00491ADF">
      <w:pPr>
        <w:pStyle w:val="nrbrzegowy2"/>
        <w:numPr>
          <w:ilvl w:val="0"/>
          <w:numId w:val="0"/>
        </w:numPr>
        <w:rPr>
          <w:color w:val="2E74B5" w:themeColor="accent5" w:themeShade="BF"/>
          <w:lang w:val="en-US"/>
        </w:rPr>
      </w:pPr>
      <w:r w:rsidRPr="00491ADF">
        <w:rPr>
          <w:color w:val="2E74B5" w:themeColor="accent5" w:themeShade="BF"/>
          <w:lang w:val="en-US"/>
        </w:rPr>
        <w:t xml:space="preserve">However, we hope that the </w:t>
      </w:r>
      <w:r w:rsidRPr="00491ADF">
        <w:rPr>
          <w:b/>
          <w:color w:val="2E74B5" w:themeColor="accent5" w:themeShade="BF"/>
          <w:lang w:val="en-US"/>
        </w:rPr>
        <w:t>work on UD263 will be officially closed</w:t>
      </w:r>
      <w:r w:rsidRPr="00491ADF">
        <w:rPr>
          <w:color w:val="2E74B5" w:themeColor="accent5" w:themeShade="BF"/>
          <w:lang w:val="en-US"/>
        </w:rPr>
        <w:t xml:space="preserve">, also for the reasons described below, and that it will no longer be necessary to </w:t>
      </w:r>
      <w:proofErr w:type="spellStart"/>
      <w:r w:rsidRPr="00491ADF">
        <w:rPr>
          <w:color w:val="2E74B5" w:themeColor="accent5" w:themeShade="BF"/>
          <w:lang w:val="en-US"/>
        </w:rPr>
        <w:t>analyse</w:t>
      </w:r>
      <w:proofErr w:type="spellEnd"/>
      <w:r w:rsidRPr="00491ADF">
        <w:rPr>
          <w:color w:val="2E74B5" w:themeColor="accent5" w:themeShade="BF"/>
          <w:lang w:val="en-US"/>
        </w:rPr>
        <w:t xml:space="preserve"> this flawed draft legislation.</w:t>
      </w:r>
    </w:p>
    <w:p w14:paraId="146A4074" w14:textId="77777777" w:rsidR="001F7A1E" w:rsidRPr="0046138F" w:rsidRDefault="001F7A1E" w:rsidP="001F7A1E">
      <w:pPr>
        <w:autoSpaceDE w:val="0"/>
        <w:autoSpaceDN w:val="0"/>
        <w:adjustRightInd w:val="0"/>
        <w:spacing w:after="0" w:line="240" w:lineRule="auto"/>
        <w:jc w:val="center"/>
        <w:rPr>
          <w:rFonts w:cstheme="minorHAnsi"/>
          <w:color w:val="000000"/>
          <w:sz w:val="10"/>
          <w:szCs w:val="10"/>
          <w:lang w:val="en-US"/>
        </w:rPr>
      </w:pPr>
      <w:bookmarkStart w:id="118" w:name="_Hlk168518169"/>
    </w:p>
    <w:p w14:paraId="4B376CB2" w14:textId="77777777" w:rsidR="001F7A1E" w:rsidRPr="002428B7" w:rsidRDefault="001F7A1E" w:rsidP="001F7A1E">
      <w:pPr>
        <w:autoSpaceDE w:val="0"/>
        <w:autoSpaceDN w:val="0"/>
        <w:adjustRightInd w:val="0"/>
        <w:spacing w:after="0" w:line="240" w:lineRule="auto"/>
        <w:jc w:val="center"/>
        <w:rPr>
          <w:rFonts w:cstheme="minorHAnsi"/>
          <w:color w:val="000000"/>
          <w:sz w:val="24"/>
          <w:szCs w:val="24"/>
        </w:rPr>
      </w:pPr>
      <w:r w:rsidRPr="002428B7">
        <w:rPr>
          <w:rFonts w:cstheme="minorHAnsi"/>
          <w:color w:val="000000"/>
          <w:sz w:val="24"/>
          <w:szCs w:val="24"/>
        </w:rPr>
        <w:t>* * *</w:t>
      </w:r>
    </w:p>
    <w:p w14:paraId="2851B83D" w14:textId="77777777" w:rsidR="001F7A1E" w:rsidRPr="001C51B8" w:rsidRDefault="001F7A1E" w:rsidP="001F7A1E">
      <w:pPr>
        <w:autoSpaceDE w:val="0"/>
        <w:autoSpaceDN w:val="0"/>
        <w:adjustRightInd w:val="0"/>
        <w:spacing w:after="0" w:line="240" w:lineRule="auto"/>
        <w:jc w:val="both"/>
        <w:rPr>
          <w:rFonts w:cstheme="minorHAnsi"/>
          <w:color w:val="000000"/>
          <w:sz w:val="10"/>
          <w:szCs w:val="10"/>
        </w:rPr>
      </w:pPr>
    </w:p>
    <w:bookmarkEnd w:id="118"/>
    <w:p w14:paraId="388C26C8" w14:textId="77777777" w:rsidR="0046138F" w:rsidRDefault="001F7A1E" w:rsidP="00491ADF">
      <w:pPr>
        <w:pStyle w:val="nrbrzegowy2"/>
        <w:ind w:left="0" w:hanging="851"/>
      </w:pPr>
      <w:r w:rsidRPr="002428B7">
        <w:t xml:space="preserve">Ilustrację sygnalizowanych problemów stanowią omówienia zapisów projektu ustawy </w:t>
      </w:r>
      <w:r w:rsidRPr="002428B7">
        <w:rPr>
          <w:b/>
        </w:rPr>
        <w:t>UD263</w:t>
      </w:r>
      <w:r w:rsidRPr="002428B7">
        <w:t xml:space="preserve"> przedstawione niżej w pojedynczych blokach, w których porównano: </w:t>
      </w:r>
      <w:r w:rsidRPr="002428B7">
        <w:rPr>
          <w:b/>
        </w:rPr>
        <w:t xml:space="preserve">obowiązujący </w:t>
      </w:r>
      <w:r w:rsidRPr="002428B7">
        <w:t xml:space="preserve">zapis i obok zapis proponowany, a poniżej przedstawiono UWAGI do nich. </w:t>
      </w:r>
    </w:p>
    <w:p w14:paraId="1836E458" w14:textId="77777777" w:rsidR="001F7A1E" w:rsidRPr="002F7E5D" w:rsidRDefault="001F7A1E" w:rsidP="001F7A1E">
      <w:pPr>
        <w:autoSpaceDE w:val="0"/>
        <w:autoSpaceDN w:val="0"/>
        <w:adjustRightInd w:val="0"/>
        <w:spacing w:after="0" w:line="240" w:lineRule="auto"/>
        <w:jc w:val="both"/>
        <w:rPr>
          <w:rFonts w:cstheme="minorHAnsi"/>
          <w:color w:val="0070C0"/>
          <w:sz w:val="10"/>
          <w:szCs w:val="10"/>
        </w:rPr>
      </w:pPr>
    </w:p>
    <w:p w14:paraId="0CE2BF8A" w14:textId="77777777" w:rsidR="001F7A1E" w:rsidRPr="002428B7" w:rsidRDefault="001F7A1E" w:rsidP="001F7A1E">
      <w:pPr>
        <w:autoSpaceDE w:val="0"/>
        <w:autoSpaceDN w:val="0"/>
        <w:adjustRightInd w:val="0"/>
        <w:spacing w:after="0" w:line="240" w:lineRule="auto"/>
        <w:jc w:val="both"/>
        <w:rPr>
          <w:rFonts w:cstheme="minorHAnsi"/>
          <w:sz w:val="24"/>
          <w:szCs w:val="24"/>
        </w:rPr>
      </w:pPr>
      <w:r w:rsidRPr="002428B7">
        <w:rPr>
          <w:rFonts w:cstheme="minorHAnsi"/>
          <w:sz w:val="24"/>
          <w:szCs w:val="24"/>
        </w:rPr>
        <w:t>Prezentując teksty:</w:t>
      </w:r>
    </w:p>
    <w:p w14:paraId="71DAD41E" w14:textId="77777777" w:rsidR="001F7A1E" w:rsidRPr="002428B7" w:rsidRDefault="001F7A1E" w:rsidP="001F7A1E">
      <w:pPr>
        <w:autoSpaceDE w:val="0"/>
        <w:autoSpaceDN w:val="0"/>
        <w:adjustRightInd w:val="0"/>
        <w:spacing w:after="0" w:line="240" w:lineRule="auto"/>
        <w:jc w:val="both"/>
        <w:rPr>
          <w:rFonts w:eastAsia="Times New Roman" w:cstheme="minorHAnsi"/>
          <w:color w:val="333333"/>
          <w:sz w:val="24"/>
          <w:szCs w:val="24"/>
          <w:shd w:val="clear" w:color="auto" w:fill="D9E2F3" w:themeFill="accent1" w:themeFillTint="33"/>
          <w:lang w:eastAsia="pl-PL"/>
        </w:rPr>
      </w:pPr>
      <w:r w:rsidRPr="002428B7">
        <w:rPr>
          <w:rFonts w:eastAsia="Times New Roman" w:cstheme="minorHAnsi"/>
          <w:color w:val="333333"/>
          <w:sz w:val="24"/>
          <w:szCs w:val="24"/>
          <w:shd w:val="clear" w:color="auto" w:fill="E2EFD9" w:themeFill="accent6" w:themeFillTint="33"/>
          <w:lang w:eastAsia="pl-PL"/>
        </w:rPr>
        <w:lastRenderedPageBreak/>
        <w:t>posłużono</w:t>
      </w:r>
      <w:r w:rsidRPr="002428B7">
        <w:rPr>
          <w:rFonts w:eastAsia="Times New Roman" w:cstheme="minorHAnsi"/>
          <w:color w:val="333333"/>
          <w:sz w:val="24"/>
          <w:szCs w:val="24"/>
          <w:shd w:val="clear" w:color="auto" w:fill="D9E2F3" w:themeFill="accent1" w:themeFillTint="33"/>
          <w:lang w:eastAsia="pl-PL"/>
        </w:rPr>
        <w:t xml:space="preserve"> </w:t>
      </w:r>
    </w:p>
    <w:p w14:paraId="73086B92" w14:textId="77777777" w:rsidR="001F7A1E" w:rsidRPr="002428B7" w:rsidRDefault="001F7A1E" w:rsidP="001F7A1E">
      <w:pPr>
        <w:autoSpaceDE w:val="0"/>
        <w:autoSpaceDN w:val="0"/>
        <w:adjustRightInd w:val="0"/>
        <w:spacing w:after="0" w:line="240" w:lineRule="auto"/>
        <w:jc w:val="both"/>
        <w:rPr>
          <w:rFonts w:eastAsia="Times New Roman" w:cstheme="minorHAnsi"/>
          <w:color w:val="333333"/>
          <w:sz w:val="24"/>
          <w:szCs w:val="24"/>
          <w:shd w:val="clear" w:color="auto" w:fill="D9E2F3" w:themeFill="accent1" w:themeFillTint="33"/>
          <w:lang w:eastAsia="pl-PL"/>
        </w:rPr>
      </w:pPr>
      <w:r w:rsidRPr="002428B7">
        <w:rPr>
          <w:rFonts w:eastAsia="Times New Roman" w:cstheme="minorHAnsi"/>
          <w:color w:val="333333"/>
          <w:sz w:val="24"/>
          <w:szCs w:val="24"/>
          <w:shd w:val="clear" w:color="auto" w:fill="D9E2F3" w:themeFill="accent1" w:themeFillTint="33"/>
          <w:lang w:eastAsia="pl-PL"/>
        </w:rPr>
        <w:t>się</w:t>
      </w:r>
    </w:p>
    <w:p w14:paraId="2513B6CD" w14:textId="77777777" w:rsidR="001F7A1E" w:rsidRPr="002428B7" w:rsidRDefault="001F7A1E" w:rsidP="001F7A1E">
      <w:pPr>
        <w:autoSpaceDE w:val="0"/>
        <w:autoSpaceDN w:val="0"/>
        <w:adjustRightInd w:val="0"/>
        <w:spacing w:after="0" w:line="240" w:lineRule="auto"/>
        <w:jc w:val="both"/>
        <w:rPr>
          <w:rFonts w:cstheme="minorHAnsi"/>
          <w:color w:val="000000"/>
          <w:sz w:val="24"/>
          <w:szCs w:val="24"/>
          <w:shd w:val="clear" w:color="auto" w:fill="FBE4D5" w:themeFill="accent2" w:themeFillTint="33"/>
        </w:rPr>
      </w:pPr>
      <w:r w:rsidRPr="002428B7">
        <w:rPr>
          <w:rFonts w:cstheme="minorHAnsi"/>
          <w:color w:val="000000"/>
          <w:sz w:val="24"/>
          <w:szCs w:val="24"/>
          <w:shd w:val="clear" w:color="auto" w:fill="FBE4D5" w:themeFill="accent2" w:themeFillTint="33"/>
        </w:rPr>
        <w:t>kolorami,</w:t>
      </w:r>
    </w:p>
    <w:p w14:paraId="0058AC92" w14:textId="77777777" w:rsidR="001F7A1E" w:rsidRPr="002428B7" w:rsidRDefault="001F7A1E" w:rsidP="001F7A1E">
      <w:pPr>
        <w:autoSpaceDE w:val="0"/>
        <w:autoSpaceDN w:val="0"/>
        <w:adjustRightInd w:val="0"/>
        <w:spacing w:after="0" w:line="240" w:lineRule="auto"/>
        <w:jc w:val="both"/>
        <w:rPr>
          <w:rFonts w:cstheme="minorHAnsi"/>
          <w:color w:val="000000"/>
          <w:sz w:val="24"/>
          <w:szCs w:val="24"/>
        </w:rPr>
      </w:pPr>
      <w:r w:rsidRPr="002428B7">
        <w:rPr>
          <w:rFonts w:cstheme="minorHAnsi"/>
          <w:color w:val="000000"/>
          <w:sz w:val="24"/>
          <w:szCs w:val="24"/>
        </w:rPr>
        <w:t>aby zwrócić uwagę na szczególnie istotne zapisy.</w:t>
      </w:r>
    </w:p>
    <w:p w14:paraId="0C7BDF45" w14:textId="77777777" w:rsidR="001F7A1E" w:rsidRPr="001C51B8" w:rsidRDefault="001F7A1E" w:rsidP="001F7A1E">
      <w:pPr>
        <w:autoSpaceDE w:val="0"/>
        <w:autoSpaceDN w:val="0"/>
        <w:adjustRightInd w:val="0"/>
        <w:spacing w:after="0" w:line="240" w:lineRule="auto"/>
        <w:jc w:val="both"/>
        <w:rPr>
          <w:rFonts w:cstheme="minorHAnsi"/>
          <w:color w:val="0070C0"/>
          <w:sz w:val="10"/>
          <w:szCs w:val="10"/>
        </w:rPr>
      </w:pPr>
    </w:p>
    <w:p w14:paraId="0731202A" w14:textId="77777777" w:rsidR="001F7A1E" w:rsidRPr="005F0586" w:rsidRDefault="001F7A1E" w:rsidP="001F7A1E">
      <w:pPr>
        <w:spacing w:after="0" w:line="240" w:lineRule="auto"/>
        <w:rPr>
          <w:rFonts w:cstheme="minorHAnsi"/>
          <w:sz w:val="10"/>
          <w:szCs w:val="10"/>
          <w:lang w:eastAsia="pl-PL"/>
        </w:rPr>
      </w:pPr>
      <w:bookmarkStart w:id="119" w:name="_Hlk168518224"/>
    </w:p>
    <w:tbl>
      <w:tblPr>
        <w:tblStyle w:val="Tabela-Siatka"/>
        <w:tblW w:w="0" w:type="auto"/>
        <w:tblLook w:val="04A0" w:firstRow="1" w:lastRow="0" w:firstColumn="1" w:lastColumn="0" w:noHBand="0" w:noVBand="1"/>
      </w:tblPr>
      <w:tblGrid>
        <w:gridCol w:w="4423"/>
        <w:gridCol w:w="4633"/>
      </w:tblGrid>
      <w:tr w:rsidR="001F7A1E" w:rsidRPr="00DB51DA" w14:paraId="55E7FD59" w14:textId="77777777" w:rsidTr="00F45910">
        <w:tc>
          <w:tcPr>
            <w:tcW w:w="4423" w:type="dxa"/>
            <w:shd w:val="clear" w:color="auto" w:fill="F2F2F2" w:themeFill="background1" w:themeFillShade="F2"/>
          </w:tcPr>
          <w:p w14:paraId="5412EFB6" w14:textId="77777777" w:rsidR="005F0586" w:rsidRDefault="005F0586" w:rsidP="00F45910">
            <w:pPr>
              <w:jc w:val="center"/>
              <w:rPr>
                <w:rFonts w:asciiTheme="minorHAnsi" w:hAnsiTheme="minorHAnsi" w:cstheme="minorHAnsi"/>
                <w:b/>
                <w:sz w:val="22"/>
                <w:szCs w:val="22"/>
              </w:rPr>
            </w:pPr>
          </w:p>
          <w:p w14:paraId="02ABAF09" w14:textId="403533D9" w:rsidR="001F7A1E" w:rsidRPr="00EC4F25" w:rsidRDefault="001F7A1E" w:rsidP="00F45910">
            <w:pPr>
              <w:jc w:val="center"/>
              <w:rPr>
                <w:rFonts w:asciiTheme="minorHAnsi" w:hAnsiTheme="minorHAnsi" w:cstheme="minorHAnsi"/>
                <w:b/>
                <w:sz w:val="22"/>
                <w:szCs w:val="22"/>
              </w:rPr>
            </w:pPr>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0F6697D8" w14:textId="7BAAB482" w:rsidR="001F7A1E" w:rsidRPr="00A440BC" w:rsidRDefault="001F7A1E" w:rsidP="00F45910">
            <w:pPr>
              <w:jc w:val="center"/>
              <w:rPr>
                <w:rFonts w:asciiTheme="minorHAnsi" w:hAnsiTheme="minorHAnsi" w:cstheme="minorHAnsi"/>
                <w:b/>
                <w:color w:val="0070C0"/>
                <w:sz w:val="22"/>
                <w:szCs w:val="22"/>
              </w:rPr>
            </w:pPr>
          </w:p>
        </w:tc>
        <w:tc>
          <w:tcPr>
            <w:tcW w:w="4633" w:type="dxa"/>
            <w:shd w:val="clear" w:color="auto" w:fill="F2F2F2" w:themeFill="background1" w:themeFillShade="F2"/>
          </w:tcPr>
          <w:p w14:paraId="3C6A4A45" w14:textId="77777777" w:rsidR="005F0586" w:rsidRDefault="005F0586" w:rsidP="00F45910">
            <w:pPr>
              <w:keepNext/>
              <w:jc w:val="center"/>
              <w:rPr>
                <w:rFonts w:asciiTheme="minorHAnsi" w:hAnsiTheme="minorHAnsi" w:cstheme="minorHAnsi"/>
                <w:b/>
                <w:sz w:val="22"/>
                <w:szCs w:val="22"/>
              </w:rPr>
            </w:pPr>
          </w:p>
          <w:p w14:paraId="6DDBF1B4" w14:textId="7582F7D3"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29D47061" w14:textId="5EDBE63F" w:rsidR="001F7A1E" w:rsidRPr="00A440BC" w:rsidRDefault="001F7A1E" w:rsidP="00F45910">
            <w:pPr>
              <w:keepNext/>
              <w:jc w:val="center"/>
              <w:rPr>
                <w:rFonts w:asciiTheme="minorHAnsi" w:hAnsiTheme="minorHAnsi" w:cstheme="minorHAnsi"/>
                <w:b/>
                <w:bCs/>
                <w:color w:val="0070C0"/>
                <w:sz w:val="22"/>
                <w:szCs w:val="22"/>
              </w:rPr>
            </w:pPr>
          </w:p>
        </w:tc>
      </w:tr>
      <w:tr w:rsidR="005F0586" w:rsidRPr="005F0586" w14:paraId="53495749" w14:textId="77777777" w:rsidTr="00F45910">
        <w:tc>
          <w:tcPr>
            <w:tcW w:w="9056" w:type="dxa"/>
            <w:gridSpan w:val="2"/>
            <w:shd w:val="clear" w:color="auto" w:fill="FFFFFF" w:themeFill="background1"/>
          </w:tcPr>
          <w:p w14:paraId="3FEF1D71" w14:textId="77777777" w:rsidR="001F7A1E" w:rsidRPr="005F0586" w:rsidRDefault="001F7A1E" w:rsidP="00F45910">
            <w:pPr>
              <w:keepNext/>
              <w:rPr>
                <w:rFonts w:asciiTheme="minorHAnsi" w:hAnsiTheme="minorHAnsi" w:cstheme="minorHAnsi"/>
                <w:b/>
                <w:color w:val="0070C0"/>
                <w:sz w:val="22"/>
                <w:szCs w:val="22"/>
              </w:rPr>
            </w:pPr>
            <w:r w:rsidRPr="005F0586">
              <w:rPr>
                <w:rStyle w:val="Hipercze"/>
                <w:rFonts w:asciiTheme="minorHAnsi" w:hAnsiTheme="minorHAnsi" w:cstheme="minorHAnsi"/>
                <w:color w:val="0070C0"/>
                <w:sz w:val="22"/>
                <w:szCs w:val="22"/>
              </w:rPr>
              <w:t>https://isap.sejm.gov.pl/isap.nsf/download.xsp/WDU20010490508/U/D20010508Lj.pdf</w:t>
            </w:r>
          </w:p>
        </w:tc>
      </w:tr>
      <w:tr w:rsidR="001F7A1E" w:rsidRPr="00EC4F25" w14:paraId="2D5943A5" w14:textId="77777777" w:rsidTr="00F45910">
        <w:tc>
          <w:tcPr>
            <w:tcW w:w="4423" w:type="dxa"/>
          </w:tcPr>
          <w:p w14:paraId="3FA66030" w14:textId="77777777" w:rsidR="001F7A1E" w:rsidRPr="00A440BC" w:rsidRDefault="001F7A1E" w:rsidP="00F45910">
            <w:pPr>
              <w:shd w:val="clear" w:color="auto" w:fill="FFFFFF"/>
              <w:rPr>
                <w:rFonts w:asciiTheme="minorHAnsi" w:hAnsiTheme="minorHAnsi" w:cstheme="minorHAnsi"/>
                <w:b/>
                <w:bCs/>
                <w:color w:val="333333"/>
                <w:sz w:val="22"/>
                <w:szCs w:val="22"/>
              </w:rPr>
            </w:pPr>
            <w:bookmarkStart w:id="120" w:name="mip57779482"/>
            <w:bookmarkEnd w:id="120"/>
          </w:p>
          <w:p w14:paraId="6CC4F504" w14:textId="77777777" w:rsidR="001F7A1E" w:rsidRPr="00A440BC" w:rsidRDefault="001F7A1E" w:rsidP="00F45910">
            <w:pPr>
              <w:pStyle w:val="Nagwek1"/>
              <w:shd w:val="clear" w:color="auto" w:fill="FFFFFF"/>
              <w:spacing w:before="0" w:beforeAutospacing="0" w:after="0" w:afterAutospacing="0"/>
              <w:rPr>
                <w:rFonts w:asciiTheme="minorHAnsi" w:hAnsiTheme="minorHAnsi" w:cstheme="minorHAnsi"/>
                <w:caps/>
                <w:color w:val="000000"/>
                <w:sz w:val="22"/>
                <w:szCs w:val="22"/>
              </w:rPr>
            </w:pPr>
          </w:p>
          <w:p w14:paraId="5AF883A7" w14:textId="77777777" w:rsidR="001F7A1E" w:rsidRPr="00A440BC" w:rsidRDefault="001F7A1E" w:rsidP="00F45910">
            <w:pPr>
              <w:pStyle w:val="Nagwek1"/>
              <w:shd w:val="clear" w:color="auto" w:fill="FFFFFF"/>
              <w:spacing w:before="0" w:beforeAutospacing="0" w:after="0" w:afterAutospacing="0"/>
              <w:rPr>
                <w:rFonts w:asciiTheme="minorHAnsi" w:hAnsiTheme="minorHAnsi" w:cstheme="minorHAnsi"/>
                <w:caps/>
                <w:color w:val="000000"/>
                <w:sz w:val="22"/>
                <w:szCs w:val="22"/>
              </w:rPr>
            </w:pPr>
          </w:p>
          <w:p w14:paraId="0ADF7869" w14:textId="77777777" w:rsidR="001F7A1E" w:rsidRPr="00A2434D" w:rsidRDefault="001F7A1E" w:rsidP="00A2434D">
            <w:pPr>
              <w:jc w:val="center"/>
              <w:rPr>
                <w:rFonts w:asciiTheme="minorHAnsi" w:hAnsiTheme="minorHAnsi" w:cstheme="minorHAnsi"/>
                <w:b/>
                <w:sz w:val="22"/>
                <w:szCs w:val="22"/>
              </w:rPr>
            </w:pPr>
            <w:r w:rsidRPr="00A2434D">
              <w:rPr>
                <w:rFonts w:asciiTheme="minorHAnsi" w:hAnsiTheme="minorHAnsi" w:cstheme="minorHAnsi"/>
                <w:b/>
                <w:sz w:val="22"/>
                <w:szCs w:val="22"/>
              </w:rPr>
              <w:t>PRAWO WŁASNOŚCI PRZEMYSŁOWEJ</w:t>
            </w:r>
          </w:p>
          <w:p w14:paraId="3A1B0659" w14:textId="77777777" w:rsidR="001F7A1E" w:rsidRPr="00EC4F25" w:rsidRDefault="001F7A1E" w:rsidP="00F45910">
            <w:pPr>
              <w:pStyle w:val="mainpub"/>
              <w:shd w:val="clear" w:color="auto" w:fill="FFFFFF"/>
              <w:spacing w:before="0" w:after="0"/>
              <w:jc w:val="center"/>
              <w:rPr>
                <w:rFonts w:asciiTheme="minorHAnsi" w:hAnsiTheme="minorHAnsi" w:cstheme="minorHAnsi"/>
                <w:sz w:val="22"/>
                <w:szCs w:val="22"/>
              </w:rPr>
            </w:pPr>
            <w:r w:rsidRPr="00EC4F25">
              <w:rPr>
                <w:rFonts w:asciiTheme="minorHAnsi" w:hAnsiTheme="minorHAnsi" w:cstheme="minorHAnsi"/>
                <w:b/>
                <w:bCs/>
                <w:color w:val="333333"/>
                <w:sz w:val="22"/>
                <w:szCs w:val="22"/>
              </w:rPr>
              <w:t>z dnia 30 czerwca 2000 r. </w:t>
            </w:r>
            <w:r w:rsidRPr="00EC4F25">
              <w:rPr>
                <w:rFonts w:asciiTheme="minorHAnsi" w:hAnsiTheme="minorHAnsi" w:cstheme="minorHAnsi"/>
                <w:sz w:val="22"/>
                <w:szCs w:val="22"/>
              </w:rPr>
              <w:t xml:space="preserve"> </w:t>
            </w:r>
          </w:p>
          <w:p w14:paraId="39CF52A2" w14:textId="77777777" w:rsidR="001F7A1E" w:rsidRPr="00EC4F25" w:rsidRDefault="00B82931" w:rsidP="00F45910">
            <w:pPr>
              <w:pStyle w:val="mainpub"/>
              <w:shd w:val="clear" w:color="auto" w:fill="FFFFFF"/>
              <w:spacing w:before="0" w:after="0"/>
              <w:jc w:val="center"/>
              <w:rPr>
                <w:rFonts w:asciiTheme="minorHAnsi" w:hAnsiTheme="minorHAnsi" w:cstheme="minorHAnsi"/>
                <w:b/>
                <w:bCs/>
                <w:color w:val="333333"/>
                <w:sz w:val="22"/>
                <w:szCs w:val="22"/>
              </w:rPr>
            </w:pPr>
            <w:hyperlink r:id="rId144" w:history="1">
              <w:r w:rsidR="001F7A1E" w:rsidRPr="00EC4F25">
                <w:rPr>
                  <w:rStyle w:val="Hipercze"/>
                  <w:rFonts w:asciiTheme="minorHAnsi" w:hAnsiTheme="minorHAnsi" w:cstheme="minorHAnsi"/>
                  <w:b/>
                  <w:bCs/>
                  <w:color w:val="CC0000"/>
                  <w:sz w:val="22"/>
                  <w:szCs w:val="22"/>
                </w:rPr>
                <w:t>(Dz.U. z 2021 r. poz. 324)</w:t>
              </w:r>
            </w:hyperlink>
          </w:p>
          <w:p w14:paraId="61A1E392" w14:textId="77777777" w:rsidR="001F7A1E" w:rsidRPr="00EC4F25" w:rsidRDefault="001F7A1E" w:rsidP="00F45910">
            <w:pPr>
              <w:shd w:val="clear" w:color="auto" w:fill="FFFFFF"/>
              <w:rPr>
                <w:rFonts w:asciiTheme="minorHAnsi" w:hAnsiTheme="minorHAnsi" w:cstheme="minorHAnsi"/>
                <w:b/>
                <w:bCs/>
                <w:color w:val="333333"/>
                <w:sz w:val="22"/>
                <w:szCs w:val="22"/>
              </w:rPr>
            </w:pPr>
          </w:p>
          <w:p w14:paraId="1AA44643"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b/>
                <w:bCs/>
                <w:color w:val="333333"/>
                <w:sz w:val="22"/>
                <w:szCs w:val="22"/>
              </w:rPr>
              <w:t>Art. 11 [Prawa twórcy]</w:t>
            </w:r>
          </w:p>
          <w:p w14:paraId="2B28333C"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color w:val="333333"/>
                <w:sz w:val="22"/>
                <w:szCs w:val="22"/>
              </w:rPr>
              <w:t>1. Prawo do uzyskania patentu na wynalazek albo prawa ochronnego na wzór użytkowy, jak również prawa z rejestracji wzoru przemysłowego przysługuje, z zastrzeżeniem ust. 2, 3 i 5, twórcy.</w:t>
            </w:r>
          </w:p>
          <w:p w14:paraId="404255CB" w14:textId="77777777" w:rsidR="001F7A1E" w:rsidRPr="00EC4F25" w:rsidRDefault="001F7A1E" w:rsidP="00F45910">
            <w:pPr>
              <w:shd w:val="clear" w:color="auto" w:fill="FFFFFF"/>
              <w:rPr>
                <w:rFonts w:asciiTheme="minorHAnsi" w:hAnsiTheme="minorHAnsi" w:cstheme="minorHAnsi"/>
                <w:color w:val="333333"/>
                <w:sz w:val="22"/>
                <w:szCs w:val="22"/>
              </w:rPr>
            </w:pPr>
          </w:p>
          <w:p w14:paraId="4BE23426"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color w:val="333333"/>
                <w:sz w:val="22"/>
                <w:szCs w:val="22"/>
              </w:rPr>
              <w:t>2. Współtwórcom wynalazku, wzoru użytkowego albo wzoru przemysłowego uprawnienie do uzyskania patentu, prawa ochronnego lub prawa z rejestracji przysługuje wspólnie.</w:t>
            </w:r>
          </w:p>
          <w:p w14:paraId="3FF762C2" w14:textId="77777777" w:rsidR="001F7A1E" w:rsidRPr="00EC4F25" w:rsidRDefault="001F7A1E" w:rsidP="00F45910">
            <w:pPr>
              <w:shd w:val="clear" w:color="auto" w:fill="FFFFFF"/>
              <w:rPr>
                <w:rFonts w:asciiTheme="minorHAnsi" w:hAnsiTheme="minorHAnsi" w:cstheme="minorHAnsi"/>
                <w:color w:val="333333"/>
                <w:sz w:val="22"/>
                <w:szCs w:val="22"/>
              </w:rPr>
            </w:pPr>
          </w:p>
          <w:p w14:paraId="109474DC" w14:textId="77777777" w:rsidR="001F7A1E" w:rsidRPr="00EC4F25" w:rsidRDefault="001F7A1E" w:rsidP="00F45910">
            <w:pPr>
              <w:shd w:val="clear" w:color="auto" w:fill="FFFFFF"/>
              <w:rPr>
                <w:rFonts w:asciiTheme="minorHAnsi" w:hAnsiTheme="minorHAnsi" w:cstheme="minorHAnsi"/>
                <w:color w:val="333333"/>
                <w:sz w:val="22"/>
                <w:szCs w:val="22"/>
                <w:shd w:val="clear" w:color="auto" w:fill="FFFFFF" w:themeFill="background1"/>
              </w:rPr>
            </w:pPr>
            <w:r w:rsidRPr="00EC4F25">
              <w:rPr>
                <w:rFonts w:asciiTheme="minorHAnsi" w:hAnsiTheme="minorHAnsi" w:cstheme="minorHAnsi"/>
                <w:color w:val="333333"/>
                <w:sz w:val="22"/>
                <w:szCs w:val="22"/>
              </w:rPr>
              <w:t>3. W razie dokonania wynalazku, wzoru użytkowego albo wzoru przemysłoweg</w:t>
            </w:r>
            <w:r w:rsidRPr="00EC4F25">
              <w:rPr>
                <w:rFonts w:asciiTheme="minorHAnsi" w:hAnsiTheme="minorHAnsi" w:cstheme="minorHAnsi"/>
                <w:color w:val="333333"/>
                <w:sz w:val="22"/>
                <w:szCs w:val="22"/>
                <w:shd w:val="clear" w:color="auto" w:fill="FFFFFF" w:themeFill="background1"/>
              </w:rPr>
              <w:t xml:space="preserve">o </w:t>
            </w:r>
          </w:p>
          <w:p w14:paraId="2A53E13B"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b/>
                <w:bCs/>
                <w:color w:val="333333"/>
                <w:sz w:val="22"/>
                <w:szCs w:val="22"/>
                <w:shd w:val="clear" w:color="auto" w:fill="FFFFFF" w:themeFill="background1"/>
              </w:rPr>
              <w:t>w wyniku</w:t>
            </w:r>
            <w:r w:rsidRPr="00EC4F25">
              <w:rPr>
                <w:rFonts w:asciiTheme="minorHAnsi" w:hAnsiTheme="minorHAnsi" w:cstheme="minorHAnsi"/>
                <w:color w:val="333333"/>
                <w:sz w:val="22"/>
                <w:szCs w:val="22"/>
                <w:shd w:val="clear" w:color="auto" w:fill="FFFFFF" w:themeFill="background1"/>
              </w:rPr>
              <w:t xml:space="preserve"> </w:t>
            </w:r>
            <w:r w:rsidRPr="00EC4F25">
              <w:rPr>
                <w:rFonts w:asciiTheme="minorHAnsi" w:hAnsiTheme="minorHAnsi" w:cstheme="minorHAnsi"/>
                <w:color w:val="333333"/>
                <w:sz w:val="22"/>
                <w:szCs w:val="22"/>
                <w:shd w:val="clear" w:color="auto" w:fill="E2EFD9" w:themeFill="accent6" w:themeFillTint="33"/>
              </w:rPr>
              <w:t>wykonywania przez twórcę obowiązków ze stosunku pracy albo z realizacji innej umowy</w:t>
            </w:r>
            <w:r w:rsidRPr="00EC4F25">
              <w:rPr>
                <w:rFonts w:asciiTheme="minorHAnsi" w:hAnsiTheme="minorHAnsi" w:cstheme="minorHAnsi"/>
                <w:b/>
                <w:bCs/>
                <w:color w:val="333333"/>
                <w:sz w:val="22"/>
                <w:szCs w:val="22"/>
              </w:rPr>
              <w:t>, prawo</w:t>
            </w:r>
            <w:r w:rsidRPr="00EC4F25">
              <w:rPr>
                <w:rFonts w:asciiTheme="minorHAnsi" w:hAnsiTheme="minorHAnsi" w:cstheme="minorHAnsi"/>
                <w:color w:val="333333"/>
                <w:sz w:val="22"/>
                <w:szCs w:val="22"/>
              </w:rPr>
              <w:t>, o którym mowa w ust. 1,</w:t>
            </w:r>
            <w:r w:rsidRPr="00EC4F25">
              <w:rPr>
                <w:rFonts w:asciiTheme="minorHAnsi" w:hAnsiTheme="minorHAnsi" w:cstheme="minorHAnsi"/>
                <w:b/>
                <w:bCs/>
                <w:color w:val="333333"/>
                <w:sz w:val="22"/>
                <w:szCs w:val="22"/>
              </w:rPr>
              <w:t xml:space="preserve"> przysługuje pracodawcy</w:t>
            </w:r>
            <w:r w:rsidRPr="00EC4F25">
              <w:rPr>
                <w:rFonts w:asciiTheme="minorHAnsi" w:hAnsiTheme="minorHAnsi" w:cstheme="minorHAnsi"/>
                <w:color w:val="333333"/>
                <w:sz w:val="22"/>
                <w:szCs w:val="22"/>
              </w:rPr>
              <w:t xml:space="preserve"> lub </w:t>
            </w:r>
            <w:r w:rsidRPr="00EC4F25">
              <w:rPr>
                <w:rFonts w:asciiTheme="minorHAnsi" w:hAnsiTheme="minorHAnsi" w:cstheme="minorHAnsi"/>
                <w:b/>
                <w:bCs/>
                <w:color w:val="333333"/>
                <w:sz w:val="22"/>
                <w:szCs w:val="22"/>
              </w:rPr>
              <w:t>zamawiającemu</w:t>
            </w:r>
            <w:r w:rsidRPr="00EC4F25">
              <w:rPr>
                <w:rFonts w:asciiTheme="minorHAnsi" w:hAnsiTheme="minorHAnsi" w:cstheme="minorHAnsi"/>
                <w:color w:val="333333"/>
                <w:sz w:val="22"/>
                <w:szCs w:val="22"/>
              </w:rPr>
              <w:t>, chyba że strony ustaliły inaczej.</w:t>
            </w:r>
            <w:r w:rsidRPr="00EC4F25">
              <w:rPr>
                <w:rFonts w:asciiTheme="minorHAnsi" w:hAnsiTheme="minorHAnsi" w:cstheme="minorHAnsi"/>
                <w:color w:val="333333"/>
                <w:sz w:val="22"/>
                <w:szCs w:val="22"/>
              </w:rPr>
              <w:br/>
            </w:r>
          </w:p>
          <w:p w14:paraId="6EF46EF2"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color w:val="333333"/>
                <w:sz w:val="22"/>
                <w:szCs w:val="22"/>
              </w:rPr>
              <w:t>4. W umowie pomiędzy przedsiębiorcami może być określony podmiot, któremu przysługiwać będą prawa, o których mowa w ust. 1, w razie do-konania wynalazku, wzoru użytkowego albo wzoru przemysłowego w związku z wykonywaniem tej umowy.</w:t>
            </w:r>
          </w:p>
          <w:p w14:paraId="325123F0" w14:textId="77777777" w:rsidR="001F7A1E" w:rsidRPr="00EC4F25" w:rsidRDefault="001F7A1E" w:rsidP="00F45910">
            <w:pPr>
              <w:shd w:val="clear" w:color="auto" w:fill="FFFFFF"/>
              <w:rPr>
                <w:rFonts w:asciiTheme="minorHAnsi" w:hAnsiTheme="minorHAnsi" w:cstheme="minorHAnsi"/>
                <w:color w:val="333333"/>
                <w:sz w:val="22"/>
                <w:szCs w:val="22"/>
              </w:rPr>
            </w:pPr>
            <w:bookmarkStart w:id="121" w:name="mip57779484"/>
            <w:bookmarkEnd w:id="121"/>
          </w:p>
          <w:p w14:paraId="6DDC88EC"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color w:val="333333"/>
                <w:sz w:val="22"/>
                <w:szCs w:val="22"/>
              </w:rPr>
              <w:t xml:space="preserve">5. W razie dokonania wynalazku, wzoru użytkowego albo wzoru przemysłowego przez twórcę </w:t>
            </w:r>
            <w:r w:rsidRPr="00EC4F25">
              <w:rPr>
                <w:rFonts w:asciiTheme="minorHAnsi" w:hAnsiTheme="minorHAnsi" w:cstheme="minorHAnsi"/>
                <w:color w:val="333333"/>
                <w:sz w:val="22"/>
                <w:szCs w:val="22"/>
                <w:shd w:val="clear" w:color="auto" w:fill="D9E2F3" w:themeFill="accent1" w:themeFillTint="33"/>
              </w:rPr>
              <w:t>przy pomocy przedsiębiorcy</w:t>
            </w:r>
            <w:r w:rsidRPr="00EC4F25">
              <w:rPr>
                <w:rFonts w:asciiTheme="minorHAnsi" w:hAnsiTheme="minorHAnsi" w:cstheme="minorHAnsi"/>
                <w:color w:val="333333"/>
                <w:sz w:val="22"/>
                <w:szCs w:val="22"/>
              </w:rPr>
              <w:t xml:space="preserve">, </w:t>
            </w:r>
            <w:r w:rsidRPr="00EC4F25">
              <w:rPr>
                <w:rFonts w:asciiTheme="minorHAnsi" w:hAnsiTheme="minorHAnsi" w:cstheme="minorHAnsi"/>
                <w:color w:val="333333"/>
                <w:sz w:val="22"/>
                <w:szCs w:val="22"/>
                <w:shd w:val="clear" w:color="auto" w:fill="B4C6E7" w:themeFill="accent1" w:themeFillTint="66"/>
              </w:rPr>
              <w:t>przedsiębiorca ten może korzystać z tego wynalazku</w:t>
            </w:r>
            <w:r w:rsidRPr="00EC4F25">
              <w:rPr>
                <w:rFonts w:asciiTheme="minorHAnsi" w:hAnsiTheme="minorHAnsi" w:cstheme="minorHAnsi"/>
                <w:color w:val="333333"/>
                <w:sz w:val="22"/>
                <w:szCs w:val="22"/>
              </w:rPr>
              <w:t xml:space="preserve">, wzoru użytkowego albo wzoru </w:t>
            </w:r>
            <w:r w:rsidRPr="00EC4F25">
              <w:rPr>
                <w:rFonts w:asciiTheme="minorHAnsi" w:hAnsiTheme="minorHAnsi" w:cstheme="minorHAnsi"/>
                <w:color w:val="333333"/>
                <w:sz w:val="22"/>
                <w:szCs w:val="22"/>
              </w:rPr>
              <w:lastRenderedPageBreak/>
              <w:t xml:space="preserve">przemysłowego we własnym zakresie. </w:t>
            </w:r>
            <w:r w:rsidRPr="00EC4F25">
              <w:rPr>
                <w:rFonts w:asciiTheme="minorHAnsi" w:hAnsiTheme="minorHAnsi" w:cstheme="minorHAnsi"/>
                <w:color w:val="333333"/>
                <w:sz w:val="22"/>
                <w:szCs w:val="22"/>
                <w:shd w:val="clear" w:color="auto" w:fill="D9E2F3" w:themeFill="accent1" w:themeFillTint="33"/>
              </w:rPr>
              <w:t>W umowie</w:t>
            </w:r>
            <w:r w:rsidRPr="00EC4F25">
              <w:rPr>
                <w:rFonts w:asciiTheme="minorHAnsi" w:hAnsiTheme="minorHAnsi" w:cstheme="minorHAnsi"/>
                <w:color w:val="333333"/>
                <w:sz w:val="22"/>
                <w:szCs w:val="22"/>
              </w:rPr>
              <w:t xml:space="preserve"> </w:t>
            </w:r>
            <w:r w:rsidRPr="00EC4F25">
              <w:rPr>
                <w:rFonts w:asciiTheme="minorHAnsi" w:hAnsiTheme="minorHAnsi" w:cstheme="minorHAnsi"/>
                <w:color w:val="333333"/>
                <w:sz w:val="22"/>
                <w:szCs w:val="22"/>
                <w:shd w:val="clear" w:color="auto" w:fill="D9E2F3" w:themeFill="accent1" w:themeFillTint="33"/>
              </w:rPr>
              <w:t>o udzielenie pomocy</w:t>
            </w:r>
            <w:r w:rsidRPr="00EC4F25">
              <w:rPr>
                <w:rFonts w:asciiTheme="minorHAnsi" w:hAnsiTheme="minorHAnsi" w:cstheme="minorHAnsi"/>
                <w:color w:val="333333"/>
                <w:sz w:val="22"/>
                <w:szCs w:val="22"/>
              </w:rPr>
              <w:t xml:space="preserve"> strony </w:t>
            </w:r>
            <w:r w:rsidRPr="00EC4F25">
              <w:rPr>
                <w:rFonts w:asciiTheme="minorHAnsi" w:hAnsiTheme="minorHAnsi" w:cstheme="minorHAnsi"/>
                <w:color w:val="333333"/>
                <w:sz w:val="22"/>
                <w:szCs w:val="22"/>
                <w:shd w:val="clear" w:color="auto" w:fill="D9E2F3" w:themeFill="accent1" w:themeFillTint="33"/>
              </w:rPr>
              <w:t>mogą ustalić, że przedsiębiorcy przysługuje</w:t>
            </w:r>
            <w:r w:rsidRPr="00EC4F25">
              <w:rPr>
                <w:rFonts w:asciiTheme="minorHAnsi" w:hAnsiTheme="minorHAnsi" w:cstheme="minorHAnsi"/>
                <w:color w:val="333333"/>
                <w:sz w:val="22"/>
                <w:szCs w:val="22"/>
              </w:rPr>
              <w:t xml:space="preserve"> w całości lub części prawo, o którym mowa w ust. 1.</w:t>
            </w:r>
          </w:p>
          <w:p w14:paraId="407DC4AA"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p>
        </w:tc>
        <w:tc>
          <w:tcPr>
            <w:tcW w:w="4633" w:type="dxa"/>
          </w:tcPr>
          <w:p w14:paraId="33EE7C35" w14:textId="77777777" w:rsidR="001F7A1E" w:rsidRPr="00EC4F25" w:rsidRDefault="001F7A1E" w:rsidP="00F45910">
            <w:pPr>
              <w:keepNext/>
              <w:jc w:val="right"/>
              <w:rPr>
                <w:rFonts w:asciiTheme="minorHAnsi" w:hAnsiTheme="minorHAnsi" w:cstheme="minorHAnsi"/>
                <w:sz w:val="22"/>
                <w:szCs w:val="22"/>
              </w:rPr>
            </w:pPr>
          </w:p>
          <w:p w14:paraId="5F1FDDE9" w14:textId="77777777" w:rsidR="001F7A1E" w:rsidRPr="005F0586" w:rsidRDefault="00B82931" w:rsidP="00F45910">
            <w:pPr>
              <w:keepNext/>
              <w:jc w:val="center"/>
              <w:rPr>
                <w:rFonts w:asciiTheme="minorHAnsi" w:hAnsiTheme="minorHAnsi" w:cstheme="minorHAnsi"/>
                <w:color w:val="0070C0"/>
                <w:sz w:val="22"/>
                <w:szCs w:val="22"/>
              </w:rPr>
            </w:pPr>
            <w:hyperlink r:id="rId145" w:history="1">
              <w:r w:rsidR="001F7A1E" w:rsidRPr="005F0586">
                <w:rPr>
                  <w:rStyle w:val="Hipercze"/>
                  <w:rFonts w:asciiTheme="minorHAnsi" w:hAnsiTheme="minorHAnsi" w:cstheme="minorHAnsi"/>
                  <w:color w:val="0070C0"/>
                  <w:sz w:val="22"/>
                  <w:szCs w:val="22"/>
                </w:rPr>
                <w:t>https://legislacja.rcl.gov.pl/projekt/12359055</w:t>
              </w:r>
            </w:hyperlink>
          </w:p>
          <w:p w14:paraId="6491199F" w14:textId="77777777" w:rsidR="001F7A1E" w:rsidRPr="00EC4F25" w:rsidRDefault="001F7A1E" w:rsidP="00F45910">
            <w:pPr>
              <w:keepNext/>
              <w:jc w:val="center"/>
              <w:rPr>
                <w:rFonts w:asciiTheme="minorHAnsi" w:hAnsiTheme="minorHAnsi" w:cstheme="minorHAnsi"/>
                <w:sz w:val="22"/>
                <w:szCs w:val="22"/>
              </w:rPr>
            </w:pPr>
          </w:p>
          <w:p w14:paraId="2D90CAC5" w14:textId="77777777" w:rsidR="001F7A1E" w:rsidRPr="00EC4F25" w:rsidRDefault="001F7A1E" w:rsidP="00F45910">
            <w:pPr>
              <w:keepNext/>
              <w:jc w:val="right"/>
              <w:rPr>
                <w:rFonts w:asciiTheme="minorHAnsi" w:hAnsiTheme="minorHAnsi" w:cstheme="minorHAnsi"/>
                <w:sz w:val="22"/>
                <w:szCs w:val="22"/>
              </w:rPr>
            </w:pPr>
          </w:p>
          <w:p w14:paraId="26BFB186" w14:textId="77777777" w:rsidR="001F7A1E" w:rsidRPr="00EC4F25" w:rsidRDefault="001F7A1E" w:rsidP="00F45910">
            <w:pPr>
              <w:keepNext/>
              <w:jc w:val="center"/>
              <w:rPr>
                <w:rFonts w:asciiTheme="minorHAnsi" w:hAnsiTheme="minorHAnsi" w:cstheme="minorHAnsi"/>
                <w:sz w:val="22"/>
                <w:szCs w:val="22"/>
              </w:rPr>
            </w:pPr>
            <w:r w:rsidRPr="00EC4F25">
              <w:rPr>
                <w:rFonts w:asciiTheme="minorHAnsi" w:hAnsiTheme="minorHAnsi" w:cstheme="minorHAnsi"/>
                <w:sz w:val="22"/>
                <w:szCs w:val="22"/>
              </w:rPr>
              <w:t xml:space="preserve">Projekt </w:t>
            </w:r>
            <w:r w:rsidRPr="00EC4F25">
              <w:rPr>
                <w:rFonts w:asciiTheme="minorHAnsi" w:hAnsiTheme="minorHAnsi" w:cstheme="minorHAnsi"/>
                <w:b/>
                <w:bCs/>
                <w:sz w:val="22"/>
                <w:szCs w:val="22"/>
              </w:rPr>
              <w:t>UD263</w:t>
            </w:r>
          </w:p>
          <w:p w14:paraId="230A1FDF" w14:textId="77777777" w:rsidR="001F7A1E" w:rsidRPr="00EC4F25" w:rsidRDefault="001F7A1E" w:rsidP="00F45910">
            <w:pPr>
              <w:keepNext/>
              <w:jc w:val="right"/>
              <w:rPr>
                <w:rFonts w:asciiTheme="minorHAnsi" w:hAnsiTheme="minorHAnsi" w:cstheme="minorHAnsi"/>
                <w:sz w:val="22"/>
                <w:szCs w:val="22"/>
              </w:rPr>
            </w:pPr>
          </w:p>
          <w:p w14:paraId="56757EB5" w14:textId="77777777" w:rsidR="001F7A1E" w:rsidRPr="00EC4F25" w:rsidRDefault="001F7A1E" w:rsidP="00F45910">
            <w:pPr>
              <w:keepNext/>
              <w:jc w:val="right"/>
              <w:rPr>
                <w:rFonts w:asciiTheme="minorHAnsi" w:hAnsiTheme="minorHAnsi" w:cstheme="minorHAnsi"/>
                <w:sz w:val="22"/>
                <w:szCs w:val="22"/>
              </w:rPr>
            </w:pPr>
            <w:r w:rsidRPr="00EC4F25">
              <w:rPr>
                <w:rFonts w:asciiTheme="minorHAnsi" w:hAnsiTheme="minorHAnsi" w:cstheme="minorHAnsi"/>
                <w:sz w:val="22"/>
                <w:szCs w:val="22"/>
              </w:rPr>
              <w:t xml:space="preserve">z dnia 25 kwietnia 2022 r. </w:t>
            </w:r>
          </w:p>
          <w:p w14:paraId="748AD7A4" w14:textId="77777777" w:rsidR="001F7A1E" w:rsidRPr="00EC4F25" w:rsidRDefault="001F7A1E" w:rsidP="00F45910">
            <w:pPr>
              <w:pStyle w:val="OZNRODZAKTUtznustawalubrozporzdzenieiorganwydajcy"/>
              <w:spacing w:after="0" w:line="240" w:lineRule="auto"/>
              <w:rPr>
                <w:rFonts w:asciiTheme="minorHAnsi" w:hAnsiTheme="minorHAnsi" w:cstheme="minorHAnsi"/>
                <w:sz w:val="22"/>
                <w:szCs w:val="22"/>
              </w:rPr>
            </w:pPr>
          </w:p>
          <w:p w14:paraId="0D7FB261" w14:textId="77777777" w:rsidR="001F7A1E" w:rsidRPr="00EC4F25" w:rsidRDefault="001F7A1E" w:rsidP="00F45910">
            <w:pPr>
              <w:pStyle w:val="DATAAKTUdatauchwalenialubwydaniaaktu"/>
              <w:spacing w:before="0" w:after="0" w:line="240" w:lineRule="auto"/>
              <w:rPr>
                <w:rFonts w:asciiTheme="minorHAnsi" w:hAnsiTheme="minorHAnsi" w:cstheme="minorHAnsi"/>
                <w:sz w:val="22"/>
                <w:szCs w:val="22"/>
              </w:rPr>
            </w:pPr>
          </w:p>
          <w:p w14:paraId="76EAFA31" w14:textId="77777777" w:rsidR="001F7A1E" w:rsidRPr="00EC4F25" w:rsidRDefault="001F7A1E" w:rsidP="00F45910">
            <w:pPr>
              <w:pStyle w:val="OZNRODZAKTUtznustawalubrozporzdzenieiorganwydajcy"/>
              <w:spacing w:after="0" w:line="240" w:lineRule="auto"/>
              <w:rPr>
                <w:rFonts w:asciiTheme="minorHAnsi" w:hAnsiTheme="minorHAnsi" w:cstheme="minorHAnsi"/>
                <w:sz w:val="22"/>
                <w:szCs w:val="22"/>
              </w:rPr>
            </w:pPr>
            <w:r w:rsidRPr="00EC4F25">
              <w:rPr>
                <w:rFonts w:asciiTheme="minorHAnsi" w:hAnsiTheme="minorHAnsi" w:cstheme="minorHAnsi"/>
                <w:sz w:val="22"/>
                <w:szCs w:val="22"/>
              </w:rPr>
              <w:t>USTAWA</w:t>
            </w:r>
          </w:p>
          <w:p w14:paraId="2F8D2A87" w14:textId="77777777" w:rsidR="001F7A1E" w:rsidRPr="00EC4F25" w:rsidRDefault="001F7A1E" w:rsidP="00F45910">
            <w:pPr>
              <w:pStyle w:val="DATAAKTUdatauchwalenialubwydaniaaktu"/>
              <w:spacing w:before="0" w:after="0" w:line="240" w:lineRule="auto"/>
              <w:rPr>
                <w:rFonts w:asciiTheme="minorHAnsi" w:hAnsiTheme="minorHAnsi" w:cstheme="minorHAnsi"/>
                <w:sz w:val="22"/>
                <w:szCs w:val="22"/>
              </w:rPr>
            </w:pPr>
            <w:r w:rsidRPr="00EC4F25">
              <w:rPr>
                <w:rFonts w:asciiTheme="minorHAnsi" w:hAnsiTheme="minorHAnsi" w:cstheme="minorHAnsi"/>
                <w:sz w:val="22"/>
                <w:szCs w:val="22"/>
              </w:rPr>
              <w:t>z dnia………</w:t>
            </w:r>
            <w:proofErr w:type="gramStart"/>
            <w:r w:rsidRPr="00EC4F25">
              <w:rPr>
                <w:rFonts w:asciiTheme="minorHAnsi" w:hAnsiTheme="minorHAnsi" w:cstheme="minorHAnsi"/>
                <w:sz w:val="22"/>
                <w:szCs w:val="22"/>
              </w:rPr>
              <w:t>…….</w:t>
            </w:r>
            <w:proofErr w:type="gramEnd"/>
            <w:r w:rsidRPr="00EC4F25">
              <w:rPr>
                <w:rFonts w:asciiTheme="minorHAnsi" w:hAnsiTheme="minorHAnsi" w:cstheme="minorHAnsi"/>
                <w:sz w:val="22"/>
                <w:szCs w:val="22"/>
              </w:rPr>
              <w:t>2022 r.</w:t>
            </w:r>
          </w:p>
          <w:p w14:paraId="55A55947" w14:textId="77777777" w:rsidR="001F7A1E" w:rsidRPr="00EC4F25" w:rsidRDefault="001F7A1E" w:rsidP="00F45910">
            <w:pPr>
              <w:pStyle w:val="TYTUAKTUprzedmiotregulacjiustawylubrozporzdzenia"/>
              <w:spacing w:before="0" w:after="0" w:line="240" w:lineRule="auto"/>
              <w:rPr>
                <w:rFonts w:asciiTheme="minorHAnsi" w:hAnsiTheme="minorHAnsi" w:cstheme="minorHAnsi"/>
                <w:sz w:val="22"/>
                <w:szCs w:val="22"/>
              </w:rPr>
            </w:pPr>
            <w:r w:rsidRPr="00EC4F25">
              <w:rPr>
                <w:rFonts w:asciiTheme="minorHAnsi" w:hAnsiTheme="minorHAnsi" w:cstheme="minorHAnsi"/>
                <w:sz w:val="22"/>
                <w:szCs w:val="22"/>
              </w:rPr>
              <w:t>Prawo własności przemysłowej</w:t>
            </w:r>
          </w:p>
          <w:p w14:paraId="435EE9A3" w14:textId="77777777" w:rsidR="001F7A1E" w:rsidRPr="00EC4F25" w:rsidRDefault="001F7A1E" w:rsidP="00F45910">
            <w:pPr>
              <w:autoSpaceDE w:val="0"/>
              <w:autoSpaceDN w:val="0"/>
              <w:adjustRightInd w:val="0"/>
              <w:rPr>
                <w:rFonts w:asciiTheme="minorHAnsi" w:hAnsiTheme="minorHAnsi" w:cstheme="minorHAnsi"/>
                <w:b/>
                <w:bCs/>
                <w:color w:val="000000"/>
                <w:sz w:val="22"/>
                <w:szCs w:val="22"/>
              </w:rPr>
            </w:pPr>
          </w:p>
          <w:p w14:paraId="2B35DAD2" w14:textId="77777777" w:rsidR="001F7A1E" w:rsidRPr="00EC4F25" w:rsidRDefault="001F7A1E" w:rsidP="00F45910">
            <w:pPr>
              <w:autoSpaceDE w:val="0"/>
              <w:autoSpaceDN w:val="0"/>
              <w:adjustRightInd w:val="0"/>
              <w:rPr>
                <w:rFonts w:asciiTheme="minorHAnsi" w:hAnsiTheme="minorHAnsi" w:cstheme="minorHAnsi"/>
                <w:b/>
                <w:bCs/>
                <w:color w:val="000000"/>
                <w:sz w:val="22"/>
                <w:szCs w:val="22"/>
              </w:rPr>
            </w:pPr>
          </w:p>
          <w:p w14:paraId="4C188481" w14:textId="77777777" w:rsidR="001F7A1E" w:rsidRPr="00EC4F25" w:rsidRDefault="001F7A1E" w:rsidP="00F45910">
            <w:pPr>
              <w:autoSpaceDE w:val="0"/>
              <w:autoSpaceDN w:val="0"/>
              <w:adjustRightInd w:val="0"/>
              <w:rPr>
                <w:rFonts w:asciiTheme="minorHAnsi" w:hAnsiTheme="minorHAnsi" w:cstheme="minorHAnsi"/>
                <w:b/>
                <w:bCs/>
                <w:color w:val="000000"/>
                <w:sz w:val="22"/>
                <w:szCs w:val="22"/>
              </w:rPr>
            </w:pPr>
          </w:p>
          <w:p w14:paraId="63A01703" w14:textId="77777777" w:rsidR="001F7A1E" w:rsidRPr="00EC4F25" w:rsidRDefault="001F7A1E" w:rsidP="00F45910">
            <w:pPr>
              <w:autoSpaceDE w:val="0"/>
              <w:autoSpaceDN w:val="0"/>
              <w:adjustRightInd w:val="0"/>
              <w:rPr>
                <w:rFonts w:asciiTheme="minorHAnsi" w:hAnsiTheme="minorHAnsi" w:cstheme="minorHAnsi"/>
                <w:b/>
                <w:bCs/>
                <w:color w:val="000000"/>
                <w:sz w:val="22"/>
                <w:szCs w:val="22"/>
              </w:rPr>
            </w:pPr>
            <w:r w:rsidRPr="00EC4F25">
              <w:rPr>
                <w:rFonts w:asciiTheme="minorHAnsi" w:hAnsiTheme="minorHAnsi" w:cstheme="minorHAnsi"/>
                <w:b/>
                <w:bCs/>
                <w:color w:val="000000"/>
                <w:sz w:val="22"/>
                <w:szCs w:val="22"/>
              </w:rPr>
              <w:t xml:space="preserve">Art. 7. </w:t>
            </w:r>
          </w:p>
          <w:p w14:paraId="0F9FB93E"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r w:rsidRPr="00EC4F25">
              <w:rPr>
                <w:rFonts w:asciiTheme="minorHAnsi" w:hAnsiTheme="minorHAnsi" w:cstheme="minorHAnsi"/>
                <w:color w:val="000000"/>
                <w:sz w:val="22"/>
                <w:szCs w:val="22"/>
              </w:rPr>
              <w:t xml:space="preserve">1. W przypadku dokonania projektu wynalazczego </w:t>
            </w:r>
            <w:r w:rsidRPr="00EC4F25">
              <w:rPr>
                <w:rFonts w:asciiTheme="minorHAnsi" w:hAnsiTheme="minorHAnsi" w:cstheme="minorHAnsi"/>
                <w:b/>
                <w:bCs/>
                <w:color w:val="000000"/>
                <w:sz w:val="22"/>
                <w:szCs w:val="22"/>
              </w:rPr>
              <w:t>w wyniku</w:t>
            </w:r>
            <w:r w:rsidRPr="00EC4F25">
              <w:rPr>
                <w:rFonts w:asciiTheme="minorHAnsi" w:hAnsiTheme="minorHAnsi" w:cstheme="minorHAnsi"/>
                <w:color w:val="000000"/>
                <w:sz w:val="22"/>
                <w:szCs w:val="22"/>
              </w:rPr>
              <w:t xml:space="preserve"> </w:t>
            </w:r>
            <w:r w:rsidRPr="00EC4F25">
              <w:rPr>
                <w:rFonts w:asciiTheme="minorHAnsi" w:hAnsiTheme="minorHAnsi" w:cstheme="minorHAnsi"/>
                <w:color w:val="000000"/>
                <w:sz w:val="22"/>
                <w:szCs w:val="22"/>
                <w:shd w:val="clear" w:color="auto" w:fill="E2EFD9" w:themeFill="accent6" w:themeFillTint="33"/>
              </w:rPr>
              <w:t>wykonywania przez twórcę obowiązków ze stosunku pracy lub z realizacji innej umowy</w:t>
            </w:r>
            <w:r w:rsidRPr="00EC4F25">
              <w:rPr>
                <w:rFonts w:asciiTheme="minorHAnsi" w:hAnsiTheme="minorHAnsi" w:cstheme="minorHAnsi"/>
                <w:color w:val="000000"/>
                <w:sz w:val="22"/>
                <w:szCs w:val="22"/>
              </w:rPr>
              <w:t xml:space="preserve">, </w:t>
            </w:r>
            <w:r w:rsidRPr="00EC4F25">
              <w:rPr>
                <w:rFonts w:asciiTheme="minorHAnsi" w:hAnsiTheme="minorHAnsi" w:cstheme="minorHAnsi"/>
                <w:b/>
                <w:bCs/>
                <w:color w:val="000000"/>
                <w:sz w:val="22"/>
                <w:szCs w:val="22"/>
              </w:rPr>
              <w:t>prawo</w:t>
            </w:r>
            <w:r w:rsidRPr="00EC4F25">
              <w:rPr>
                <w:rFonts w:asciiTheme="minorHAnsi" w:hAnsiTheme="minorHAnsi" w:cstheme="minorHAnsi"/>
                <w:color w:val="000000"/>
                <w:sz w:val="22"/>
                <w:szCs w:val="22"/>
              </w:rPr>
              <w:t xml:space="preserve">, o którym mowa w art. 6 ust. 1 pkt 1, </w:t>
            </w:r>
            <w:r w:rsidRPr="00EC4F25">
              <w:rPr>
                <w:rFonts w:asciiTheme="minorHAnsi" w:hAnsiTheme="minorHAnsi" w:cstheme="minorHAnsi"/>
                <w:b/>
                <w:bCs/>
                <w:color w:val="000000"/>
                <w:sz w:val="22"/>
                <w:szCs w:val="22"/>
              </w:rPr>
              <w:t>przysługuje</w:t>
            </w:r>
            <w:r w:rsidRPr="00EC4F25">
              <w:rPr>
                <w:rFonts w:asciiTheme="minorHAnsi" w:hAnsiTheme="minorHAnsi" w:cstheme="minorHAnsi"/>
                <w:color w:val="000000"/>
                <w:sz w:val="22"/>
                <w:szCs w:val="22"/>
              </w:rPr>
              <w:t xml:space="preserve"> </w:t>
            </w:r>
            <w:r w:rsidRPr="00EC4F25">
              <w:rPr>
                <w:rFonts w:asciiTheme="minorHAnsi" w:hAnsiTheme="minorHAnsi" w:cstheme="minorHAnsi"/>
                <w:b/>
                <w:bCs/>
                <w:color w:val="000000"/>
                <w:sz w:val="22"/>
                <w:szCs w:val="22"/>
              </w:rPr>
              <w:t>pracodawcy</w:t>
            </w:r>
            <w:r w:rsidRPr="00EC4F25">
              <w:rPr>
                <w:rFonts w:asciiTheme="minorHAnsi" w:hAnsiTheme="minorHAnsi" w:cstheme="minorHAnsi"/>
                <w:color w:val="000000"/>
                <w:sz w:val="22"/>
                <w:szCs w:val="22"/>
              </w:rPr>
              <w:t xml:space="preserve"> lub </w:t>
            </w:r>
            <w:r w:rsidRPr="00EC4F25">
              <w:rPr>
                <w:rFonts w:asciiTheme="minorHAnsi" w:hAnsiTheme="minorHAnsi" w:cstheme="minorHAnsi"/>
                <w:b/>
                <w:bCs/>
                <w:color w:val="000000"/>
                <w:sz w:val="22"/>
                <w:szCs w:val="22"/>
              </w:rPr>
              <w:t>zamawiającemu</w:t>
            </w:r>
            <w:r w:rsidRPr="00EC4F25">
              <w:rPr>
                <w:rFonts w:asciiTheme="minorHAnsi" w:hAnsiTheme="minorHAnsi" w:cstheme="minorHAnsi"/>
                <w:color w:val="000000"/>
                <w:sz w:val="22"/>
                <w:szCs w:val="22"/>
              </w:rPr>
              <w:t xml:space="preserve">, chyba że strony ustaliły inaczej. </w:t>
            </w:r>
          </w:p>
          <w:p w14:paraId="7D922941"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p>
          <w:p w14:paraId="6B45A97B"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p>
          <w:p w14:paraId="6A83D216"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p>
          <w:p w14:paraId="5E1F8050"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p>
          <w:p w14:paraId="798A7399"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r w:rsidRPr="00EC4F25">
              <w:rPr>
                <w:rFonts w:asciiTheme="minorHAnsi" w:hAnsiTheme="minorHAnsi" w:cstheme="minorHAnsi"/>
                <w:color w:val="000000"/>
                <w:sz w:val="22"/>
                <w:szCs w:val="22"/>
              </w:rPr>
              <w:t xml:space="preserve">2. W umowie między przedsiębiorcami może być określony podmiot, któremu będzie przysługiwać prawo, o których mowa w art. 6 ust. 1 pkt 1, w przypadku dokonania projektu wynalazczego w związku z wykonywaniem tej umowy. </w:t>
            </w:r>
          </w:p>
          <w:p w14:paraId="4F819C0F" w14:textId="77777777" w:rsidR="001F7A1E" w:rsidRPr="00EC4F25" w:rsidRDefault="001F7A1E" w:rsidP="00F45910">
            <w:pPr>
              <w:autoSpaceDE w:val="0"/>
              <w:autoSpaceDN w:val="0"/>
              <w:adjustRightInd w:val="0"/>
              <w:rPr>
                <w:rFonts w:asciiTheme="minorHAnsi" w:hAnsiTheme="minorHAnsi" w:cstheme="minorHAnsi"/>
                <w:color w:val="000000"/>
                <w:sz w:val="22"/>
                <w:szCs w:val="22"/>
              </w:rPr>
            </w:pPr>
          </w:p>
          <w:p w14:paraId="3A4CBF72"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eastAsiaTheme="minorHAnsi" w:hAnsiTheme="minorHAnsi" w:cstheme="minorHAnsi"/>
                <w:bCs w:val="0"/>
                <w:color w:val="000000"/>
                <w:sz w:val="22"/>
                <w:szCs w:val="22"/>
                <w:lang w:eastAsia="en-US"/>
              </w:rPr>
              <w:t xml:space="preserve">3. W przypadku dokonania projektu wynalazczego przez twórcę </w:t>
            </w:r>
            <w:r w:rsidRPr="00EC4F25">
              <w:rPr>
                <w:rFonts w:asciiTheme="minorHAnsi" w:eastAsiaTheme="minorHAnsi" w:hAnsiTheme="minorHAnsi" w:cstheme="minorHAnsi"/>
                <w:bCs w:val="0"/>
                <w:color w:val="000000"/>
                <w:sz w:val="22"/>
                <w:szCs w:val="22"/>
                <w:shd w:val="clear" w:color="auto" w:fill="D9E2F3" w:themeFill="accent1" w:themeFillTint="33"/>
                <w:lang w:eastAsia="en-US"/>
              </w:rPr>
              <w:t>przy pomocy przedsiębiorcy</w:t>
            </w:r>
            <w:r w:rsidRPr="00EC4F25">
              <w:rPr>
                <w:rFonts w:asciiTheme="minorHAnsi" w:eastAsiaTheme="minorHAnsi" w:hAnsiTheme="minorHAnsi" w:cstheme="minorHAnsi"/>
                <w:bCs w:val="0"/>
                <w:color w:val="000000"/>
                <w:sz w:val="22"/>
                <w:szCs w:val="22"/>
                <w:lang w:eastAsia="en-US"/>
              </w:rPr>
              <w:t xml:space="preserve">, </w:t>
            </w:r>
            <w:r w:rsidRPr="00EC4F25">
              <w:rPr>
                <w:rFonts w:asciiTheme="minorHAnsi" w:eastAsiaTheme="minorHAnsi" w:hAnsiTheme="minorHAnsi" w:cstheme="minorHAnsi"/>
                <w:bCs w:val="0"/>
                <w:color w:val="000000"/>
                <w:sz w:val="22"/>
                <w:szCs w:val="22"/>
                <w:shd w:val="clear" w:color="auto" w:fill="B4C6E7" w:themeFill="accent1" w:themeFillTint="66"/>
                <w:lang w:eastAsia="en-US"/>
              </w:rPr>
              <w:t>przedsiębiorca ten może korzystać z tego wynalazku</w:t>
            </w:r>
            <w:r w:rsidRPr="00EC4F25">
              <w:rPr>
                <w:rFonts w:asciiTheme="minorHAnsi" w:eastAsiaTheme="minorHAnsi" w:hAnsiTheme="minorHAnsi" w:cstheme="minorHAnsi"/>
                <w:bCs w:val="0"/>
                <w:color w:val="000000"/>
                <w:sz w:val="22"/>
                <w:szCs w:val="22"/>
                <w:lang w:eastAsia="en-US"/>
              </w:rPr>
              <w:t xml:space="preserve">, wzoru użytkowego, wzoru przemysłowego lub topografii we własnym zakresie. </w:t>
            </w:r>
            <w:r w:rsidRPr="00EC4F25">
              <w:rPr>
                <w:rFonts w:asciiTheme="minorHAnsi" w:eastAsiaTheme="minorHAnsi" w:hAnsiTheme="minorHAnsi" w:cstheme="minorHAnsi"/>
                <w:bCs w:val="0"/>
                <w:color w:val="000000"/>
                <w:sz w:val="22"/>
                <w:szCs w:val="22"/>
                <w:shd w:val="clear" w:color="auto" w:fill="D9E2F3" w:themeFill="accent1" w:themeFillTint="33"/>
                <w:lang w:eastAsia="en-US"/>
              </w:rPr>
              <w:t>W umowie o udzielenie pomocy</w:t>
            </w:r>
            <w:r w:rsidRPr="00EC4F25">
              <w:rPr>
                <w:rFonts w:asciiTheme="minorHAnsi" w:eastAsiaTheme="minorHAnsi" w:hAnsiTheme="minorHAnsi" w:cstheme="minorHAnsi"/>
                <w:bCs w:val="0"/>
                <w:color w:val="000000"/>
                <w:sz w:val="22"/>
                <w:szCs w:val="22"/>
                <w:lang w:eastAsia="en-US"/>
              </w:rPr>
              <w:t xml:space="preserve"> strony </w:t>
            </w:r>
            <w:r w:rsidRPr="00EC4F25">
              <w:rPr>
                <w:rFonts w:asciiTheme="minorHAnsi" w:eastAsiaTheme="minorHAnsi" w:hAnsiTheme="minorHAnsi" w:cstheme="minorHAnsi"/>
                <w:bCs w:val="0"/>
                <w:color w:val="000000"/>
                <w:sz w:val="22"/>
                <w:szCs w:val="22"/>
                <w:shd w:val="clear" w:color="auto" w:fill="D9E2F3" w:themeFill="accent1" w:themeFillTint="33"/>
                <w:lang w:eastAsia="en-US"/>
              </w:rPr>
              <w:t>mogą ustalić, że przedsiębiorcy przysługuje</w:t>
            </w:r>
            <w:r w:rsidRPr="00EC4F25">
              <w:rPr>
                <w:rFonts w:asciiTheme="minorHAnsi" w:eastAsiaTheme="minorHAnsi" w:hAnsiTheme="minorHAnsi" w:cstheme="minorHAnsi"/>
                <w:bCs w:val="0"/>
                <w:color w:val="000000"/>
                <w:sz w:val="22"/>
                <w:szCs w:val="22"/>
                <w:lang w:eastAsia="en-US"/>
              </w:rPr>
              <w:t xml:space="preserve"> w </w:t>
            </w:r>
            <w:r w:rsidRPr="00EC4F25">
              <w:rPr>
                <w:rFonts w:asciiTheme="minorHAnsi" w:eastAsiaTheme="minorHAnsi" w:hAnsiTheme="minorHAnsi" w:cstheme="minorHAnsi"/>
                <w:bCs w:val="0"/>
                <w:color w:val="000000"/>
                <w:sz w:val="22"/>
                <w:szCs w:val="22"/>
                <w:lang w:eastAsia="en-US"/>
              </w:rPr>
              <w:lastRenderedPageBreak/>
              <w:t>całości lub części prawo, o którym mowa w art. 6 ust. 1 pkt 1.</w:t>
            </w:r>
          </w:p>
        </w:tc>
      </w:tr>
      <w:tr w:rsidR="001F7A1E" w:rsidRPr="00EC4F25" w14:paraId="55A08754" w14:textId="77777777" w:rsidTr="00F45910">
        <w:tc>
          <w:tcPr>
            <w:tcW w:w="9056" w:type="dxa"/>
            <w:gridSpan w:val="2"/>
            <w:shd w:val="clear" w:color="auto" w:fill="E7E6E6" w:themeFill="background2"/>
          </w:tcPr>
          <w:p w14:paraId="5484D281" w14:textId="77777777" w:rsidR="001F7A1E" w:rsidRPr="00EC4F25" w:rsidRDefault="001F7A1E" w:rsidP="00F45910">
            <w:pPr>
              <w:autoSpaceDE w:val="0"/>
              <w:autoSpaceDN w:val="0"/>
              <w:adjustRightInd w:val="0"/>
              <w:rPr>
                <w:rFonts w:asciiTheme="minorHAnsi" w:hAnsiTheme="minorHAnsi" w:cstheme="minorHAnsi"/>
                <w:b/>
                <w:sz w:val="22"/>
                <w:szCs w:val="22"/>
              </w:rPr>
            </w:pPr>
            <w:r w:rsidRPr="00EC4F25">
              <w:rPr>
                <w:rFonts w:asciiTheme="minorHAnsi" w:hAnsiTheme="minorHAnsi" w:cstheme="minorHAnsi"/>
                <w:b/>
                <w:sz w:val="22"/>
                <w:szCs w:val="22"/>
              </w:rPr>
              <w:lastRenderedPageBreak/>
              <w:t>UWAGI:</w:t>
            </w:r>
          </w:p>
          <w:p w14:paraId="068C763C" w14:textId="351CE504" w:rsidR="001F7A1E" w:rsidRPr="00EC4F25" w:rsidRDefault="001F7A1E" w:rsidP="00F45910">
            <w:pPr>
              <w:autoSpaceDE w:val="0"/>
              <w:autoSpaceDN w:val="0"/>
              <w:adjustRightInd w:val="0"/>
              <w:rPr>
                <w:rFonts w:asciiTheme="minorHAnsi" w:hAnsiTheme="minorHAnsi" w:cstheme="minorHAnsi"/>
                <w:b/>
                <w:bCs/>
                <w:color w:val="0070C0"/>
                <w:sz w:val="22"/>
                <w:szCs w:val="22"/>
              </w:rPr>
            </w:pPr>
          </w:p>
        </w:tc>
      </w:tr>
      <w:tr w:rsidR="001F7A1E" w:rsidRPr="00DB51DA" w14:paraId="1601FBE1" w14:textId="77777777" w:rsidTr="00F45910">
        <w:tc>
          <w:tcPr>
            <w:tcW w:w="9056" w:type="dxa"/>
            <w:gridSpan w:val="2"/>
          </w:tcPr>
          <w:p w14:paraId="0A748FD0" w14:textId="77777777" w:rsidR="001F7A1E" w:rsidRPr="005F0586" w:rsidRDefault="001F7A1E" w:rsidP="00F45910">
            <w:pPr>
              <w:autoSpaceDE w:val="0"/>
              <w:autoSpaceDN w:val="0"/>
              <w:adjustRightInd w:val="0"/>
              <w:jc w:val="both"/>
              <w:rPr>
                <w:rFonts w:asciiTheme="minorHAnsi" w:hAnsiTheme="minorHAnsi" w:cstheme="minorHAnsi"/>
                <w:color w:val="000000"/>
                <w:sz w:val="10"/>
                <w:szCs w:val="10"/>
              </w:rPr>
            </w:pPr>
          </w:p>
          <w:p w14:paraId="73578279" w14:textId="77777777" w:rsidR="001F7A1E" w:rsidRPr="00EC4F25" w:rsidRDefault="001F7A1E" w:rsidP="00F45910">
            <w:pPr>
              <w:autoSpaceDE w:val="0"/>
              <w:autoSpaceDN w:val="0"/>
              <w:adjustRightInd w:val="0"/>
              <w:jc w:val="both"/>
              <w:rPr>
                <w:rFonts w:asciiTheme="minorHAnsi" w:hAnsiTheme="minorHAnsi" w:cstheme="minorHAnsi"/>
                <w:b/>
                <w:bCs/>
                <w:color w:val="000000"/>
                <w:sz w:val="22"/>
                <w:szCs w:val="22"/>
              </w:rPr>
            </w:pPr>
            <w:r w:rsidRPr="00EC4F25">
              <w:rPr>
                <w:rFonts w:asciiTheme="minorHAnsi" w:hAnsiTheme="minorHAnsi" w:cstheme="minorHAnsi"/>
                <w:color w:val="000000"/>
                <w:sz w:val="22"/>
                <w:szCs w:val="22"/>
              </w:rPr>
              <w:t xml:space="preserve">W OCENIE SKUTKOW REGULACJI projektu ustawy </w:t>
            </w:r>
            <w:r w:rsidRPr="00EC4F25">
              <w:rPr>
                <w:rFonts w:asciiTheme="minorHAnsi" w:hAnsiTheme="minorHAnsi" w:cstheme="minorHAnsi"/>
                <w:b/>
                <w:color w:val="000000"/>
                <w:sz w:val="22"/>
                <w:szCs w:val="22"/>
              </w:rPr>
              <w:t xml:space="preserve">UD263 </w:t>
            </w:r>
            <w:r w:rsidRPr="00EC4F25">
              <w:rPr>
                <w:rFonts w:asciiTheme="minorHAnsi" w:hAnsiTheme="minorHAnsi" w:cstheme="minorHAnsi"/>
                <w:color w:val="000000"/>
                <w:sz w:val="22"/>
                <w:szCs w:val="22"/>
              </w:rPr>
              <w:t>słusznie sugeruje się potrzebę: „</w:t>
            </w:r>
            <w:r w:rsidRPr="00EC4F25">
              <w:rPr>
                <w:rFonts w:asciiTheme="minorHAnsi" w:hAnsiTheme="minorHAnsi" w:cstheme="minorHAnsi"/>
                <w:b/>
                <w:bCs/>
                <w:i/>
                <w:iCs/>
                <w:color w:val="000000"/>
                <w:sz w:val="22"/>
                <w:szCs w:val="22"/>
              </w:rPr>
              <w:t>uzupełnienie pojawiających luk prawnych</w:t>
            </w:r>
            <w:r w:rsidRPr="00EC4F25">
              <w:rPr>
                <w:rFonts w:asciiTheme="minorHAnsi" w:hAnsiTheme="minorHAnsi" w:cstheme="minorHAnsi"/>
                <w:i/>
                <w:iCs/>
                <w:color w:val="000000"/>
                <w:sz w:val="22"/>
                <w:szCs w:val="22"/>
              </w:rPr>
              <w:t xml:space="preserve">”. </w:t>
            </w:r>
            <w:r w:rsidRPr="00EC4F25">
              <w:rPr>
                <w:rFonts w:asciiTheme="minorHAnsi" w:hAnsiTheme="minorHAnsi" w:cstheme="minorHAnsi"/>
                <w:color w:val="000000"/>
                <w:sz w:val="22"/>
                <w:szCs w:val="22"/>
              </w:rPr>
              <w:t>Projekt nie zawiera jednak zapisów, które prowadziłyby do usunięcia istniejących braków prawnych</w:t>
            </w:r>
            <w:r w:rsidRPr="00EC4F25">
              <w:rPr>
                <w:rFonts w:asciiTheme="minorHAnsi" w:hAnsiTheme="minorHAnsi" w:cstheme="minorHAnsi"/>
                <w:b/>
                <w:bCs/>
                <w:color w:val="000000"/>
                <w:sz w:val="22"/>
                <w:szCs w:val="22"/>
              </w:rPr>
              <w:t>.</w:t>
            </w:r>
          </w:p>
          <w:p w14:paraId="39744CCD" w14:textId="77777777" w:rsidR="001F7A1E" w:rsidRPr="005F0586" w:rsidRDefault="001F7A1E" w:rsidP="00F45910">
            <w:pPr>
              <w:autoSpaceDE w:val="0"/>
              <w:autoSpaceDN w:val="0"/>
              <w:adjustRightInd w:val="0"/>
              <w:rPr>
                <w:rFonts w:asciiTheme="minorHAnsi" w:hAnsiTheme="minorHAnsi" w:cstheme="minorHAnsi"/>
                <w:color w:val="000000"/>
                <w:sz w:val="10"/>
                <w:szCs w:val="10"/>
              </w:rPr>
            </w:pPr>
          </w:p>
          <w:p w14:paraId="3DB335A8" w14:textId="77777777" w:rsidR="001F7A1E" w:rsidRPr="00EC4F25" w:rsidRDefault="001F7A1E" w:rsidP="00F45910">
            <w:pPr>
              <w:autoSpaceDE w:val="0"/>
              <w:autoSpaceDN w:val="0"/>
              <w:adjustRightInd w:val="0"/>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Wciąż np. w przypadku, gdy wynalazek jest opracowywany w ramach:</w:t>
            </w:r>
          </w:p>
          <w:p w14:paraId="655982F8" w14:textId="77777777" w:rsidR="001F7A1E" w:rsidRPr="005F0586" w:rsidRDefault="001F7A1E" w:rsidP="00F45910">
            <w:pPr>
              <w:autoSpaceDE w:val="0"/>
              <w:autoSpaceDN w:val="0"/>
              <w:adjustRightInd w:val="0"/>
              <w:jc w:val="both"/>
              <w:rPr>
                <w:rFonts w:asciiTheme="minorHAnsi" w:hAnsiTheme="minorHAnsi" w:cstheme="minorHAnsi"/>
                <w:color w:val="000000"/>
                <w:sz w:val="10"/>
                <w:szCs w:val="10"/>
              </w:rPr>
            </w:pPr>
          </w:p>
          <w:p w14:paraId="36025709" w14:textId="77777777" w:rsidR="001F7A1E" w:rsidRPr="00EC4F25" w:rsidRDefault="001F7A1E" w:rsidP="001F6BE3">
            <w:pPr>
              <w:pStyle w:val="Akapitzlist"/>
              <w:numPr>
                <w:ilvl w:val="0"/>
                <w:numId w:val="29"/>
              </w:numPr>
              <w:tabs>
                <w:tab w:val="left" w:pos="557"/>
              </w:tabs>
              <w:autoSpaceDE w:val="0"/>
              <w:autoSpaceDN w:val="0"/>
              <w:adjustRightInd w:val="0"/>
              <w:ind w:left="553" w:hanging="259"/>
              <w:contextualSpacing/>
              <w:jc w:val="both"/>
              <w:rPr>
                <w:rFonts w:asciiTheme="minorHAnsi" w:hAnsiTheme="minorHAnsi" w:cstheme="minorHAnsi"/>
                <w:color w:val="000000"/>
                <w:sz w:val="22"/>
                <w:szCs w:val="22"/>
                <w:shd w:val="clear" w:color="auto" w:fill="E2EFD9" w:themeFill="accent6" w:themeFillTint="33"/>
              </w:rPr>
            </w:pPr>
            <w:r w:rsidRPr="00EC4F25">
              <w:rPr>
                <w:rFonts w:asciiTheme="minorHAnsi" w:hAnsiTheme="minorHAnsi" w:cstheme="minorHAnsi"/>
                <w:color w:val="000000"/>
                <w:sz w:val="22"/>
                <w:szCs w:val="22"/>
                <w:shd w:val="clear" w:color="auto" w:fill="E2EFD9" w:themeFill="accent6" w:themeFillTint="33"/>
              </w:rPr>
              <w:t>„</w:t>
            </w:r>
            <w:r w:rsidRPr="00EC4F25">
              <w:rPr>
                <w:rFonts w:asciiTheme="minorHAnsi" w:hAnsiTheme="minorHAnsi" w:cstheme="minorHAnsi"/>
                <w:i/>
                <w:iCs/>
                <w:color w:val="000000"/>
                <w:sz w:val="22"/>
                <w:szCs w:val="22"/>
                <w:shd w:val="clear" w:color="auto" w:fill="E2EFD9" w:themeFill="accent6" w:themeFillTint="33"/>
              </w:rPr>
              <w:t>wykonywania przez twórcę obowiązków ze stosunku pracy lub z realizacji innej umowy</w:t>
            </w:r>
            <w:r w:rsidRPr="00EC4F25">
              <w:rPr>
                <w:rFonts w:asciiTheme="minorHAnsi" w:hAnsiTheme="minorHAnsi" w:cstheme="minorHAnsi"/>
                <w:color w:val="000000"/>
                <w:sz w:val="22"/>
                <w:szCs w:val="22"/>
                <w:shd w:val="clear" w:color="auto" w:fill="E2EFD9" w:themeFill="accent6" w:themeFillTint="33"/>
              </w:rPr>
              <w:t xml:space="preserve">” </w:t>
            </w:r>
          </w:p>
          <w:p w14:paraId="13C631E7" w14:textId="77777777" w:rsidR="001F7A1E" w:rsidRPr="00EC4F25" w:rsidRDefault="001F7A1E" w:rsidP="00F45910">
            <w:pPr>
              <w:tabs>
                <w:tab w:val="left" w:pos="557"/>
              </w:tabs>
              <w:autoSpaceDE w:val="0"/>
              <w:autoSpaceDN w:val="0"/>
              <w:adjustRightInd w:val="0"/>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a przy tym podobnie, gdy wynalazek opracowywany jest:</w:t>
            </w:r>
          </w:p>
          <w:p w14:paraId="68EDDC6E" w14:textId="77777777" w:rsidR="001F7A1E" w:rsidRPr="00EC4F25" w:rsidRDefault="001F7A1E" w:rsidP="001F6BE3">
            <w:pPr>
              <w:pStyle w:val="Akapitzlist"/>
              <w:numPr>
                <w:ilvl w:val="0"/>
                <w:numId w:val="29"/>
              </w:numPr>
              <w:tabs>
                <w:tab w:val="left" w:pos="557"/>
              </w:tabs>
              <w:autoSpaceDE w:val="0"/>
              <w:autoSpaceDN w:val="0"/>
              <w:adjustRightInd w:val="0"/>
              <w:ind w:left="553" w:hanging="259"/>
              <w:contextualSpacing/>
              <w:jc w:val="both"/>
              <w:rPr>
                <w:rFonts w:asciiTheme="minorHAnsi" w:hAnsiTheme="minorHAnsi" w:cstheme="minorHAnsi"/>
                <w:color w:val="000000"/>
                <w:sz w:val="22"/>
                <w:szCs w:val="22"/>
                <w:shd w:val="clear" w:color="auto" w:fill="E2EFD9" w:themeFill="accent6" w:themeFillTint="33"/>
              </w:rPr>
            </w:pPr>
            <w:r w:rsidRPr="00EC4F25">
              <w:rPr>
                <w:rFonts w:asciiTheme="minorHAnsi" w:hAnsiTheme="minorHAnsi" w:cstheme="minorHAnsi"/>
                <w:color w:val="000000"/>
                <w:sz w:val="22"/>
                <w:szCs w:val="22"/>
                <w:shd w:val="clear" w:color="auto" w:fill="D9E2F3" w:themeFill="accent1" w:themeFillTint="33"/>
              </w:rPr>
              <w:t>„</w:t>
            </w:r>
            <w:r w:rsidRPr="00EC4F25">
              <w:rPr>
                <w:rFonts w:asciiTheme="minorHAnsi" w:hAnsiTheme="minorHAnsi" w:cstheme="minorHAnsi"/>
                <w:i/>
                <w:iCs/>
                <w:color w:val="000000"/>
                <w:sz w:val="22"/>
                <w:szCs w:val="22"/>
                <w:shd w:val="clear" w:color="auto" w:fill="D9E2F3" w:themeFill="accent1" w:themeFillTint="33"/>
              </w:rPr>
              <w:t>przy pomocy przedsiębiorcy</w:t>
            </w:r>
            <w:r w:rsidRPr="00EC4F25">
              <w:rPr>
                <w:rFonts w:asciiTheme="minorHAnsi" w:hAnsiTheme="minorHAnsi" w:cstheme="minorHAnsi"/>
                <w:color w:val="000000"/>
                <w:sz w:val="22"/>
                <w:szCs w:val="22"/>
              </w:rPr>
              <w:t>”</w:t>
            </w:r>
          </w:p>
          <w:p w14:paraId="75AFB853" w14:textId="77777777" w:rsidR="001F7A1E" w:rsidRPr="00EC4F25" w:rsidRDefault="001F7A1E" w:rsidP="00F45910">
            <w:pPr>
              <w:tabs>
                <w:tab w:val="left" w:pos="557"/>
              </w:tabs>
              <w:autoSpaceDE w:val="0"/>
              <w:autoSpaceDN w:val="0"/>
              <w:adjustRightInd w:val="0"/>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 wynagrodzenie twórcy (tak jak jest obecnie) miałoby być</w:t>
            </w:r>
            <w:r w:rsidRPr="00EC4F25">
              <w:rPr>
                <w:rFonts w:asciiTheme="minorHAnsi" w:hAnsiTheme="minorHAnsi" w:cstheme="minorHAnsi"/>
                <w:b/>
                <w:bCs/>
                <w:color w:val="000000"/>
                <w:sz w:val="22"/>
                <w:szCs w:val="22"/>
              </w:rPr>
              <w:t xml:space="preserve"> </w:t>
            </w:r>
            <w:r w:rsidRPr="00EC4F25">
              <w:rPr>
                <w:rFonts w:asciiTheme="minorHAnsi" w:hAnsiTheme="minorHAnsi" w:cstheme="minorHAnsi"/>
                <w:color w:val="000000"/>
                <w:sz w:val="22"/>
                <w:szCs w:val="22"/>
              </w:rPr>
              <w:t xml:space="preserve">ustalane w oparciu o teoretyczną i niejednoznaczną zasadę, której powtórzenie zaproponowano w omawianym projekcie: </w:t>
            </w:r>
          </w:p>
          <w:p w14:paraId="245D1615" w14:textId="0F28EF47" w:rsidR="001F7A1E" w:rsidRPr="00EC4F25" w:rsidRDefault="001F7A1E" w:rsidP="0064620B">
            <w:pPr>
              <w:tabs>
                <w:tab w:val="left" w:pos="557"/>
              </w:tabs>
              <w:autoSpaceDE w:val="0"/>
              <w:autoSpaceDN w:val="0"/>
              <w:adjustRightInd w:val="0"/>
              <w:jc w:val="both"/>
              <w:rPr>
                <w:rFonts w:asciiTheme="minorHAnsi" w:hAnsiTheme="minorHAnsi" w:cstheme="minorHAnsi"/>
                <w:color w:val="000000"/>
                <w:sz w:val="22"/>
                <w:szCs w:val="22"/>
                <w:shd w:val="clear" w:color="auto" w:fill="E2EFD9" w:themeFill="accent6" w:themeFillTint="33"/>
              </w:rPr>
            </w:pPr>
            <w:r w:rsidRPr="0064620B">
              <w:rPr>
                <w:rFonts w:asciiTheme="minorHAnsi" w:hAnsiTheme="minorHAnsi" w:cstheme="minorHAnsi"/>
                <w:color w:val="0070C0"/>
                <w:sz w:val="22"/>
                <w:szCs w:val="22"/>
              </w:rPr>
              <w:t xml:space="preserve">- </w:t>
            </w:r>
            <w:r w:rsidRPr="00EC4F25">
              <w:rPr>
                <w:rFonts w:asciiTheme="minorHAnsi" w:hAnsiTheme="minorHAnsi" w:cstheme="minorHAnsi"/>
                <w:color w:val="000000"/>
                <w:sz w:val="22"/>
                <w:szCs w:val="22"/>
                <w:shd w:val="clear" w:color="auto" w:fill="FBE4D5" w:themeFill="accent2" w:themeFillTint="33"/>
              </w:rPr>
              <w:t>„</w:t>
            </w:r>
            <w:r w:rsidRPr="00EC4F25">
              <w:rPr>
                <w:rFonts w:asciiTheme="minorHAnsi" w:hAnsiTheme="minorHAnsi" w:cstheme="minorHAnsi"/>
                <w:i/>
                <w:iCs/>
                <w:color w:val="000000"/>
                <w:sz w:val="22"/>
                <w:szCs w:val="22"/>
                <w:shd w:val="clear" w:color="auto" w:fill="FBE4D5" w:themeFill="accent2" w:themeFillTint="33"/>
              </w:rPr>
              <w:t>w słusznej proporcji do korzyści przedsiębiorcy”.</w:t>
            </w:r>
          </w:p>
          <w:p w14:paraId="2224ED96" w14:textId="69BDB116" w:rsidR="001F7A1E" w:rsidRPr="005F0586" w:rsidRDefault="001F7A1E" w:rsidP="0064620B">
            <w:pPr>
              <w:tabs>
                <w:tab w:val="left" w:pos="557"/>
              </w:tabs>
              <w:autoSpaceDE w:val="0"/>
              <w:autoSpaceDN w:val="0"/>
              <w:adjustRightInd w:val="0"/>
              <w:contextualSpacing/>
              <w:jc w:val="both"/>
              <w:rPr>
                <w:rFonts w:asciiTheme="minorHAnsi" w:hAnsiTheme="minorHAnsi" w:cstheme="minorHAnsi"/>
                <w:i/>
                <w:iCs/>
                <w:color w:val="0070C0"/>
                <w:sz w:val="10"/>
                <w:szCs w:val="10"/>
                <w:shd w:val="clear" w:color="auto" w:fill="FBE4D5" w:themeFill="accent2" w:themeFillTint="33"/>
              </w:rPr>
            </w:pPr>
          </w:p>
          <w:p w14:paraId="16397746" w14:textId="77777777" w:rsidR="001F7A1E" w:rsidRPr="00EC4F25" w:rsidRDefault="001F7A1E" w:rsidP="00F45910">
            <w:pPr>
              <w:autoSpaceDE w:val="0"/>
              <w:autoSpaceDN w:val="0"/>
              <w:adjustRightInd w:val="0"/>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Dochodziłoby wówczas do trwającej od wielu lat sytuacji, w której twórca wynalazku:</w:t>
            </w:r>
          </w:p>
          <w:p w14:paraId="10530B50" w14:textId="77777777" w:rsidR="001F7A1E" w:rsidRPr="005F0586" w:rsidRDefault="001F7A1E" w:rsidP="00F45910">
            <w:pPr>
              <w:autoSpaceDE w:val="0"/>
              <w:autoSpaceDN w:val="0"/>
              <w:adjustRightInd w:val="0"/>
              <w:jc w:val="both"/>
              <w:rPr>
                <w:rFonts w:asciiTheme="minorHAnsi" w:hAnsiTheme="minorHAnsi" w:cstheme="minorHAnsi"/>
                <w:color w:val="000000"/>
                <w:sz w:val="10"/>
                <w:szCs w:val="10"/>
              </w:rPr>
            </w:pPr>
          </w:p>
          <w:p w14:paraId="5CE5BED2" w14:textId="77777777" w:rsidR="001F7A1E" w:rsidRPr="00EC4F25" w:rsidRDefault="001F7A1E" w:rsidP="001F6BE3">
            <w:pPr>
              <w:pStyle w:val="Akapitzlist"/>
              <w:numPr>
                <w:ilvl w:val="0"/>
                <w:numId w:val="30"/>
              </w:numPr>
              <w:autoSpaceDE w:val="0"/>
              <w:autoSpaceDN w:val="0"/>
              <w:adjustRightInd w:val="0"/>
              <w:ind w:left="553" w:hanging="259"/>
              <w:contextualSpacing/>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nie jest właściwie wynagradzany lub</w:t>
            </w:r>
          </w:p>
          <w:p w14:paraId="74D6786B" w14:textId="77777777" w:rsidR="001F7A1E" w:rsidRPr="00EC4F25" w:rsidRDefault="001F7A1E" w:rsidP="001F6BE3">
            <w:pPr>
              <w:pStyle w:val="Akapitzlist"/>
              <w:numPr>
                <w:ilvl w:val="0"/>
                <w:numId w:val="30"/>
              </w:numPr>
              <w:autoSpaceDE w:val="0"/>
              <w:autoSpaceDN w:val="0"/>
              <w:adjustRightInd w:val="0"/>
              <w:ind w:left="553" w:hanging="259"/>
              <w:contextualSpacing/>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przymuszany jest do dopisania fikcyjnych twórców i przenoszenia na nich praw lub</w:t>
            </w:r>
          </w:p>
          <w:p w14:paraId="62D6A3EB" w14:textId="77777777" w:rsidR="001F7A1E" w:rsidRPr="00EC4F25" w:rsidRDefault="001F7A1E" w:rsidP="001F6BE3">
            <w:pPr>
              <w:pStyle w:val="Akapitzlist"/>
              <w:numPr>
                <w:ilvl w:val="0"/>
                <w:numId w:val="30"/>
              </w:numPr>
              <w:autoSpaceDE w:val="0"/>
              <w:autoSpaceDN w:val="0"/>
              <w:adjustRightInd w:val="0"/>
              <w:ind w:left="553" w:hanging="259"/>
              <w:contextualSpacing/>
              <w:jc w:val="both"/>
              <w:rPr>
                <w:rFonts w:asciiTheme="minorHAnsi" w:hAnsiTheme="minorHAnsi" w:cstheme="minorHAnsi"/>
                <w:color w:val="000000"/>
                <w:sz w:val="22"/>
                <w:szCs w:val="22"/>
              </w:rPr>
            </w:pPr>
            <w:r w:rsidRPr="00EC4F25">
              <w:rPr>
                <w:rFonts w:asciiTheme="minorHAnsi" w:hAnsiTheme="minorHAnsi" w:cstheme="minorHAnsi"/>
                <w:color w:val="000000"/>
                <w:sz w:val="22"/>
                <w:szCs w:val="22"/>
              </w:rPr>
              <w:t>zrezygnowania ze zgłoszenia wynalazku i zrezygnowania z podzielenia się wiedzy o nim.</w:t>
            </w:r>
          </w:p>
          <w:p w14:paraId="1011CD69" w14:textId="77777777" w:rsidR="001F7A1E" w:rsidRPr="005F0586" w:rsidRDefault="001F7A1E" w:rsidP="0064620B">
            <w:pPr>
              <w:pStyle w:val="Akapitzlist"/>
              <w:autoSpaceDE w:val="0"/>
              <w:autoSpaceDN w:val="0"/>
              <w:adjustRightInd w:val="0"/>
              <w:ind w:left="553"/>
              <w:jc w:val="both"/>
              <w:rPr>
                <w:rFonts w:asciiTheme="minorHAnsi" w:hAnsiTheme="minorHAnsi" w:cstheme="minorHAnsi"/>
                <w:b/>
                <w:bCs/>
                <w:color w:val="000000"/>
                <w:sz w:val="10"/>
                <w:szCs w:val="10"/>
              </w:rPr>
            </w:pPr>
          </w:p>
        </w:tc>
      </w:tr>
    </w:tbl>
    <w:p w14:paraId="6528AC32" w14:textId="77777777" w:rsidR="001F7A1E" w:rsidRPr="00A440BC" w:rsidRDefault="001F7A1E" w:rsidP="001F7A1E">
      <w:pPr>
        <w:spacing w:after="0" w:line="240" w:lineRule="auto"/>
        <w:jc w:val="center"/>
        <w:rPr>
          <w:rFonts w:cstheme="minorHAnsi"/>
        </w:rPr>
      </w:pPr>
    </w:p>
    <w:p w14:paraId="6462E29D" w14:textId="77777777" w:rsidR="001F7A1E" w:rsidRPr="00EC4F25" w:rsidRDefault="001F7A1E" w:rsidP="001F7A1E">
      <w:pPr>
        <w:spacing w:after="0" w:line="240" w:lineRule="auto"/>
        <w:jc w:val="center"/>
        <w:rPr>
          <w:rFonts w:cstheme="minorHAnsi"/>
        </w:rPr>
      </w:pPr>
      <w:r w:rsidRPr="00EC4F25">
        <w:rPr>
          <w:rFonts w:cstheme="minorHAnsi"/>
        </w:rPr>
        <w:t>+++</w:t>
      </w:r>
    </w:p>
    <w:p w14:paraId="409C82D1" w14:textId="77777777" w:rsidR="001F7A1E" w:rsidRPr="00EC4F25" w:rsidRDefault="001F7A1E" w:rsidP="001F7A1E">
      <w:pPr>
        <w:spacing w:after="0" w:line="240" w:lineRule="auto"/>
        <w:jc w:val="center"/>
        <w:rPr>
          <w:rFonts w:cstheme="minorHAnsi"/>
        </w:rPr>
      </w:pPr>
    </w:p>
    <w:tbl>
      <w:tblPr>
        <w:tblStyle w:val="Tabela-Siatka"/>
        <w:tblW w:w="0" w:type="auto"/>
        <w:tblLook w:val="04A0" w:firstRow="1" w:lastRow="0" w:firstColumn="1" w:lastColumn="0" w:noHBand="0" w:noVBand="1"/>
      </w:tblPr>
      <w:tblGrid>
        <w:gridCol w:w="4611"/>
        <w:gridCol w:w="4445"/>
      </w:tblGrid>
      <w:tr w:rsidR="001F7A1E" w:rsidRPr="00DB51DA" w14:paraId="770DEA89" w14:textId="77777777" w:rsidTr="00F45910">
        <w:tc>
          <w:tcPr>
            <w:tcW w:w="4611" w:type="dxa"/>
            <w:shd w:val="clear" w:color="auto" w:fill="F2F2F2" w:themeFill="background1" w:themeFillShade="F2"/>
          </w:tcPr>
          <w:p w14:paraId="4F536756" w14:textId="77777777" w:rsidR="001F7A1E" w:rsidRPr="00EC4F25" w:rsidRDefault="001F7A1E" w:rsidP="00F45910">
            <w:pPr>
              <w:jc w:val="center"/>
              <w:rPr>
                <w:rFonts w:asciiTheme="minorHAnsi" w:hAnsiTheme="minorHAnsi" w:cstheme="minorHAnsi"/>
                <w:b/>
                <w:sz w:val="22"/>
                <w:szCs w:val="22"/>
              </w:rPr>
            </w:pPr>
            <w:bookmarkStart w:id="122" w:name="_Hlk168518408"/>
            <w:bookmarkEnd w:id="119"/>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4DB03F29" w14:textId="675392F7" w:rsidR="001F7A1E" w:rsidRPr="00A440BC" w:rsidRDefault="001F7A1E" w:rsidP="00F45910">
            <w:pPr>
              <w:jc w:val="center"/>
              <w:rPr>
                <w:rFonts w:asciiTheme="minorHAnsi" w:hAnsiTheme="minorHAnsi" w:cstheme="minorHAnsi"/>
                <w:b/>
                <w:sz w:val="22"/>
                <w:szCs w:val="22"/>
              </w:rPr>
            </w:pPr>
          </w:p>
        </w:tc>
        <w:tc>
          <w:tcPr>
            <w:tcW w:w="4445" w:type="dxa"/>
            <w:shd w:val="clear" w:color="auto" w:fill="F2F2F2" w:themeFill="background1" w:themeFillShade="F2"/>
          </w:tcPr>
          <w:p w14:paraId="7D73D777" w14:textId="77777777"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601DECAF" w14:textId="0C39F655" w:rsidR="001F7A1E" w:rsidRPr="00A440BC" w:rsidRDefault="001F7A1E" w:rsidP="00F45910">
            <w:pPr>
              <w:jc w:val="center"/>
              <w:rPr>
                <w:rFonts w:asciiTheme="minorHAnsi" w:hAnsiTheme="minorHAnsi" w:cstheme="minorHAnsi"/>
                <w:b/>
                <w:sz w:val="22"/>
                <w:szCs w:val="22"/>
              </w:rPr>
            </w:pPr>
          </w:p>
        </w:tc>
      </w:tr>
      <w:tr w:rsidR="001F7A1E" w:rsidRPr="00EC4F25" w14:paraId="4D6871B6" w14:textId="77777777" w:rsidTr="00F45910">
        <w:tc>
          <w:tcPr>
            <w:tcW w:w="4611" w:type="dxa"/>
          </w:tcPr>
          <w:p w14:paraId="6BEB785D" w14:textId="77777777" w:rsidR="001F7A1E" w:rsidRPr="00EC4F25" w:rsidRDefault="001F7A1E" w:rsidP="00F45910">
            <w:pPr>
              <w:shd w:val="clear" w:color="auto" w:fill="FFFFFF"/>
              <w:rPr>
                <w:rFonts w:asciiTheme="minorHAnsi" w:hAnsiTheme="minorHAnsi" w:cstheme="minorHAnsi"/>
                <w:color w:val="333333"/>
                <w:sz w:val="22"/>
                <w:szCs w:val="22"/>
              </w:rPr>
            </w:pPr>
            <w:r w:rsidRPr="00DB51DA">
              <w:rPr>
                <w:rFonts w:asciiTheme="minorHAnsi" w:hAnsiTheme="minorHAnsi" w:cstheme="minorHAnsi"/>
                <w:b/>
                <w:bCs/>
                <w:color w:val="333333"/>
                <w:sz w:val="22"/>
                <w:szCs w:val="22"/>
              </w:rPr>
              <w:br/>
            </w:r>
            <w:r w:rsidRPr="00EC4F25">
              <w:rPr>
                <w:rStyle w:val="articletitle"/>
                <w:rFonts w:asciiTheme="minorHAnsi" w:hAnsiTheme="minorHAnsi" w:cstheme="minorHAnsi"/>
                <w:b/>
                <w:bCs/>
                <w:color w:val="333333"/>
                <w:sz w:val="22"/>
                <w:szCs w:val="22"/>
              </w:rPr>
              <w:t>Art. 22 [Wynagrodzenie twórcy]</w:t>
            </w:r>
          </w:p>
          <w:p w14:paraId="43756585" w14:textId="77777777" w:rsidR="001F7A1E" w:rsidRDefault="001F7A1E" w:rsidP="00F45910">
            <w:pPr>
              <w:shd w:val="clear" w:color="auto" w:fill="FFFFFF"/>
              <w:rPr>
                <w:rFonts w:asciiTheme="minorHAnsi" w:hAnsiTheme="minorHAnsi" w:cstheme="minorHAnsi"/>
                <w:sz w:val="22"/>
                <w:szCs w:val="22"/>
              </w:rPr>
            </w:pPr>
            <w:r w:rsidRPr="00EC4F25">
              <w:rPr>
                <w:rFonts w:asciiTheme="minorHAnsi" w:hAnsiTheme="minorHAnsi" w:cstheme="minorHAnsi"/>
                <w:color w:val="333333"/>
                <w:sz w:val="22"/>
                <w:szCs w:val="22"/>
              </w:rPr>
              <w:t xml:space="preserve">1. Jeżeli strony nie umówiły się inaczej, </w:t>
            </w:r>
            <w:r w:rsidRPr="00EC4F25">
              <w:rPr>
                <w:rFonts w:asciiTheme="minorHAnsi" w:hAnsiTheme="minorHAnsi" w:cstheme="minorHAnsi"/>
                <w:color w:val="333333"/>
                <w:sz w:val="22"/>
                <w:szCs w:val="22"/>
                <w:shd w:val="clear" w:color="auto" w:fill="E2EFD9" w:themeFill="accent6" w:themeFillTint="33"/>
              </w:rPr>
              <w:t xml:space="preserve">twórca wynalazku, wzoru użytkowego albo wzoru przemysłowego </w:t>
            </w:r>
            <w:r w:rsidRPr="00EC4F25">
              <w:rPr>
                <w:rFonts w:asciiTheme="minorHAnsi" w:hAnsiTheme="minorHAnsi" w:cstheme="minorHAnsi"/>
                <w:color w:val="333333"/>
                <w:sz w:val="22"/>
                <w:szCs w:val="22"/>
                <w:shd w:val="clear" w:color="auto" w:fill="D9E2F3" w:themeFill="accent1" w:themeFillTint="33"/>
              </w:rPr>
              <w:t>ma prawo do wynagrodzenia za korzystanie z tego wynalazku</w:t>
            </w:r>
            <w:r w:rsidRPr="00EC4F25">
              <w:rPr>
                <w:rFonts w:asciiTheme="minorHAnsi" w:hAnsiTheme="minorHAnsi" w:cstheme="minorHAnsi"/>
                <w:color w:val="333333"/>
                <w:sz w:val="22"/>
                <w:szCs w:val="22"/>
              </w:rPr>
              <w:t xml:space="preserve">, wzoru użytkowego albo wzoru przemysłowego </w:t>
            </w:r>
            <w:r w:rsidRPr="00EC4F25">
              <w:rPr>
                <w:rFonts w:asciiTheme="minorHAnsi" w:hAnsiTheme="minorHAnsi" w:cstheme="minorHAnsi"/>
                <w:b/>
                <w:bCs/>
                <w:color w:val="333333"/>
                <w:sz w:val="22"/>
                <w:szCs w:val="22"/>
              </w:rPr>
              <w:t>przez przedsiębiorcę,</w:t>
            </w:r>
            <w:r w:rsidRPr="00EC4F25">
              <w:rPr>
                <w:rFonts w:asciiTheme="minorHAnsi" w:hAnsiTheme="minorHAnsi" w:cstheme="minorHAnsi"/>
                <w:color w:val="333333"/>
                <w:sz w:val="22"/>
                <w:szCs w:val="22"/>
              </w:rPr>
              <w:t xml:space="preserve"> gdy prawo korzystania z niego bądź prawo do uzyskania patentu, prawa ochronnego lub prawa z rejestracji przysługuje przedsiębiorcy na podstawie </w:t>
            </w:r>
            <w:hyperlink r:id="rId146" w:history="1">
              <w:r w:rsidRPr="00EC4F25">
                <w:rPr>
                  <w:rStyle w:val="Hipercze"/>
                  <w:rFonts w:asciiTheme="minorHAnsi" w:hAnsiTheme="minorHAnsi" w:cstheme="minorHAnsi"/>
                  <w:sz w:val="22"/>
                  <w:szCs w:val="22"/>
                  <w:shd w:val="clear" w:color="auto" w:fill="FFFFFF" w:themeFill="background1"/>
                </w:rPr>
                <w:t>art. 11 ust. 3</w:t>
              </w:r>
              <w:r w:rsidRPr="00EC4F25">
                <w:rPr>
                  <w:rStyle w:val="Hipercze"/>
                  <w:rFonts w:asciiTheme="minorHAnsi" w:hAnsiTheme="minorHAnsi" w:cstheme="minorHAnsi"/>
                  <w:color w:val="CC0000"/>
                  <w:sz w:val="22"/>
                  <w:szCs w:val="22"/>
                  <w:shd w:val="clear" w:color="auto" w:fill="FFFFFF" w:themeFill="background1"/>
                </w:rPr>
                <w:t xml:space="preserve"> </w:t>
              </w:r>
              <w:r w:rsidRPr="00EC4F25">
                <w:rPr>
                  <w:rStyle w:val="Hipercze"/>
                  <w:rFonts w:asciiTheme="minorHAnsi" w:hAnsiTheme="minorHAnsi" w:cstheme="minorHAnsi"/>
                  <w:color w:val="CC0000"/>
                  <w:sz w:val="22"/>
                  <w:szCs w:val="22"/>
                  <w:highlight w:val="yellow"/>
                </w:rPr>
                <w:t xml:space="preserve">i   </w:t>
              </w:r>
            </w:hyperlink>
            <w:r w:rsidRPr="00EC4F25">
              <w:rPr>
                <w:rFonts w:asciiTheme="minorHAnsi" w:hAnsiTheme="minorHAnsi" w:cstheme="minorHAnsi"/>
                <w:color w:val="333333"/>
                <w:sz w:val="22"/>
                <w:szCs w:val="22"/>
              </w:rPr>
              <w:t xml:space="preserve"> 5 </w:t>
            </w:r>
            <w:r w:rsidRPr="00EC4F25">
              <w:rPr>
                <w:rFonts w:asciiTheme="minorHAnsi" w:hAnsiTheme="minorHAnsi" w:cstheme="minorHAnsi"/>
                <w:sz w:val="22"/>
                <w:szCs w:val="22"/>
              </w:rPr>
              <w:t>lub </w:t>
            </w:r>
            <w:hyperlink r:id="rId147" w:history="1">
              <w:r w:rsidRPr="00EC4F25">
                <w:rPr>
                  <w:rStyle w:val="Hipercze"/>
                  <w:rFonts w:asciiTheme="minorHAnsi" w:hAnsiTheme="minorHAnsi" w:cstheme="minorHAnsi"/>
                  <w:sz w:val="22"/>
                  <w:szCs w:val="22"/>
                </w:rPr>
                <w:t>art. 21</w:t>
              </w:r>
            </w:hyperlink>
            <w:r w:rsidRPr="00EC4F25">
              <w:rPr>
                <w:rFonts w:asciiTheme="minorHAnsi" w:hAnsiTheme="minorHAnsi" w:cstheme="minorHAnsi"/>
                <w:sz w:val="22"/>
                <w:szCs w:val="22"/>
              </w:rPr>
              <w:t>.</w:t>
            </w:r>
          </w:p>
          <w:p w14:paraId="78428BAE" w14:textId="77777777" w:rsidR="00FB5369" w:rsidRPr="00FB5369" w:rsidRDefault="00FB5369" w:rsidP="00F45910">
            <w:pPr>
              <w:shd w:val="clear" w:color="auto" w:fill="FFFFFF"/>
              <w:rPr>
                <w:rFonts w:asciiTheme="minorHAnsi" w:hAnsiTheme="minorHAnsi" w:cstheme="minorHAnsi"/>
                <w:color w:val="333333"/>
                <w:sz w:val="10"/>
                <w:szCs w:val="10"/>
              </w:rPr>
            </w:pPr>
          </w:p>
          <w:p w14:paraId="09C48227" w14:textId="77777777" w:rsidR="001F7A1E" w:rsidRPr="00D16DE2" w:rsidRDefault="001F7A1E" w:rsidP="00F45910">
            <w:pPr>
              <w:pStyle w:val="USTustnpkodeksu"/>
              <w:spacing w:line="240" w:lineRule="auto"/>
              <w:ind w:firstLine="0"/>
              <w:rPr>
                <w:rFonts w:asciiTheme="minorHAnsi" w:hAnsiTheme="minorHAnsi" w:cstheme="minorHAnsi"/>
                <w:sz w:val="10"/>
                <w:szCs w:val="10"/>
              </w:rPr>
            </w:pPr>
          </w:p>
        </w:tc>
        <w:tc>
          <w:tcPr>
            <w:tcW w:w="4445" w:type="dxa"/>
          </w:tcPr>
          <w:p w14:paraId="52C1B5AF"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p>
          <w:p w14:paraId="6C63D828"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b/>
                <w:bCs w:val="0"/>
                <w:sz w:val="22"/>
                <w:szCs w:val="22"/>
              </w:rPr>
              <w:t xml:space="preserve">Art. 10. </w:t>
            </w:r>
            <w:proofErr w:type="gramStart"/>
            <w:r w:rsidRPr="00EC4F25">
              <w:rPr>
                <w:rFonts w:asciiTheme="minorHAnsi" w:hAnsiTheme="minorHAnsi" w:cstheme="minorHAnsi"/>
                <w:sz w:val="22"/>
                <w:szCs w:val="22"/>
              </w:rPr>
              <w:t>1 .</w:t>
            </w:r>
            <w:proofErr w:type="gramEnd"/>
            <w:r w:rsidRPr="00EC4F25">
              <w:rPr>
                <w:rFonts w:asciiTheme="minorHAnsi" w:hAnsiTheme="minorHAnsi" w:cstheme="minorHAnsi"/>
                <w:sz w:val="22"/>
                <w:szCs w:val="22"/>
              </w:rPr>
              <w:t xml:space="preserve"> Jeżeli strony nie umówiły się inaczej, </w:t>
            </w:r>
            <w:r w:rsidRPr="00EC4F25">
              <w:rPr>
                <w:rFonts w:asciiTheme="minorHAnsi" w:hAnsiTheme="minorHAnsi" w:cstheme="minorHAnsi"/>
                <w:sz w:val="22"/>
                <w:szCs w:val="22"/>
                <w:shd w:val="clear" w:color="auto" w:fill="E2EFD9" w:themeFill="accent6" w:themeFillTint="33"/>
              </w:rPr>
              <w:t>twórca projektu wynalazczego</w:t>
            </w:r>
            <w:r w:rsidRPr="00EC4F25">
              <w:rPr>
                <w:rFonts w:asciiTheme="minorHAnsi" w:hAnsiTheme="minorHAnsi" w:cstheme="minorHAnsi"/>
                <w:sz w:val="22"/>
                <w:szCs w:val="22"/>
              </w:rPr>
              <w:t xml:space="preserve"> </w:t>
            </w:r>
            <w:r w:rsidRPr="00EC4F25">
              <w:rPr>
                <w:rFonts w:asciiTheme="minorHAnsi" w:hAnsiTheme="minorHAnsi" w:cstheme="minorHAnsi"/>
                <w:sz w:val="22"/>
                <w:szCs w:val="22"/>
                <w:shd w:val="clear" w:color="auto" w:fill="D9E2F3" w:themeFill="accent1" w:themeFillTint="33"/>
              </w:rPr>
              <w:t>ma prawo do wynagrodzenia za korzystanie z tego wynalazku</w:t>
            </w:r>
            <w:r w:rsidRPr="00EC4F25">
              <w:rPr>
                <w:rFonts w:asciiTheme="minorHAnsi" w:hAnsiTheme="minorHAnsi" w:cstheme="minorHAnsi"/>
                <w:sz w:val="22"/>
                <w:szCs w:val="22"/>
              </w:rPr>
              <w:t xml:space="preserve">, wzoru użytkowego, wzoru przemysłowego lub topografii </w:t>
            </w:r>
            <w:r w:rsidRPr="00EC4F25">
              <w:rPr>
                <w:rFonts w:asciiTheme="minorHAnsi" w:hAnsiTheme="minorHAnsi" w:cstheme="minorHAnsi"/>
                <w:b/>
                <w:bCs w:val="0"/>
                <w:sz w:val="22"/>
                <w:szCs w:val="22"/>
              </w:rPr>
              <w:t>przez przedsiębiorcę</w:t>
            </w:r>
            <w:r w:rsidRPr="00EC4F25">
              <w:rPr>
                <w:rFonts w:asciiTheme="minorHAnsi" w:hAnsiTheme="minorHAnsi" w:cstheme="minorHAnsi"/>
                <w:sz w:val="22"/>
                <w:szCs w:val="22"/>
              </w:rPr>
              <w:t xml:space="preserve">, gdy prawo korzystania z niego albo prawo do uzyskania patentu lub prawa z rejestracji przysługuje przedsiębiorcy na podstawie </w:t>
            </w:r>
            <w:r w:rsidRPr="00EC4F25">
              <w:rPr>
                <w:rFonts w:asciiTheme="minorHAnsi" w:hAnsiTheme="minorHAnsi" w:cstheme="minorHAnsi"/>
                <w:sz w:val="22"/>
                <w:szCs w:val="22"/>
                <w:shd w:val="clear" w:color="auto" w:fill="FFFFFF" w:themeFill="background1"/>
              </w:rPr>
              <w:t>art. 7 ust. 1</w:t>
            </w:r>
            <w:r w:rsidRPr="00EC4F25">
              <w:rPr>
                <w:rFonts w:asciiTheme="minorHAnsi" w:hAnsiTheme="minorHAnsi" w:cstheme="minorHAnsi"/>
                <w:sz w:val="22"/>
                <w:szCs w:val="22"/>
              </w:rPr>
              <w:t xml:space="preserve"> </w:t>
            </w:r>
            <w:proofErr w:type="gramStart"/>
            <w:r w:rsidRPr="00EC4F25">
              <w:rPr>
                <w:rFonts w:asciiTheme="minorHAnsi" w:hAnsiTheme="minorHAnsi" w:cstheme="minorHAnsi"/>
                <w:sz w:val="22"/>
                <w:szCs w:val="22"/>
                <w:highlight w:val="yellow"/>
              </w:rPr>
              <w:t xml:space="preserve">i </w:t>
            </w:r>
            <w:r w:rsidRPr="00EC4F25">
              <w:rPr>
                <w:rFonts w:asciiTheme="minorHAnsi" w:hAnsiTheme="minorHAnsi" w:cstheme="minorHAnsi"/>
                <w:sz w:val="22"/>
                <w:szCs w:val="22"/>
              </w:rPr>
              <w:t xml:space="preserve"> 3</w:t>
            </w:r>
            <w:proofErr w:type="gramEnd"/>
            <w:r w:rsidRPr="00EC4F25">
              <w:rPr>
                <w:rFonts w:asciiTheme="minorHAnsi" w:hAnsiTheme="minorHAnsi" w:cstheme="minorHAnsi"/>
                <w:sz w:val="22"/>
                <w:szCs w:val="22"/>
              </w:rPr>
              <w:t xml:space="preserve"> lub art. 9 ust. 2.</w:t>
            </w:r>
          </w:p>
        </w:tc>
      </w:tr>
      <w:tr w:rsidR="001F7A1E" w:rsidRPr="00EC4F25" w14:paraId="45F56FB0" w14:textId="77777777" w:rsidTr="00F45910">
        <w:tc>
          <w:tcPr>
            <w:tcW w:w="9056" w:type="dxa"/>
            <w:gridSpan w:val="2"/>
            <w:shd w:val="clear" w:color="auto" w:fill="E7E6E6" w:themeFill="background2"/>
          </w:tcPr>
          <w:p w14:paraId="3ADF44A2" w14:textId="77777777" w:rsidR="001F7A1E" w:rsidRPr="00EC4F25" w:rsidRDefault="001F7A1E" w:rsidP="00F45910">
            <w:pPr>
              <w:pStyle w:val="USTustnpkodeksu"/>
              <w:spacing w:line="240" w:lineRule="auto"/>
              <w:ind w:firstLine="0"/>
              <w:rPr>
                <w:rFonts w:asciiTheme="minorHAnsi" w:hAnsiTheme="minorHAnsi" w:cstheme="minorHAnsi"/>
                <w:b/>
                <w:sz w:val="22"/>
                <w:szCs w:val="22"/>
              </w:rPr>
            </w:pPr>
            <w:r w:rsidRPr="00EC4F25">
              <w:rPr>
                <w:rFonts w:asciiTheme="minorHAnsi" w:hAnsiTheme="minorHAnsi" w:cstheme="minorHAnsi"/>
                <w:b/>
                <w:sz w:val="22"/>
                <w:szCs w:val="22"/>
              </w:rPr>
              <w:t>UWAGI:</w:t>
            </w:r>
          </w:p>
          <w:p w14:paraId="2258DBD0" w14:textId="2B5FA4F8" w:rsidR="001F7A1E" w:rsidRPr="00EC4F25" w:rsidRDefault="001F7A1E" w:rsidP="00F45910">
            <w:pPr>
              <w:pStyle w:val="USTustnpkodeksu"/>
              <w:spacing w:line="240" w:lineRule="auto"/>
              <w:ind w:firstLine="0"/>
              <w:rPr>
                <w:rFonts w:asciiTheme="minorHAnsi" w:hAnsiTheme="minorHAnsi" w:cstheme="minorHAnsi"/>
                <w:b/>
                <w:sz w:val="22"/>
                <w:szCs w:val="22"/>
              </w:rPr>
            </w:pPr>
          </w:p>
        </w:tc>
      </w:tr>
      <w:tr w:rsidR="001F7A1E" w:rsidRPr="00EC4F25" w14:paraId="28E4BA35" w14:textId="77777777" w:rsidTr="00F45910">
        <w:tc>
          <w:tcPr>
            <w:tcW w:w="9056" w:type="dxa"/>
            <w:gridSpan w:val="2"/>
            <w:shd w:val="clear" w:color="auto" w:fill="FFFFFF" w:themeFill="background1"/>
          </w:tcPr>
          <w:p w14:paraId="73CA8475" w14:textId="77777777" w:rsidR="001F7A1E" w:rsidRPr="005F0586" w:rsidRDefault="001F7A1E" w:rsidP="00F45910">
            <w:pPr>
              <w:pStyle w:val="USTustnpkodeksu"/>
              <w:spacing w:line="240" w:lineRule="auto"/>
              <w:ind w:firstLine="0"/>
              <w:rPr>
                <w:rFonts w:asciiTheme="minorHAnsi" w:hAnsiTheme="minorHAnsi" w:cstheme="minorHAnsi"/>
                <w:sz w:val="10"/>
                <w:szCs w:val="10"/>
              </w:rPr>
            </w:pPr>
          </w:p>
          <w:p w14:paraId="3B486E52"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Projekt</w:t>
            </w:r>
            <w:r w:rsidRPr="00EC4F25">
              <w:rPr>
                <w:rFonts w:asciiTheme="minorHAnsi" w:hAnsiTheme="minorHAnsi" w:cstheme="minorHAnsi"/>
                <w:b/>
                <w:sz w:val="22"/>
                <w:szCs w:val="22"/>
              </w:rPr>
              <w:t xml:space="preserve">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sz w:val="22"/>
                <w:szCs w:val="22"/>
              </w:rPr>
              <w:t xml:space="preserve">proponuje powtórzenie błędu logicznego wprowadzonego do art. 22 </w:t>
            </w:r>
            <w:r w:rsidRPr="00EC4F25">
              <w:rPr>
                <w:rFonts w:asciiTheme="minorHAnsi" w:hAnsiTheme="minorHAnsi" w:cstheme="minorHAnsi"/>
                <w:b/>
                <w:bCs w:val="0"/>
                <w:sz w:val="22"/>
                <w:szCs w:val="22"/>
              </w:rPr>
              <w:t xml:space="preserve">obecnie </w:t>
            </w:r>
            <w:r w:rsidRPr="00EC4F25">
              <w:rPr>
                <w:rFonts w:asciiTheme="minorHAnsi" w:hAnsiTheme="minorHAnsi" w:cstheme="minorHAnsi"/>
                <w:sz w:val="22"/>
                <w:szCs w:val="22"/>
              </w:rPr>
              <w:t>obowiązującej ustawy Prawo własności przemysłowej.</w:t>
            </w:r>
          </w:p>
          <w:p w14:paraId="450E8CDA" w14:textId="77777777" w:rsidR="001F7A1E" w:rsidRPr="00D16DE2" w:rsidRDefault="001F7A1E" w:rsidP="00F45910">
            <w:pPr>
              <w:pStyle w:val="USTustnpkodeksu"/>
              <w:spacing w:line="240" w:lineRule="auto"/>
              <w:ind w:firstLine="0"/>
              <w:rPr>
                <w:rFonts w:asciiTheme="minorHAnsi" w:hAnsiTheme="minorHAnsi" w:cstheme="minorHAnsi"/>
                <w:bCs w:val="0"/>
                <w:sz w:val="10"/>
                <w:szCs w:val="10"/>
              </w:rPr>
            </w:pPr>
          </w:p>
          <w:p w14:paraId="5A3E5618" w14:textId="77777777" w:rsidR="001F7A1E" w:rsidRPr="00EC4F25" w:rsidRDefault="001F7A1E" w:rsidP="00F45910">
            <w:pPr>
              <w:pStyle w:val="USTustnpkodeksu"/>
              <w:spacing w:line="240" w:lineRule="auto"/>
              <w:ind w:firstLine="0"/>
              <w:rPr>
                <w:rFonts w:asciiTheme="minorHAnsi" w:hAnsiTheme="minorHAnsi" w:cstheme="minorHAnsi"/>
                <w:bCs w:val="0"/>
                <w:sz w:val="22"/>
                <w:szCs w:val="22"/>
              </w:rPr>
            </w:pPr>
            <w:r w:rsidRPr="00EC4F25">
              <w:rPr>
                <w:rFonts w:asciiTheme="minorHAnsi" w:hAnsiTheme="minorHAnsi" w:cstheme="minorHAnsi"/>
                <w:bCs w:val="0"/>
                <w:sz w:val="22"/>
                <w:szCs w:val="22"/>
              </w:rPr>
              <w:t xml:space="preserve">Tak w obecnie obowiązującej, jak o zaproponowanej ustawie we wskazaniu podstawy nabycia prawa przez przedsiębiorcę posłużono się spójnikiem </w:t>
            </w:r>
            <w:r w:rsidRPr="00EC4F25">
              <w:rPr>
                <w:rFonts w:asciiTheme="minorHAnsi" w:hAnsiTheme="minorHAnsi" w:cstheme="minorHAnsi"/>
                <w:bCs w:val="0"/>
                <w:color w:val="FF0000"/>
                <w:sz w:val="22"/>
                <w:szCs w:val="22"/>
                <w:highlight w:val="yellow"/>
              </w:rPr>
              <w:t>"i"</w:t>
            </w:r>
            <w:r w:rsidRPr="00EC4F25">
              <w:rPr>
                <w:rFonts w:asciiTheme="minorHAnsi" w:hAnsiTheme="minorHAnsi" w:cstheme="minorHAnsi"/>
                <w:bCs w:val="0"/>
                <w:sz w:val="22"/>
                <w:szCs w:val="22"/>
              </w:rPr>
              <w:t>, wskazując:</w:t>
            </w:r>
          </w:p>
          <w:p w14:paraId="2479BAD3" w14:textId="77777777" w:rsidR="001F7A1E" w:rsidRPr="00EC4F25" w:rsidRDefault="001F7A1E" w:rsidP="00F45910">
            <w:pPr>
              <w:pStyle w:val="USTustnpkodeksu"/>
              <w:spacing w:line="240" w:lineRule="auto"/>
              <w:ind w:firstLine="0"/>
              <w:rPr>
                <w:rFonts w:asciiTheme="minorHAnsi" w:eastAsia="Times New Roman" w:hAnsiTheme="minorHAnsi" w:cstheme="minorHAnsi"/>
                <w:b/>
                <w:color w:val="000000"/>
                <w:sz w:val="22"/>
                <w:szCs w:val="22"/>
              </w:rPr>
            </w:pPr>
            <w:r w:rsidRPr="00EC4F25">
              <w:rPr>
                <w:rFonts w:asciiTheme="minorHAnsi" w:hAnsiTheme="minorHAnsi" w:cstheme="minorHAnsi"/>
                <w:bCs w:val="0"/>
                <w:sz w:val="22"/>
                <w:szCs w:val="22"/>
              </w:rPr>
              <w:lastRenderedPageBreak/>
              <w:t xml:space="preserve">art. 11 ust. 3 i 5 </w:t>
            </w:r>
            <w:r w:rsidRPr="00EC4F25">
              <w:rPr>
                <w:rFonts w:asciiTheme="minorHAnsi" w:hAnsiTheme="minorHAnsi" w:cstheme="minorHAnsi"/>
                <w:b/>
                <w:sz w:val="22"/>
                <w:szCs w:val="22"/>
              </w:rPr>
              <w:t xml:space="preserve">obecnie </w:t>
            </w:r>
            <w:r w:rsidRPr="00EC4F25">
              <w:rPr>
                <w:rFonts w:asciiTheme="minorHAnsi" w:hAnsiTheme="minorHAnsi" w:cstheme="minorHAnsi"/>
                <w:bCs w:val="0"/>
                <w:sz w:val="22"/>
                <w:szCs w:val="22"/>
              </w:rPr>
              <w:t xml:space="preserve">obowiązującej ustawy </w:t>
            </w:r>
            <w:r w:rsidRPr="00EC4F25">
              <w:rPr>
                <w:rFonts w:asciiTheme="minorHAnsi" w:hAnsiTheme="minorHAnsi" w:cstheme="minorHAnsi"/>
                <w:sz w:val="22"/>
                <w:szCs w:val="22"/>
              </w:rPr>
              <w:t>Prawo własności przemysłowej</w:t>
            </w:r>
            <w:r w:rsidRPr="00EC4F25">
              <w:rPr>
                <w:rFonts w:asciiTheme="minorHAnsi" w:hAnsiTheme="minorHAnsi" w:cstheme="minorHAnsi"/>
                <w:bCs w:val="0"/>
                <w:sz w:val="22"/>
                <w:szCs w:val="22"/>
              </w:rPr>
              <w:t xml:space="preserve"> i odpowiednio art. 7 ust. 1 i 3 projektu </w:t>
            </w:r>
            <w:r w:rsidRPr="00EC4F25">
              <w:rPr>
                <w:rFonts w:asciiTheme="minorHAnsi" w:hAnsiTheme="minorHAnsi" w:cstheme="minorHAnsi"/>
                <w:b/>
                <w:sz w:val="22"/>
                <w:szCs w:val="22"/>
              </w:rPr>
              <w:t>UD263</w:t>
            </w:r>
            <w:r w:rsidRPr="00EC4F25">
              <w:rPr>
                <w:rFonts w:asciiTheme="minorHAnsi" w:eastAsia="Times New Roman" w:hAnsiTheme="minorHAnsi" w:cstheme="minorHAnsi"/>
                <w:b/>
                <w:color w:val="000000"/>
                <w:sz w:val="22"/>
                <w:szCs w:val="22"/>
              </w:rPr>
              <w:t xml:space="preserve">. </w:t>
            </w:r>
          </w:p>
          <w:p w14:paraId="1C315253" w14:textId="77777777" w:rsidR="001F7A1E" w:rsidRPr="00D16DE2" w:rsidRDefault="001F7A1E" w:rsidP="00F45910">
            <w:pPr>
              <w:pStyle w:val="USTustnpkodeksu"/>
              <w:spacing w:line="240" w:lineRule="auto"/>
              <w:ind w:firstLine="0"/>
              <w:rPr>
                <w:rFonts w:asciiTheme="minorHAnsi" w:hAnsiTheme="minorHAnsi" w:cstheme="minorHAnsi"/>
                <w:bCs w:val="0"/>
                <w:sz w:val="10"/>
                <w:szCs w:val="10"/>
              </w:rPr>
            </w:pPr>
          </w:p>
          <w:p w14:paraId="2B2FFDBD" w14:textId="77777777" w:rsidR="001F7A1E" w:rsidRPr="00A440BC" w:rsidRDefault="001F7A1E" w:rsidP="00F45910">
            <w:pPr>
              <w:pStyle w:val="USTustnpkodeksu"/>
              <w:spacing w:line="240" w:lineRule="auto"/>
              <w:ind w:firstLine="0"/>
              <w:rPr>
                <w:rFonts w:asciiTheme="minorHAnsi" w:hAnsiTheme="minorHAnsi" w:cstheme="minorHAnsi"/>
                <w:bCs w:val="0"/>
                <w:sz w:val="22"/>
                <w:szCs w:val="22"/>
              </w:rPr>
            </w:pPr>
            <w:r w:rsidRPr="00EC4F25">
              <w:rPr>
                <w:rFonts w:asciiTheme="minorHAnsi" w:hAnsiTheme="minorHAnsi" w:cstheme="minorHAnsi"/>
                <w:bCs w:val="0"/>
                <w:sz w:val="22"/>
                <w:szCs w:val="22"/>
              </w:rPr>
              <w:t xml:space="preserve">Jednak z brzmienia wskazywanych przepisów (art. 11 ust. 3 </w:t>
            </w:r>
            <w:r w:rsidRPr="00EC4F25">
              <w:rPr>
                <w:rFonts w:asciiTheme="minorHAnsi" w:hAnsiTheme="minorHAnsi" w:cstheme="minorHAnsi"/>
                <w:bCs w:val="0"/>
                <w:color w:val="FF0000"/>
                <w:sz w:val="22"/>
                <w:szCs w:val="22"/>
                <w:highlight w:val="yellow"/>
              </w:rPr>
              <w:t>"i"</w:t>
            </w:r>
            <w:r w:rsidRPr="00EC4F25">
              <w:rPr>
                <w:rFonts w:asciiTheme="minorHAnsi" w:hAnsiTheme="minorHAnsi" w:cstheme="minorHAnsi"/>
                <w:bCs w:val="0"/>
                <w:color w:val="FF0000"/>
                <w:sz w:val="22"/>
                <w:szCs w:val="22"/>
              </w:rPr>
              <w:t xml:space="preserve"> </w:t>
            </w:r>
            <w:r w:rsidRPr="00EC4F25">
              <w:rPr>
                <w:rFonts w:asciiTheme="minorHAnsi" w:hAnsiTheme="minorHAnsi" w:cstheme="minorHAnsi"/>
                <w:bCs w:val="0"/>
                <w:sz w:val="22"/>
                <w:szCs w:val="22"/>
              </w:rPr>
              <w:t xml:space="preserve">art. 11 ust. 5) wynika, że </w:t>
            </w:r>
            <w:r w:rsidRPr="00EC4F25">
              <w:rPr>
                <w:rFonts w:asciiTheme="minorHAnsi" w:hAnsiTheme="minorHAnsi" w:cstheme="minorHAnsi"/>
                <w:b/>
                <w:sz w:val="22"/>
                <w:szCs w:val="22"/>
              </w:rPr>
              <w:t>statuują one odmienne podstawy nabycia prawa do uzyskania patentu</w:t>
            </w:r>
            <w:r w:rsidRPr="00EC4F25">
              <w:rPr>
                <w:rFonts w:asciiTheme="minorHAnsi" w:hAnsiTheme="minorHAnsi" w:cstheme="minorHAnsi"/>
                <w:bCs w:val="0"/>
                <w:sz w:val="22"/>
                <w:szCs w:val="22"/>
              </w:rPr>
              <w:t xml:space="preserve">. </w:t>
            </w:r>
            <w:r w:rsidRPr="00A440BC">
              <w:rPr>
                <w:rFonts w:asciiTheme="minorHAnsi" w:hAnsiTheme="minorHAnsi" w:cstheme="minorHAnsi"/>
                <w:bCs w:val="0"/>
                <w:sz w:val="22"/>
                <w:szCs w:val="22"/>
              </w:rPr>
              <w:t xml:space="preserve">Nigdy więc nie zaistnieją kumulatywnie zarówno pierwsza </w:t>
            </w:r>
            <w:r w:rsidRPr="00A440BC">
              <w:rPr>
                <w:rFonts w:asciiTheme="minorHAnsi" w:hAnsiTheme="minorHAnsi" w:cstheme="minorHAnsi"/>
                <w:bCs w:val="0"/>
                <w:color w:val="FF0000"/>
                <w:sz w:val="22"/>
                <w:szCs w:val="22"/>
                <w:highlight w:val="yellow"/>
              </w:rPr>
              <w:t>"i"</w:t>
            </w:r>
            <w:r w:rsidRPr="00A440BC">
              <w:rPr>
                <w:rFonts w:asciiTheme="minorHAnsi" w:hAnsiTheme="minorHAnsi" w:cstheme="minorHAnsi"/>
                <w:bCs w:val="0"/>
                <w:color w:val="FF0000"/>
                <w:sz w:val="22"/>
                <w:szCs w:val="22"/>
              </w:rPr>
              <w:t xml:space="preserve"> </w:t>
            </w:r>
            <w:r w:rsidRPr="00A440BC">
              <w:rPr>
                <w:rFonts w:asciiTheme="minorHAnsi" w:hAnsiTheme="minorHAnsi" w:cstheme="minorHAnsi"/>
                <w:bCs w:val="0"/>
                <w:sz w:val="22"/>
                <w:szCs w:val="22"/>
              </w:rPr>
              <w:t>druga.</w:t>
            </w:r>
          </w:p>
          <w:p w14:paraId="2E27EBC7" w14:textId="77777777" w:rsidR="001F7A1E" w:rsidRPr="00D16DE2" w:rsidRDefault="001F7A1E" w:rsidP="00F45910">
            <w:pPr>
              <w:pStyle w:val="USTustnpkodeksu"/>
              <w:spacing w:line="240" w:lineRule="auto"/>
              <w:ind w:firstLine="0"/>
              <w:rPr>
                <w:rFonts w:asciiTheme="minorHAnsi" w:hAnsiTheme="minorHAnsi" w:cstheme="minorHAnsi"/>
                <w:bCs w:val="0"/>
                <w:sz w:val="10"/>
                <w:szCs w:val="10"/>
              </w:rPr>
            </w:pPr>
          </w:p>
          <w:p w14:paraId="4C8D0357" w14:textId="77777777" w:rsidR="001F7A1E" w:rsidRPr="00EC4F25" w:rsidRDefault="001F7A1E" w:rsidP="00F45910">
            <w:pPr>
              <w:pStyle w:val="USTustnpkodeksu"/>
              <w:spacing w:line="240" w:lineRule="auto"/>
              <w:ind w:firstLine="0"/>
              <w:rPr>
                <w:rFonts w:asciiTheme="minorHAnsi" w:hAnsiTheme="minorHAnsi" w:cstheme="minorHAnsi"/>
                <w:bCs w:val="0"/>
                <w:sz w:val="22"/>
                <w:szCs w:val="22"/>
              </w:rPr>
            </w:pPr>
            <w:r w:rsidRPr="00EC4F25">
              <w:rPr>
                <w:rFonts w:asciiTheme="minorHAnsi" w:hAnsiTheme="minorHAnsi" w:cstheme="minorHAnsi"/>
                <w:bCs w:val="0"/>
                <w:sz w:val="22"/>
                <w:szCs w:val="22"/>
              </w:rPr>
              <w:t xml:space="preserve">Tym samym, nie mogło chodzić w komentowanych przepisach o koniunkcję w zakresie podstawy nabycia prawa, ale o wskazanie przypadków, w których przepis znajdzie zastosowanie. Obecny obowiązujący i proponowany przepis - oba rozumiane literalnie - </w:t>
            </w:r>
            <w:r w:rsidRPr="00EC4F25">
              <w:rPr>
                <w:rFonts w:asciiTheme="minorHAnsi" w:hAnsiTheme="minorHAnsi" w:cstheme="minorHAnsi"/>
                <w:b/>
                <w:sz w:val="22"/>
                <w:szCs w:val="22"/>
              </w:rPr>
              <w:t>wykluczają prawo do wynagrodzenia twórcy</w:t>
            </w:r>
            <w:r w:rsidRPr="00EC4F25">
              <w:rPr>
                <w:rFonts w:asciiTheme="minorHAnsi" w:hAnsiTheme="minorHAnsi" w:cstheme="minorHAnsi"/>
                <w:bCs w:val="0"/>
                <w:sz w:val="22"/>
                <w:szCs w:val="22"/>
              </w:rPr>
              <w:t>, gdyż w praktyce nie zdarzy się, aby wynikało ono ze wszystkich wskazywanych podstaw równocześnie, a jedynie wówczas twórcy miałoby przysługiwać wynagrodzenie.</w:t>
            </w:r>
          </w:p>
          <w:p w14:paraId="3D8D5FF1" w14:textId="77777777" w:rsidR="001F7A1E" w:rsidRPr="00EC4F25" w:rsidRDefault="001F7A1E" w:rsidP="00F45910">
            <w:pPr>
              <w:pStyle w:val="USTustnpkodeksu"/>
              <w:spacing w:line="240" w:lineRule="auto"/>
              <w:ind w:firstLine="0"/>
              <w:rPr>
                <w:rFonts w:asciiTheme="minorHAnsi" w:hAnsiTheme="minorHAnsi" w:cstheme="minorHAnsi"/>
                <w:bCs w:val="0"/>
                <w:sz w:val="22"/>
                <w:szCs w:val="22"/>
              </w:rPr>
            </w:pPr>
            <w:r w:rsidRPr="00EC4F25">
              <w:rPr>
                <w:rFonts w:asciiTheme="minorHAnsi" w:hAnsiTheme="minorHAnsi" w:cstheme="minorHAnsi"/>
                <w:bCs w:val="0"/>
                <w:sz w:val="22"/>
                <w:szCs w:val="22"/>
              </w:rPr>
              <w:t>Dla uproszczenia i przykładu załóżmy, że nagrodami w jakiejś loterii mogą być np.: samochód, biżuteria i bilet do teatru. Wówczas słusznie w przypadku, gdy wymieniamy nagrody, które przygotował organizator posłużymy się spójnikiem „</w:t>
            </w:r>
            <w:r w:rsidRPr="00EC4F25">
              <w:rPr>
                <w:rFonts w:asciiTheme="minorHAnsi" w:hAnsiTheme="minorHAnsi" w:cstheme="minorHAnsi"/>
                <w:bCs w:val="0"/>
                <w:i/>
                <w:iCs/>
                <w:sz w:val="22"/>
                <w:szCs w:val="22"/>
              </w:rPr>
              <w:t>i”</w:t>
            </w:r>
            <w:r w:rsidRPr="00EC4F25">
              <w:rPr>
                <w:rFonts w:asciiTheme="minorHAnsi" w:hAnsiTheme="minorHAnsi" w:cstheme="minorHAnsi"/>
                <w:bCs w:val="0"/>
                <w:sz w:val="22"/>
                <w:szCs w:val="22"/>
              </w:rPr>
              <w:t xml:space="preserve"> - koniunkcją.</w:t>
            </w:r>
          </w:p>
          <w:p w14:paraId="52DD9514" w14:textId="77777777" w:rsidR="001F7A1E" w:rsidRPr="00EC4F25" w:rsidRDefault="001F7A1E" w:rsidP="00F45910">
            <w:pPr>
              <w:pStyle w:val="USTustnpkodeksu"/>
              <w:spacing w:line="240" w:lineRule="auto"/>
              <w:ind w:firstLine="0"/>
              <w:rPr>
                <w:rFonts w:asciiTheme="minorHAnsi" w:hAnsiTheme="minorHAnsi" w:cstheme="minorHAnsi"/>
                <w:bCs w:val="0"/>
                <w:sz w:val="22"/>
                <w:szCs w:val="22"/>
              </w:rPr>
            </w:pPr>
            <w:r w:rsidRPr="00EC4F25">
              <w:rPr>
                <w:rFonts w:asciiTheme="minorHAnsi" w:hAnsiTheme="minorHAnsi" w:cstheme="minorHAnsi"/>
                <w:bCs w:val="0"/>
                <w:sz w:val="22"/>
                <w:szCs w:val="22"/>
              </w:rPr>
              <w:t>Natomiast w przypadku, gdy wymieniamy nagrody z punktu widzenia uczestnika loterii, który dysponuje jednym losem (jednym prawem do wynagrodzenia) - należy posłużyć się alternatywą rozłączną „</w:t>
            </w:r>
            <w:r w:rsidRPr="00EC4F25">
              <w:rPr>
                <w:rFonts w:asciiTheme="minorHAnsi" w:hAnsiTheme="minorHAnsi" w:cstheme="minorHAnsi"/>
                <w:bCs w:val="0"/>
                <w:i/>
                <w:iCs/>
                <w:sz w:val="22"/>
                <w:szCs w:val="22"/>
              </w:rPr>
              <w:t>albo</w:t>
            </w:r>
            <w:r w:rsidRPr="00EC4F25">
              <w:rPr>
                <w:rFonts w:asciiTheme="minorHAnsi" w:hAnsiTheme="minorHAnsi" w:cstheme="minorHAnsi"/>
                <w:bCs w:val="0"/>
                <w:sz w:val="22"/>
                <w:szCs w:val="22"/>
              </w:rPr>
              <w:t>”, ponieważ wygrać może tylko jedną z trzech wymienionych nagród (pierwszą albo drugą, albo trzecią nagrodę).</w:t>
            </w:r>
          </w:p>
          <w:p w14:paraId="1EE38E60" w14:textId="77777777" w:rsidR="001F7A1E" w:rsidRPr="00EC4F25" w:rsidRDefault="001F7A1E" w:rsidP="00F45910">
            <w:pPr>
              <w:pStyle w:val="USTustnpkodeksu"/>
              <w:spacing w:line="240" w:lineRule="auto"/>
              <w:ind w:firstLine="0"/>
              <w:rPr>
                <w:rFonts w:asciiTheme="minorHAnsi" w:hAnsiTheme="minorHAnsi" w:cstheme="minorHAnsi"/>
                <w:sz w:val="22"/>
                <w:szCs w:val="22"/>
                <w:lang w:val="en-US"/>
              </w:rPr>
            </w:pPr>
            <w:r w:rsidRPr="00EC4F25">
              <w:rPr>
                <w:rFonts w:asciiTheme="minorHAnsi" w:hAnsiTheme="minorHAnsi" w:cstheme="minorHAnsi"/>
                <w:bCs w:val="0"/>
                <w:sz w:val="22"/>
                <w:szCs w:val="22"/>
              </w:rPr>
              <w:t>Przepis sformułowany został z pozycji uprawnienia twórcy (</w:t>
            </w:r>
            <w:r w:rsidRPr="00EC4F25">
              <w:rPr>
                <w:rFonts w:asciiTheme="minorHAnsi" w:hAnsiTheme="minorHAnsi" w:cstheme="minorHAnsi"/>
                <w:bCs w:val="0"/>
                <w:i/>
                <w:iCs/>
                <w:sz w:val="22"/>
                <w:szCs w:val="22"/>
              </w:rPr>
              <w:t xml:space="preserve">vide - </w:t>
            </w:r>
            <w:r w:rsidRPr="00EC4F25">
              <w:rPr>
                <w:rFonts w:asciiTheme="minorHAnsi" w:hAnsiTheme="minorHAnsi" w:cstheme="minorHAnsi"/>
                <w:bCs w:val="0"/>
                <w:sz w:val="22"/>
                <w:szCs w:val="22"/>
              </w:rPr>
              <w:t>uczestnik loterii): „</w:t>
            </w:r>
            <w:r w:rsidRPr="00EC4F25">
              <w:rPr>
                <w:rFonts w:asciiTheme="minorHAnsi" w:hAnsiTheme="minorHAnsi" w:cstheme="minorHAnsi"/>
                <w:i/>
                <w:iCs/>
                <w:sz w:val="22"/>
                <w:szCs w:val="22"/>
                <w:shd w:val="clear" w:color="auto" w:fill="E2EFD9" w:themeFill="accent6" w:themeFillTint="33"/>
              </w:rPr>
              <w:t>twórca projektu wynalazczego</w:t>
            </w:r>
            <w:r w:rsidRPr="00EC4F25">
              <w:rPr>
                <w:rFonts w:asciiTheme="minorHAnsi" w:hAnsiTheme="minorHAnsi" w:cstheme="minorHAnsi"/>
                <w:i/>
                <w:iCs/>
                <w:sz w:val="22"/>
                <w:szCs w:val="22"/>
              </w:rPr>
              <w:t xml:space="preserve"> </w:t>
            </w:r>
            <w:r w:rsidRPr="00EC4F25">
              <w:rPr>
                <w:rFonts w:asciiTheme="minorHAnsi" w:hAnsiTheme="minorHAnsi" w:cstheme="minorHAnsi"/>
                <w:i/>
                <w:iCs/>
                <w:sz w:val="22"/>
                <w:szCs w:val="22"/>
                <w:shd w:val="clear" w:color="auto" w:fill="D9E2F3" w:themeFill="accent1" w:themeFillTint="33"/>
              </w:rPr>
              <w:t>ma prawo do wynagrodzenia za korzystanie z tego wynalazku”</w:t>
            </w:r>
            <w:r w:rsidRPr="00EC4F25">
              <w:rPr>
                <w:rFonts w:asciiTheme="minorHAnsi" w:hAnsiTheme="minorHAnsi" w:cstheme="minorHAnsi"/>
                <w:sz w:val="22"/>
                <w:szCs w:val="22"/>
              </w:rPr>
              <w:t xml:space="preserve">, a więc wynagrodzenie jest mu należne w jednej z trzech wymienionych sytuacji. Przepis natomiast sformułowany został tak, jakby wynagrodzenie przysługiwało twórcy jedynie pod warunkiem i wyłącznie wówczas, gdy zajdzie każda z wymienionych sytuacji: pierwsza </w:t>
            </w:r>
            <w:r w:rsidRPr="00EC4F25">
              <w:rPr>
                <w:rFonts w:asciiTheme="minorHAnsi" w:hAnsiTheme="minorHAnsi" w:cstheme="minorHAnsi"/>
                <w:bCs w:val="0"/>
                <w:color w:val="FF0000"/>
                <w:sz w:val="22"/>
                <w:szCs w:val="22"/>
                <w:highlight w:val="yellow"/>
              </w:rPr>
              <w:t>"i"</w:t>
            </w:r>
            <w:r w:rsidRPr="00EC4F25">
              <w:rPr>
                <w:rFonts w:asciiTheme="minorHAnsi" w:hAnsiTheme="minorHAnsi" w:cstheme="minorHAnsi"/>
                <w:bCs w:val="0"/>
                <w:color w:val="FF0000"/>
                <w:sz w:val="22"/>
                <w:szCs w:val="22"/>
              </w:rPr>
              <w:t xml:space="preserve"> </w:t>
            </w:r>
            <w:r w:rsidRPr="00EC4F25">
              <w:rPr>
                <w:rFonts w:asciiTheme="minorHAnsi" w:hAnsiTheme="minorHAnsi" w:cstheme="minorHAnsi"/>
                <w:sz w:val="22"/>
                <w:szCs w:val="22"/>
              </w:rPr>
              <w:t xml:space="preserve">druga. </w:t>
            </w:r>
            <w:proofErr w:type="spellStart"/>
            <w:r w:rsidRPr="00EC4F25">
              <w:rPr>
                <w:rFonts w:asciiTheme="minorHAnsi" w:hAnsiTheme="minorHAnsi" w:cstheme="minorHAnsi"/>
                <w:sz w:val="22"/>
                <w:szCs w:val="22"/>
                <w:lang w:val="en-US"/>
              </w:rPr>
              <w:t>Dlatego</w:t>
            </w:r>
            <w:proofErr w:type="spellEnd"/>
            <w:r w:rsidRPr="00EC4F25">
              <w:rPr>
                <w:rFonts w:asciiTheme="minorHAnsi" w:hAnsiTheme="minorHAnsi" w:cstheme="minorHAnsi"/>
                <w:sz w:val="22"/>
                <w:szCs w:val="22"/>
                <w:lang w:val="en-US"/>
              </w:rPr>
              <w:t xml:space="preserve"> </w:t>
            </w:r>
            <w:proofErr w:type="spellStart"/>
            <w:r w:rsidRPr="00EC4F25">
              <w:rPr>
                <w:rFonts w:asciiTheme="minorHAnsi" w:hAnsiTheme="minorHAnsi" w:cstheme="minorHAnsi"/>
                <w:sz w:val="22"/>
                <w:szCs w:val="22"/>
                <w:lang w:val="en-US"/>
              </w:rPr>
              <w:t>zastosowanie</w:t>
            </w:r>
            <w:proofErr w:type="spellEnd"/>
            <w:r w:rsidRPr="00EC4F25">
              <w:rPr>
                <w:rFonts w:asciiTheme="minorHAnsi" w:hAnsiTheme="minorHAnsi" w:cstheme="minorHAnsi"/>
                <w:sz w:val="22"/>
                <w:szCs w:val="22"/>
                <w:lang w:val="en-US"/>
              </w:rPr>
              <w:t xml:space="preserve"> </w:t>
            </w:r>
            <w:proofErr w:type="spellStart"/>
            <w:r w:rsidRPr="00EC4F25">
              <w:rPr>
                <w:rFonts w:asciiTheme="minorHAnsi" w:hAnsiTheme="minorHAnsi" w:cstheme="minorHAnsi"/>
                <w:sz w:val="22"/>
                <w:szCs w:val="22"/>
                <w:lang w:val="en-US"/>
              </w:rPr>
              <w:t>spójnika</w:t>
            </w:r>
            <w:proofErr w:type="spellEnd"/>
            <w:r w:rsidRPr="00EC4F25">
              <w:rPr>
                <w:rFonts w:asciiTheme="minorHAnsi" w:hAnsiTheme="minorHAnsi" w:cstheme="minorHAnsi"/>
                <w:sz w:val="22"/>
                <w:szCs w:val="22"/>
                <w:lang w:val="en-US"/>
              </w:rPr>
              <w:t xml:space="preserve"> „</w:t>
            </w:r>
            <w:r w:rsidRPr="00EC4F25">
              <w:rPr>
                <w:rFonts w:asciiTheme="minorHAnsi" w:hAnsiTheme="minorHAnsi" w:cstheme="minorHAnsi"/>
                <w:i/>
                <w:iCs/>
                <w:sz w:val="22"/>
                <w:szCs w:val="22"/>
                <w:lang w:val="en-US"/>
              </w:rPr>
              <w:t xml:space="preserve">i” </w:t>
            </w:r>
            <w:r w:rsidRPr="00EC4F25">
              <w:rPr>
                <w:rFonts w:asciiTheme="minorHAnsi" w:hAnsiTheme="minorHAnsi" w:cstheme="minorHAnsi"/>
                <w:sz w:val="22"/>
                <w:szCs w:val="22"/>
                <w:lang w:val="en-US"/>
              </w:rPr>
              <w:t xml:space="preserve">jest </w:t>
            </w:r>
            <w:proofErr w:type="spellStart"/>
            <w:r w:rsidRPr="00EC4F25">
              <w:rPr>
                <w:rFonts w:asciiTheme="minorHAnsi" w:hAnsiTheme="minorHAnsi" w:cstheme="minorHAnsi"/>
                <w:sz w:val="22"/>
                <w:szCs w:val="22"/>
                <w:lang w:val="en-US"/>
              </w:rPr>
              <w:t>nieuprawnione</w:t>
            </w:r>
            <w:proofErr w:type="spellEnd"/>
            <w:r w:rsidRPr="00EC4F25">
              <w:rPr>
                <w:rFonts w:asciiTheme="minorHAnsi" w:hAnsiTheme="minorHAnsi" w:cstheme="minorHAnsi"/>
                <w:sz w:val="22"/>
                <w:szCs w:val="22"/>
                <w:lang w:val="en-US"/>
              </w:rPr>
              <w:t>.</w:t>
            </w:r>
          </w:p>
          <w:p w14:paraId="2E846A09" w14:textId="77777777" w:rsidR="001F7A1E" w:rsidRPr="00D16DE2" w:rsidRDefault="001F7A1E" w:rsidP="0064620B">
            <w:pPr>
              <w:pStyle w:val="USTustnpkodeksu"/>
              <w:spacing w:line="240" w:lineRule="auto"/>
              <w:ind w:firstLine="0"/>
              <w:rPr>
                <w:rFonts w:asciiTheme="minorHAnsi" w:hAnsiTheme="minorHAnsi" w:cstheme="minorHAnsi"/>
                <w:b/>
                <w:sz w:val="10"/>
                <w:szCs w:val="10"/>
                <w:lang w:val="en-US"/>
              </w:rPr>
            </w:pPr>
          </w:p>
        </w:tc>
      </w:tr>
    </w:tbl>
    <w:p w14:paraId="69C83C0C" w14:textId="77777777" w:rsidR="001F7A1E" w:rsidRPr="00EC4F25" w:rsidRDefault="001F7A1E" w:rsidP="001F7A1E">
      <w:pPr>
        <w:spacing w:after="0" w:line="240" w:lineRule="auto"/>
        <w:jc w:val="center"/>
        <w:rPr>
          <w:rFonts w:cstheme="minorHAnsi"/>
          <w:lang w:val="en-US"/>
        </w:rPr>
      </w:pPr>
    </w:p>
    <w:p w14:paraId="41B48C6C" w14:textId="77777777" w:rsidR="001F7A1E" w:rsidRPr="00EC4F25" w:rsidRDefault="001F7A1E" w:rsidP="001F7A1E">
      <w:pPr>
        <w:spacing w:after="0" w:line="240" w:lineRule="auto"/>
        <w:jc w:val="center"/>
        <w:rPr>
          <w:rFonts w:cstheme="minorHAnsi"/>
        </w:rPr>
      </w:pPr>
      <w:r w:rsidRPr="00EC4F25">
        <w:rPr>
          <w:rFonts w:cstheme="minorHAnsi"/>
        </w:rPr>
        <w:t>+++</w:t>
      </w:r>
    </w:p>
    <w:bookmarkEnd w:id="122"/>
    <w:p w14:paraId="467BF2EF" w14:textId="77777777" w:rsidR="001F7A1E" w:rsidRPr="00EC4F25" w:rsidRDefault="001F7A1E" w:rsidP="001F7A1E">
      <w:pPr>
        <w:spacing w:after="0" w:line="240" w:lineRule="auto"/>
        <w:jc w:val="center"/>
        <w:rPr>
          <w:rFonts w:cstheme="minorHAnsi"/>
        </w:rPr>
      </w:pPr>
    </w:p>
    <w:tbl>
      <w:tblPr>
        <w:tblStyle w:val="Tabela-Siatka"/>
        <w:tblW w:w="0" w:type="auto"/>
        <w:tblLook w:val="04A0" w:firstRow="1" w:lastRow="0" w:firstColumn="1" w:lastColumn="0" w:noHBand="0" w:noVBand="1"/>
      </w:tblPr>
      <w:tblGrid>
        <w:gridCol w:w="4611"/>
        <w:gridCol w:w="4445"/>
      </w:tblGrid>
      <w:tr w:rsidR="001F7A1E" w:rsidRPr="00DB51DA" w14:paraId="72195549" w14:textId="77777777" w:rsidTr="00F45910">
        <w:tc>
          <w:tcPr>
            <w:tcW w:w="4611" w:type="dxa"/>
            <w:shd w:val="clear" w:color="auto" w:fill="F2F2F2" w:themeFill="background1" w:themeFillShade="F2"/>
          </w:tcPr>
          <w:p w14:paraId="1C23A3A7" w14:textId="77777777" w:rsidR="001F7A1E" w:rsidRPr="00EC4F25" w:rsidRDefault="001F7A1E" w:rsidP="00F45910">
            <w:pPr>
              <w:jc w:val="center"/>
              <w:rPr>
                <w:rFonts w:asciiTheme="minorHAnsi" w:hAnsiTheme="minorHAnsi" w:cstheme="minorHAnsi"/>
                <w:b/>
                <w:sz w:val="22"/>
                <w:szCs w:val="22"/>
              </w:rPr>
            </w:pPr>
            <w:bookmarkStart w:id="123" w:name="_Hlk168518508"/>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1E49F591" w14:textId="2653ED58" w:rsidR="001F7A1E" w:rsidRPr="00A440BC" w:rsidRDefault="001F7A1E" w:rsidP="00F45910">
            <w:pPr>
              <w:jc w:val="center"/>
              <w:rPr>
                <w:rFonts w:asciiTheme="minorHAnsi" w:hAnsiTheme="minorHAnsi" w:cstheme="minorHAnsi"/>
                <w:b/>
                <w:sz w:val="22"/>
                <w:szCs w:val="22"/>
              </w:rPr>
            </w:pPr>
          </w:p>
        </w:tc>
        <w:tc>
          <w:tcPr>
            <w:tcW w:w="4445" w:type="dxa"/>
            <w:shd w:val="clear" w:color="auto" w:fill="F2F2F2" w:themeFill="background1" w:themeFillShade="F2"/>
          </w:tcPr>
          <w:p w14:paraId="165E827C" w14:textId="77777777"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42C09B79" w14:textId="7CC50881" w:rsidR="001F7A1E" w:rsidRPr="00A440BC" w:rsidRDefault="001F7A1E" w:rsidP="00F45910">
            <w:pPr>
              <w:jc w:val="center"/>
              <w:rPr>
                <w:rFonts w:asciiTheme="minorHAnsi" w:hAnsiTheme="minorHAnsi" w:cstheme="minorHAnsi"/>
                <w:b/>
                <w:sz w:val="22"/>
                <w:szCs w:val="22"/>
              </w:rPr>
            </w:pPr>
          </w:p>
        </w:tc>
      </w:tr>
      <w:tr w:rsidR="001F7A1E" w:rsidRPr="00EC4F25" w14:paraId="3CC64BC5" w14:textId="77777777" w:rsidTr="00F45910">
        <w:tc>
          <w:tcPr>
            <w:tcW w:w="4611" w:type="dxa"/>
          </w:tcPr>
          <w:p w14:paraId="50E9B3AD" w14:textId="77777777" w:rsidR="001F7A1E" w:rsidRPr="00EC4F25" w:rsidRDefault="001F7A1E" w:rsidP="00F45910">
            <w:pPr>
              <w:shd w:val="clear" w:color="auto" w:fill="FFFFFF"/>
              <w:rPr>
                <w:rFonts w:asciiTheme="minorHAnsi" w:hAnsiTheme="minorHAnsi" w:cstheme="minorHAnsi"/>
                <w:b/>
                <w:bCs/>
                <w:color w:val="333333"/>
                <w:sz w:val="22"/>
                <w:szCs w:val="22"/>
              </w:rPr>
            </w:pPr>
            <w:r w:rsidRPr="00DB51DA">
              <w:rPr>
                <w:rFonts w:asciiTheme="minorHAnsi" w:hAnsiTheme="minorHAnsi" w:cstheme="minorHAnsi"/>
                <w:b/>
                <w:bCs/>
                <w:color w:val="333333"/>
                <w:sz w:val="22"/>
                <w:szCs w:val="22"/>
              </w:rPr>
              <w:br/>
            </w:r>
            <w:r w:rsidRPr="00EC4F25">
              <w:rPr>
                <w:rFonts w:asciiTheme="minorHAnsi" w:hAnsiTheme="minorHAnsi" w:cstheme="minorHAnsi"/>
                <w:b/>
                <w:bCs/>
                <w:color w:val="333333"/>
                <w:sz w:val="22"/>
                <w:szCs w:val="22"/>
              </w:rPr>
              <w:t>Art. 12 [Zbywalność praw]</w:t>
            </w:r>
            <w:bookmarkStart w:id="124" w:name="mip57779486"/>
            <w:bookmarkEnd w:id="124"/>
          </w:p>
          <w:p w14:paraId="309ECBE4"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Fonts w:asciiTheme="minorHAnsi" w:hAnsiTheme="minorHAnsi" w:cstheme="minorHAnsi"/>
                <w:color w:val="333333"/>
                <w:sz w:val="22"/>
                <w:szCs w:val="22"/>
              </w:rPr>
              <w:t xml:space="preserve">1. </w:t>
            </w:r>
            <w:r w:rsidRPr="00EC4F25">
              <w:rPr>
                <w:rFonts w:asciiTheme="minorHAnsi" w:hAnsiTheme="minorHAnsi" w:cstheme="minorHAnsi"/>
                <w:color w:val="333333"/>
                <w:sz w:val="22"/>
                <w:szCs w:val="22"/>
                <w:shd w:val="clear" w:color="auto" w:fill="D9E2F3" w:themeFill="accent1" w:themeFillTint="33"/>
              </w:rPr>
              <w:t>Prawo do uzyskania patentu</w:t>
            </w:r>
            <w:r w:rsidRPr="00EC4F25">
              <w:rPr>
                <w:rFonts w:asciiTheme="minorHAnsi" w:hAnsiTheme="minorHAnsi" w:cstheme="minorHAnsi"/>
                <w:color w:val="333333"/>
                <w:sz w:val="22"/>
                <w:szCs w:val="22"/>
              </w:rPr>
              <w:t xml:space="preserve"> na wynalazek, prawa ochronnego na wzór użytkowy albo prawa z rejestracji wzoru przemysłowego jest </w:t>
            </w:r>
            <w:r w:rsidRPr="00EC4F25">
              <w:rPr>
                <w:rFonts w:asciiTheme="minorHAnsi" w:hAnsiTheme="minorHAnsi" w:cstheme="minorHAnsi"/>
                <w:color w:val="333333"/>
                <w:sz w:val="22"/>
                <w:szCs w:val="22"/>
                <w:shd w:val="clear" w:color="auto" w:fill="D9E2F3" w:themeFill="accent1" w:themeFillTint="33"/>
              </w:rPr>
              <w:t>zbywalne i podlega dziedziczeniu.</w:t>
            </w:r>
          </w:p>
          <w:p w14:paraId="5700ADB6" w14:textId="77777777" w:rsidR="001F7A1E" w:rsidRPr="00EC4F25" w:rsidRDefault="001F7A1E" w:rsidP="00F45910">
            <w:pPr>
              <w:shd w:val="clear" w:color="auto" w:fill="FFFFFF"/>
              <w:rPr>
                <w:rFonts w:asciiTheme="minorHAnsi" w:hAnsiTheme="minorHAnsi" w:cstheme="minorHAnsi"/>
                <w:color w:val="333333"/>
                <w:sz w:val="22"/>
                <w:szCs w:val="22"/>
              </w:rPr>
            </w:pPr>
            <w:bookmarkStart w:id="125" w:name="mip57779487"/>
            <w:bookmarkEnd w:id="125"/>
            <w:r w:rsidRPr="00EC4F25">
              <w:rPr>
                <w:rFonts w:asciiTheme="minorHAnsi" w:hAnsiTheme="minorHAnsi" w:cstheme="minorHAnsi"/>
                <w:color w:val="333333"/>
                <w:sz w:val="22"/>
                <w:szCs w:val="22"/>
              </w:rPr>
              <w:t>2. Umowa o przeniesienie prawa, o którym mowa w ust. 1, wymaga, pod rygorem nieważności, zachowania formy pisemnej.</w:t>
            </w:r>
          </w:p>
          <w:p w14:paraId="50150EAF" w14:textId="77777777" w:rsidR="001F7A1E" w:rsidRPr="00D16DE2" w:rsidRDefault="001F7A1E" w:rsidP="00F45910">
            <w:pPr>
              <w:shd w:val="clear" w:color="auto" w:fill="FFFFFF"/>
              <w:rPr>
                <w:rFonts w:asciiTheme="minorHAnsi" w:hAnsiTheme="minorHAnsi" w:cstheme="minorHAnsi"/>
                <w:color w:val="333333"/>
                <w:sz w:val="10"/>
                <w:szCs w:val="10"/>
              </w:rPr>
            </w:pPr>
          </w:p>
          <w:p w14:paraId="52E13B2C" w14:textId="77777777" w:rsidR="001F7A1E" w:rsidRPr="00EC4F25" w:rsidRDefault="001F7A1E" w:rsidP="00F45910">
            <w:pPr>
              <w:shd w:val="clear" w:color="auto" w:fill="FFFFFF"/>
              <w:rPr>
                <w:rFonts w:asciiTheme="minorHAnsi" w:hAnsiTheme="minorHAnsi" w:cstheme="minorHAnsi"/>
                <w:color w:val="333333"/>
                <w:sz w:val="22"/>
                <w:szCs w:val="22"/>
              </w:rPr>
            </w:pPr>
            <w:r w:rsidRPr="00EC4F25">
              <w:rPr>
                <w:rStyle w:val="articletitle"/>
                <w:rFonts w:asciiTheme="minorHAnsi" w:hAnsiTheme="minorHAnsi" w:cstheme="minorHAnsi"/>
                <w:b/>
                <w:bCs/>
                <w:color w:val="333333"/>
                <w:sz w:val="22"/>
                <w:szCs w:val="22"/>
                <w:shd w:val="clear" w:color="auto" w:fill="FFFFFF"/>
              </w:rPr>
              <w:t>Art. 20 [Zbycie i przekazanie prawa] </w:t>
            </w:r>
            <w:r w:rsidRPr="00EC4F25">
              <w:rPr>
                <w:rFonts w:asciiTheme="minorHAnsi" w:hAnsiTheme="minorHAnsi" w:cstheme="minorHAnsi"/>
                <w:color w:val="333333"/>
                <w:sz w:val="22"/>
                <w:szCs w:val="22"/>
                <w:shd w:val="clear" w:color="auto" w:fill="FFFFFF"/>
              </w:rPr>
              <w:t xml:space="preserve">Twórca wynalazku, wzoru użytkowego albo wzoru przemysłowego uprawniony do uzyskania patentu, prawa ochronnego lub prawa z rejestracji </w:t>
            </w:r>
            <w:r w:rsidRPr="00EC4F25">
              <w:rPr>
                <w:rFonts w:asciiTheme="minorHAnsi" w:hAnsiTheme="minorHAnsi" w:cstheme="minorHAnsi"/>
                <w:color w:val="333333"/>
                <w:sz w:val="22"/>
                <w:szCs w:val="22"/>
                <w:shd w:val="clear" w:color="auto" w:fill="D9E2F3" w:themeFill="accent1" w:themeFillTint="33"/>
              </w:rPr>
              <w:t>może przenieść to prawo</w:t>
            </w:r>
            <w:r w:rsidRPr="00EC4F25">
              <w:rPr>
                <w:rFonts w:asciiTheme="minorHAnsi" w:hAnsiTheme="minorHAnsi" w:cstheme="minorHAnsi"/>
                <w:color w:val="333333"/>
                <w:sz w:val="22"/>
                <w:szCs w:val="22"/>
                <w:shd w:val="clear" w:color="auto" w:fill="FFFFFF"/>
              </w:rPr>
              <w:t xml:space="preserve"> nieodpłatnie lub za uzgodnioną zapłatą na rzecz przedsiębiorcy albo przekazać mu wynalazek, wzór użytkowy albo wzór przemysłowy do korzystania.</w:t>
            </w:r>
          </w:p>
          <w:p w14:paraId="25A7DA88"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p>
        </w:tc>
        <w:tc>
          <w:tcPr>
            <w:tcW w:w="4445" w:type="dxa"/>
          </w:tcPr>
          <w:p w14:paraId="33775B30" w14:textId="77777777" w:rsidR="001F7A1E" w:rsidRPr="00EC4F25" w:rsidRDefault="001F7A1E" w:rsidP="00F45910">
            <w:pPr>
              <w:pStyle w:val="Default"/>
              <w:rPr>
                <w:rFonts w:asciiTheme="minorHAnsi" w:hAnsiTheme="minorHAnsi" w:cstheme="minorHAnsi"/>
                <w:b/>
                <w:bCs/>
                <w:sz w:val="22"/>
                <w:szCs w:val="22"/>
              </w:rPr>
            </w:pPr>
          </w:p>
          <w:p w14:paraId="04F21ABB" w14:textId="77777777" w:rsidR="001F7A1E" w:rsidRPr="00EC4F25" w:rsidRDefault="001F7A1E" w:rsidP="00F45910">
            <w:pPr>
              <w:pStyle w:val="Default"/>
              <w:rPr>
                <w:rFonts w:asciiTheme="minorHAnsi" w:hAnsiTheme="minorHAnsi" w:cstheme="minorHAnsi"/>
                <w:b/>
                <w:bCs/>
                <w:sz w:val="22"/>
                <w:szCs w:val="22"/>
              </w:rPr>
            </w:pPr>
            <w:r w:rsidRPr="00EC4F25">
              <w:rPr>
                <w:rFonts w:asciiTheme="minorHAnsi" w:hAnsiTheme="minorHAnsi" w:cstheme="minorHAnsi"/>
                <w:b/>
                <w:bCs/>
                <w:sz w:val="22"/>
                <w:szCs w:val="22"/>
              </w:rPr>
              <w:t xml:space="preserve">Art. 8. </w:t>
            </w:r>
          </w:p>
          <w:p w14:paraId="56F826B0"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sz w:val="22"/>
                <w:szCs w:val="22"/>
              </w:rPr>
              <w:t xml:space="preserve">1. </w:t>
            </w:r>
            <w:r w:rsidRPr="00EC4F25">
              <w:rPr>
                <w:rFonts w:asciiTheme="minorHAnsi" w:hAnsiTheme="minorHAnsi" w:cstheme="minorHAnsi"/>
                <w:sz w:val="22"/>
                <w:szCs w:val="22"/>
                <w:shd w:val="clear" w:color="auto" w:fill="D9E2F3" w:themeFill="accent1" w:themeFillTint="33"/>
              </w:rPr>
              <w:t>Prawa do uzyskania patentu</w:t>
            </w:r>
            <w:r w:rsidRPr="00EC4F25">
              <w:rPr>
                <w:rFonts w:asciiTheme="minorHAnsi" w:hAnsiTheme="minorHAnsi" w:cstheme="minorHAnsi"/>
                <w:sz w:val="22"/>
                <w:szCs w:val="22"/>
              </w:rPr>
              <w:t xml:space="preserve">, dodatkowego prawa ochronnego, prawa ochronnego oraz prawa z rejestracji są </w:t>
            </w:r>
          </w:p>
          <w:p w14:paraId="08F114F8"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sz w:val="22"/>
                <w:szCs w:val="22"/>
                <w:shd w:val="clear" w:color="auto" w:fill="D9E2F3" w:themeFill="accent1" w:themeFillTint="33"/>
              </w:rPr>
              <w:t>zbywalne i podlegają dziedziczeniu</w:t>
            </w:r>
            <w:r w:rsidRPr="00EC4F25">
              <w:rPr>
                <w:rFonts w:asciiTheme="minorHAnsi" w:hAnsiTheme="minorHAnsi" w:cstheme="minorHAnsi"/>
                <w:sz w:val="22"/>
                <w:szCs w:val="22"/>
              </w:rPr>
              <w:t xml:space="preserve">. </w:t>
            </w:r>
          </w:p>
          <w:p w14:paraId="23BE1835"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sz w:val="22"/>
                <w:szCs w:val="22"/>
              </w:rPr>
              <w:t xml:space="preserve">2. Umowa o przeniesienie prawa, o którym mowa w ust. 1, wymaga, pod rygorem nieważności, zachowania formy pisemnej. </w:t>
            </w:r>
          </w:p>
          <w:p w14:paraId="4EB35FE0" w14:textId="77777777" w:rsidR="001F7A1E" w:rsidRPr="00D16DE2" w:rsidRDefault="001F7A1E" w:rsidP="00F45910">
            <w:pPr>
              <w:pStyle w:val="Default"/>
              <w:rPr>
                <w:rFonts w:asciiTheme="minorHAnsi" w:hAnsiTheme="minorHAnsi" w:cstheme="minorHAnsi"/>
                <w:b/>
                <w:bCs/>
                <w:sz w:val="10"/>
                <w:szCs w:val="10"/>
              </w:rPr>
            </w:pPr>
          </w:p>
          <w:p w14:paraId="5271FE2C"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b/>
                <w:bCs/>
                <w:sz w:val="22"/>
                <w:szCs w:val="22"/>
              </w:rPr>
              <w:t xml:space="preserve">Art. 9. </w:t>
            </w:r>
            <w:r w:rsidRPr="00EC4F25">
              <w:rPr>
                <w:rFonts w:asciiTheme="minorHAnsi" w:hAnsiTheme="minorHAnsi" w:cstheme="minorHAnsi"/>
                <w:sz w:val="22"/>
                <w:szCs w:val="22"/>
              </w:rPr>
              <w:t xml:space="preserve">1. Twórca projektu wynalazczego uprawniony do uzyskania patentu lub prawa z rejestracji </w:t>
            </w:r>
            <w:r w:rsidRPr="00EC4F25">
              <w:rPr>
                <w:rFonts w:asciiTheme="minorHAnsi" w:hAnsiTheme="minorHAnsi" w:cstheme="minorHAnsi"/>
                <w:sz w:val="22"/>
                <w:szCs w:val="22"/>
                <w:shd w:val="clear" w:color="auto" w:fill="D9E2F3" w:themeFill="accent1" w:themeFillTint="33"/>
              </w:rPr>
              <w:t>może</w:t>
            </w:r>
            <w:r w:rsidRPr="00EC4F25">
              <w:rPr>
                <w:rFonts w:asciiTheme="minorHAnsi" w:hAnsiTheme="minorHAnsi" w:cstheme="minorHAnsi"/>
                <w:sz w:val="22"/>
                <w:szCs w:val="22"/>
              </w:rPr>
              <w:t xml:space="preserve"> nieodpłatnie albo za uzgodnioną zapłatą </w:t>
            </w:r>
            <w:r w:rsidRPr="00EC4F25">
              <w:rPr>
                <w:rFonts w:asciiTheme="minorHAnsi" w:hAnsiTheme="minorHAnsi" w:cstheme="minorHAnsi"/>
                <w:sz w:val="22"/>
                <w:szCs w:val="22"/>
                <w:shd w:val="clear" w:color="auto" w:fill="D9E2F3" w:themeFill="accent1" w:themeFillTint="33"/>
              </w:rPr>
              <w:t>przenieść to prawo</w:t>
            </w:r>
            <w:r w:rsidRPr="00EC4F25">
              <w:rPr>
                <w:rFonts w:asciiTheme="minorHAnsi" w:hAnsiTheme="minorHAnsi" w:cstheme="minorHAnsi"/>
                <w:sz w:val="22"/>
                <w:szCs w:val="22"/>
              </w:rPr>
              <w:t xml:space="preserve"> na rzecz przedsiębiorcy albo przekazać mu wynalazek, wzór użytkowy, wzór przemysłowy albo topografię do korzystania. </w:t>
            </w:r>
          </w:p>
          <w:p w14:paraId="7A30CA1A" w14:textId="77777777" w:rsidR="001F7A1E" w:rsidRPr="00EC4F25" w:rsidRDefault="001F7A1E" w:rsidP="00F45910">
            <w:pPr>
              <w:rPr>
                <w:rFonts w:asciiTheme="minorHAnsi" w:hAnsiTheme="minorHAnsi" w:cstheme="minorHAnsi"/>
                <w:sz w:val="22"/>
                <w:szCs w:val="22"/>
              </w:rPr>
            </w:pPr>
            <w:r w:rsidRPr="00EC4F25">
              <w:rPr>
                <w:rFonts w:asciiTheme="minorHAnsi" w:hAnsiTheme="minorHAnsi" w:cstheme="minorHAnsi"/>
                <w:sz w:val="22"/>
                <w:szCs w:val="22"/>
              </w:rPr>
              <w:t xml:space="preserve">2. W przypadku, o którym mowa w ust. 1, z dniem przedstawienia projektu wynalazczego na piśmie następuje przejście na </w:t>
            </w:r>
            <w:r w:rsidRPr="00EC4F25">
              <w:rPr>
                <w:rFonts w:asciiTheme="minorHAnsi" w:hAnsiTheme="minorHAnsi" w:cstheme="minorHAnsi"/>
                <w:sz w:val="22"/>
                <w:szCs w:val="22"/>
              </w:rPr>
              <w:lastRenderedPageBreak/>
              <w:t>przedsiębiorcę prawa do uzyskania patentu lub prawa z rejestracji, pod warunkiem przyjęcia projektu wynalazczego przez przedsiębiorcę do korzystania i zawiadomienia o tym twórcy w terminie miesiąca, chyba że strony ustalą inny termin.</w:t>
            </w:r>
          </w:p>
        </w:tc>
      </w:tr>
      <w:tr w:rsidR="001F7A1E" w:rsidRPr="00EC4F25" w14:paraId="55CA60C6" w14:textId="77777777" w:rsidTr="00F45910">
        <w:tc>
          <w:tcPr>
            <w:tcW w:w="9056" w:type="dxa"/>
            <w:gridSpan w:val="2"/>
            <w:shd w:val="clear" w:color="auto" w:fill="E7E6E6" w:themeFill="background2"/>
          </w:tcPr>
          <w:p w14:paraId="1E559604" w14:textId="77777777" w:rsidR="001F7A1E" w:rsidRPr="00EC4F25" w:rsidRDefault="001F7A1E" w:rsidP="00F45910">
            <w:pPr>
              <w:pStyle w:val="USTustnpkodeksu"/>
              <w:spacing w:line="240" w:lineRule="auto"/>
              <w:ind w:firstLine="0"/>
              <w:rPr>
                <w:rFonts w:asciiTheme="minorHAnsi" w:hAnsiTheme="minorHAnsi" w:cstheme="minorHAnsi"/>
                <w:b/>
                <w:sz w:val="22"/>
                <w:szCs w:val="22"/>
              </w:rPr>
            </w:pPr>
            <w:r w:rsidRPr="00EC4F25">
              <w:rPr>
                <w:rFonts w:asciiTheme="minorHAnsi" w:hAnsiTheme="minorHAnsi" w:cstheme="minorHAnsi"/>
                <w:b/>
                <w:sz w:val="22"/>
                <w:szCs w:val="22"/>
              </w:rPr>
              <w:lastRenderedPageBreak/>
              <w:t>UWAGI:</w:t>
            </w:r>
          </w:p>
          <w:p w14:paraId="5468DBF0" w14:textId="2DE43E44" w:rsidR="001F7A1E" w:rsidRPr="00EC4F25" w:rsidRDefault="001F7A1E" w:rsidP="00F45910">
            <w:pPr>
              <w:pStyle w:val="USTustnpkodeksu"/>
              <w:spacing w:line="240" w:lineRule="auto"/>
              <w:ind w:firstLine="0"/>
              <w:rPr>
                <w:rFonts w:asciiTheme="minorHAnsi" w:hAnsiTheme="minorHAnsi" w:cstheme="minorHAnsi"/>
                <w:b/>
                <w:sz w:val="22"/>
                <w:szCs w:val="22"/>
              </w:rPr>
            </w:pPr>
          </w:p>
        </w:tc>
      </w:tr>
      <w:tr w:rsidR="001F7A1E" w:rsidRPr="00DB51DA" w14:paraId="38E6B5C4" w14:textId="77777777" w:rsidTr="00F45910">
        <w:tc>
          <w:tcPr>
            <w:tcW w:w="9056" w:type="dxa"/>
            <w:gridSpan w:val="2"/>
            <w:shd w:val="clear" w:color="auto" w:fill="FFFFFF" w:themeFill="background1"/>
          </w:tcPr>
          <w:p w14:paraId="4FEF7CEC"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color w:val="000000"/>
                <w:sz w:val="22"/>
                <w:szCs w:val="22"/>
              </w:rPr>
              <w:t>Zaproponowano zmiany jednostek redakcyjnych i równocześnie w</w:t>
            </w:r>
            <w:r w:rsidRPr="00EC4F25">
              <w:rPr>
                <w:rFonts w:asciiTheme="minorHAnsi" w:hAnsiTheme="minorHAnsi" w:cstheme="minorHAnsi"/>
                <w:sz w:val="22"/>
                <w:szCs w:val="22"/>
              </w:rPr>
              <w:t xml:space="preserve"> projekcie</w:t>
            </w:r>
            <w:r w:rsidRPr="00EC4F25">
              <w:rPr>
                <w:rFonts w:asciiTheme="minorHAnsi" w:hAnsiTheme="minorHAnsi" w:cstheme="minorHAnsi"/>
                <w:b/>
                <w:sz w:val="22"/>
                <w:szCs w:val="22"/>
              </w:rPr>
              <w:t xml:space="preserve">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sz w:val="22"/>
                <w:szCs w:val="22"/>
              </w:rPr>
              <w:t>powtórzono zbędne, niejako „</w:t>
            </w:r>
            <w:r w:rsidRPr="00EC4F25">
              <w:rPr>
                <w:rFonts w:asciiTheme="minorHAnsi" w:hAnsiTheme="minorHAnsi" w:cstheme="minorHAnsi"/>
                <w:i/>
                <w:iCs/>
                <w:sz w:val="22"/>
                <w:szCs w:val="22"/>
              </w:rPr>
              <w:t>podwójne</w:t>
            </w:r>
            <w:r w:rsidRPr="00EC4F25">
              <w:rPr>
                <w:rFonts w:asciiTheme="minorHAnsi" w:hAnsiTheme="minorHAnsi" w:cstheme="minorHAnsi"/>
                <w:sz w:val="22"/>
                <w:szCs w:val="22"/>
              </w:rPr>
              <w:t>” uregulowanie możliwości oraz zasad przeniesienia przez twórcę prawa do uzyskania patentu.</w:t>
            </w:r>
          </w:p>
          <w:p w14:paraId="31984047" w14:textId="283584DB" w:rsidR="001F7A1E" w:rsidRPr="00D16DE2" w:rsidRDefault="001F7A1E" w:rsidP="00F45910">
            <w:pPr>
              <w:pStyle w:val="USTustnpkodeksu"/>
              <w:spacing w:line="240" w:lineRule="auto"/>
              <w:ind w:firstLine="0"/>
              <w:rPr>
                <w:rFonts w:asciiTheme="minorHAnsi" w:hAnsiTheme="minorHAnsi" w:cstheme="minorHAnsi"/>
                <w:bCs w:val="0"/>
                <w:sz w:val="10"/>
                <w:szCs w:val="10"/>
              </w:rPr>
            </w:pPr>
          </w:p>
        </w:tc>
      </w:tr>
    </w:tbl>
    <w:p w14:paraId="05D7EF1B" w14:textId="77777777" w:rsidR="001F7A1E" w:rsidRPr="00A440BC" w:rsidRDefault="001F7A1E" w:rsidP="001F7A1E">
      <w:pPr>
        <w:spacing w:after="0" w:line="240" w:lineRule="auto"/>
        <w:jc w:val="center"/>
        <w:rPr>
          <w:rFonts w:cstheme="minorHAnsi"/>
        </w:rPr>
      </w:pPr>
    </w:p>
    <w:p w14:paraId="47FC9C8D" w14:textId="77777777" w:rsidR="001F7A1E" w:rsidRPr="00EC4F25" w:rsidRDefault="001F7A1E" w:rsidP="001F7A1E">
      <w:pPr>
        <w:spacing w:after="0" w:line="240" w:lineRule="auto"/>
        <w:jc w:val="center"/>
        <w:rPr>
          <w:rFonts w:cstheme="minorHAnsi"/>
        </w:rPr>
      </w:pPr>
      <w:r w:rsidRPr="00EC4F25">
        <w:rPr>
          <w:rFonts w:cstheme="minorHAnsi"/>
        </w:rPr>
        <w:t>+++</w:t>
      </w:r>
    </w:p>
    <w:bookmarkEnd w:id="123"/>
    <w:p w14:paraId="410E9A79" w14:textId="77777777" w:rsidR="001F7A1E" w:rsidRPr="00EC4F25" w:rsidRDefault="001F7A1E" w:rsidP="001F7A1E">
      <w:pPr>
        <w:spacing w:after="0" w:line="240" w:lineRule="auto"/>
        <w:jc w:val="center"/>
        <w:rPr>
          <w:rFonts w:cstheme="minorHAnsi"/>
          <w:b/>
          <w:bCs/>
          <w:color w:val="333333"/>
          <w:shd w:val="clear" w:color="auto" w:fill="FFFFFF"/>
        </w:rPr>
      </w:pPr>
    </w:p>
    <w:tbl>
      <w:tblPr>
        <w:tblStyle w:val="Tabela-Siatka"/>
        <w:tblW w:w="0" w:type="auto"/>
        <w:tblLook w:val="04A0" w:firstRow="1" w:lastRow="0" w:firstColumn="1" w:lastColumn="0" w:noHBand="0" w:noVBand="1"/>
      </w:tblPr>
      <w:tblGrid>
        <w:gridCol w:w="4611"/>
        <w:gridCol w:w="4445"/>
      </w:tblGrid>
      <w:tr w:rsidR="001F7A1E" w:rsidRPr="00DB51DA" w14:paraId="74607688" w14:textId="77777777" w:rsidTr="00F45910">
        <w:tc>
          <w:tcPr>
            <w:tcW w:w="4611" w:type="dxa"/>
            <w:shd w:val="clear" w:color="auto" w:fill="F2F2F2" w:themeFill="background1" w:themeFillShade="F2"/>
          </w:tcPr>
          <w:p w14:paraId="6848F835" w14:textId="77777777" w:rsidR="001F7A1E" w:rsidRPr="00EC4F25" w:rsidRDefault="001F7A1E" w:rsidP="00F45910">
            <w:pPr>
              <w:jc w:val="center"/>
              <w:rPr>
                <w:rFonts w:asciiTheme="minorHAnsi" w:hAnsiTheme="minorHAnsi" w:cstheme="minorHAnsi"/>
                <w:b/>
                <w:sz w:val="22"/>
                <w:szCs w:val="22"/>
              </w:rPr>
            </w:pPr>
            <w:bookmarkStart w:id="126" w:name="_Hlk168518559"/>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52670ACE" w14:textId="3682042E" w:rsidR="001F7A1E" w:rsidRPr="00A440BC" w:rsidRDefault="001F7A1E" w:rsidP="00F45910">
            <w:pPr>
              <w:jc w:val="center"/>
              <w:rPr>
                <w:rFonts w:asciiTheme="minorHAnsi" w:hAnsiTheme="minorHAnsi" w:cstheme="minorHAnsi"/>
                <w:b/>
                <w:sz w:val="22"/>
                <w:szCs w:val="22"/>
              </w:rPr>
            </w:pPr>
          </w:p>
        </w:tc>
        <w:tc>
          <w:tcPr>
            <w:tcW w:w="4445" w:type="dxa"/>
            <w:shd w:val="clear" w:color="auto" w:fill="F2F2F2" w:themeFill="background1" w:themeFillShade="F2"/>
          </w:tcPr>
          <w:p w14:paraId="56165CD9" w14:textId="77777777"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32F4CCC5" w14:textId="34E718A0" w:rsidR="001F7A1E" w:rsidRPr="00EC4F25" w:rsidRDefault="001F7A1E" w:rsidP="00F45910">
            <w:pPr>
              <w:jc w:val="center"/>
              <w:rPr>
                <w:rFonts w:asciiTheme="minorHAnsi" w:hAnsiTheme="minorHAnsi" w:cstheme="minorHAnsi"/>
                <w:b/>
                <w:sz w:val="22"/>
                <w:szCs w:val="22"/>
                <w:lang w:val="en-US"/>
              </w:rPr>
            </w:pPr>
            <w:r w:rsidRPr="00EC4F25">
              <w:rPr>
                <w:rFonts w:asciiTheme="minorHAnsi" w:hAnsiTheme="minorHAnsi" w:cstheme="minorHAnsi"/>
                <w:b/>
                <w:bCs/>
                <w:color w:val="0070C0"/>
                <w:sz w:val="22"/>
                <w:szCs w:val="22"/>
                <w:lang w:val="en-US"/>
              </w:rPr>
              <w:t>:</w:t>
            </w:r>
          </w:p>
        </w:tc>
      </w:tr>
      <w:tr w:rsidR="001F7A1E" w:rsidRPr="00EC4F25" w14:paraId="5F53E792" w14:textId="77777777" w:rsidTr="00F45910">
        <w:tc>
          <w:tcPr>
            <w:tcW w:w="4611" w:type="dxa"/>
          </w:tcPr>
          <w:p w14:paraId="33B03EDC" w14:textId="77777777" w:rsidR="001F7A1E" w:rsidRPr="00EC4F25" w:rsidRDefault="001F7A1E" w:rsidP="00F45910">
            <w:pPr>
              <w:jc w:val="both"/>
              <w:rPr>
                <w:rFonts w:asciiTheme="minorHAnsi" w:hAnsiTheme="minorHAnsi" w:cstheme="minorHAnsi"/>
                <w:sz w:val="22"/>
                <w:szCs w:val="22"/>
              </w:rPr>
            </w:pPr>
            <w:r w:rsidRPr="00DB51DA">
              <w:rPr>
                <w:rFonts w:asciiTheme="minorHAnsi" w:hAnsiTheme="minorHAnsi" w:cstheme="minorHAnsi"/>
                <w:b/>
                <w:bCs/>
                <w:color w:val="333333"/>
                <w:sz w:val="22"/>
                <w:szCs w:val="22"/>
                <w:shd w:val="clear" w:color="auto" w:fill="FFFFFF"/>
              </w:rPr>
              <w:br/>
            </w:r>
            <w:r w:rsidRPr="00EC4F25">
              <w:rPr>
                <w:rStyle w:val="articletitle"/>
                <w:rFonts w:asciiTheme="minorHAnsi" w:hAnsiTheme="minorHAnsi" w:cstheme="minorHAnsi"/>
                <w:b/>
                <w:bCs/>
                <w:color w:val="333333"/>
                <w:sz w:val="22"/>
                <w:szCs w:val="22"/>
                <w:shd w:val="clear" w:color="auto" w:fill="FFFFFF"/>
              </w:rPr>
              <w:t xml:space="preserve">Art. 23 [Podwyższenie wynagrodzenia] </w:t>
            </w:r>
            <w:r w:rsidRPr="00EC4F25">
              <w:rPr>
                <w:rFonts w:asciiTheme="minorHAnsi" w:hAnsiTheme="minorHAnsi" w:cstheme="minorHAnsi"/>
                <w:color w:val="333333"/>
                <w:sz w:val="22"/>
                <w:szCs w:val="22"/>
                <w:shd w:val="clear" w:color="auto" w:fill="FFFFFF"/>
              </w:rPr>
              <w:t>Wynagrodzenie twórcy wynalazku, wzoru użytkowego albo wzoru przemysłowego, określone i wypłacone na podstawie przepisów </w:t>
            </w:r>
            <w:hyperlink r:id="rId148" w:history="1">
              <w:r w:rsidRPr="00EC4F25">
                <w:rPr>
                  <w:rStyle w:val="Hipercze"/>
                  <w:rFonts w:asciiTheme="minorHAnsi" w:hAnsiTheme="minorHAnsi" w:cstheme="minorHAnsi"/>
                  <w:color w:val="CC0000"/>
                  <w:sz w:val="22"/>
                  <w:szCs w:val="22"/>
                  <w:shd w:val="clear" w:color="auto" w:fill="FFFFFF"/>
                </w:rPr>
                <w:t>art. 22 ust. 2 i 3</w:t>
              </w:r>
            </w:hyperlink>
            <w:r w:rsidRPr="00EC4F25">
              <w:rPr>
                <w:rFonts w:asciiTheme="minorHAnsi" w:hAnsiTheme="minorHAnsi" w:cstheme="minorHAnsi"/>
                <w:color w:val="333333"/>
                <w:sz w:val="22"/>
                <w:szCs w:val="22"/>
                <w:shd w:val="clear" w:color="auto" w:fill="FFFFFF"/>
              </w:rPr>
              <w:t xml:space="preserve">, powinno być podwyższone, jeżeli korzyści osiągnięte przez przedsiębiorcę </w:t>
            </w:r>
            <w:r w:rsidRPr="00EC4F25">
              <w:rPr>
                <w:rFonts w:asciiTheme="minorHAnsi" w:hAnsiTheme="minorHAnsi" w:cstheme="minorHAnsi"/>
                <w:color w:val="333333"/>
                <w:sz w:val="22"/>
                <w:szCs w:val="22"/>
                <w:shd w:val="clear" w:color="auto" w:fill="E2EFD9" w:themeFill="accent6" w:themeFillTint="33"/>
              </w:rPr>
              <w:t>okażą się znacząco wyższe od korzyści przyjętych za podstawę do ustalenia wypłaconego wynagrodzenia</w:t>
            </w:r>
            <w:r w:rsidRPr="00EC4F25">
              <w:rPr>
                <w:rFonts w:asciiTheme="minorHAnsi" w:hAnsiTheme="minorHAnsi" w:cstheme="minorHAnsi"/>
                <w:color w:val="333333"/>
                <w:sz w:val="22"/>
                <w:szCs w:val="22"/>
                <w:shd w:val="clear" w:color="auto" w:fill="FFFFFF"/>
              </w:rPr>
              <w:t>.</w:t>
            </w:r>
          </w:p>
          <w:p w14:paraId="0B6856B7" w14:textId="77777777" w:rsidR="001F7A1E" w:rsidRPr="00EC4F25" w:rsidRDefault="001F7A1E" w:rsidP="00F45910">
            <w:pPr>
              <w:pStyle w:val="USTustnpkodeksu"/>
              <w:spacing w:line="240" w:lineRule="auto"/>
              <w:ind w:firstLine="0"/>
              <w:jc w:val="left"/>
              <w:rPr>
                <w:rFonts w:asciiTheme="minorHAnsi" w:hAnsiTheme="minorHAnsi" w:cstheme="minorHAnsi"/>
                <w:sz w:val="22"/>
                <w:szCs w:val="22"/>
              </w:rPr>
            </w:pPr>
          </w:p>
        </w:tc>
        <w:tc>
          <w:tcPr>
            <w:tcW w:w="4445" w:type="dxa"/>
          </w:tcPr>
          <w:p w14:paraId="3CD36753"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p>
          <w:p w14:paraId="152FA183"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b/>
                <w:bCs w:val="0"/>
                <w:sz w:val="22"/>
                <w:szCs w:val="22"/>
              </w:rPr>
              <w:t xml:space="preserve">Art. 11. </w:t>
            </w:r>
            <w:r w:rsidRPr="00EC4F25">
              <w:rPr>
                <w:rFonts w:asciiTheme="minorHAnsi" w:hAnsiTheme="minorHAnsi" w:cstheme="minorHAnsi"/>
                <w:sz w:val="22"/>
                <w:szCs w:val="22"/>
              </w:rPr>
              <w:t xml:space="preserve">Wynagrodzenie twórcy projektu wynalazczego podwyższa się, jeżeli korzyści osiągnięte przez przedsiębiorcę </w:t>
            </w:r>
            <w:r w:rsidRPr="00EC4F25">
              <w:rPr>
                <w:rFonts w:asciiTheme="minorHAnsi" w:hAnsiTheme="minorHAnsi" w:cstheme="minorHAnsi"/>
                <w:sz w:val="22"/>
                <w:szCs w:val="22"/>
                <w:shd w:val="clear" w:color="auto" w:fill="E2EFD9" w:themeFill="accent6" w:themeFillTint="33"/>
              </w:rPr>
              <w:t>okażą się znacząco wyższe od korzyści przyjętych za podstawę do ustalenia wypłaconego wynagrodzenia.</w:t>
            </w:r>
          </w:p>
        </w:tc>
      </w:tr>
      <w:tr w:rsidR="001F7A1E" w:rsidRPr="00EC4F25" w14:paraId="517E8820" w14:textId="77777777" w:rsidTr="00F45910">
        <w:tc>
          <w:tcPr>
            <w:tcW w:w="9056" w:type="dxa"/>
            <w:gridSpan w:val="2"/>
            <w:shd w:val="clear" w:color="auto" w:fill="E7E6E6" w:themeFill="background2"/>
          </w:tcPr>
          <w:p w14:paraId="30E7A2BB" w14:textId="77777777" w:rsidR="001F7A1E" w:rsidRPr="00EC4F25" w:rsidRDefault="001F7A1E" w:rsidP="00F45910">
            <w:pPr>
              <w:pStyle w:val="USTustnpkodeksu"/>
              <w:spacing w:line="240" w:lineRule="auto"/>
              <w:ind w:firstLine="0"/>
              <w:rPr>
                <w:rFonts w:asciiTheme="minorHAnsi" w:hAnsiTheme="minorHAnsi" w:cstheme="minorHAnsi"/>
                <w:b/>
                <w:sz w:val="22"/>
                <w:szCs w:val="22"/>
              </w:rPr>
            </w:pPr>
            <w:r w:rsidRPr="00EC4F25">
              <w:rPr>
                <w:rFonts w:asciiTheme="minorHAnsi" w:hAnsiTheme="minorHAnsi" w:cstheme="minorHAnsi"/>
                <w:b/>
                <w:sz w:val="22"/>
                <w:szCs w:val="22"/>
              </w:rPr>
              <w:t>UWAGI:</w:t>
            </w:r>
          </w:p>
          <w:p w14:paraId="415ABFD8" w14:textId="20A889A5" w:rsidR="001F7A1E" w:rsidRPr="00EC4F25" w:rsidRDefault="001F7A1E" w:rsidP="00F45910">
            <w:pPr>
              <w:pStyle w:val="USTustnpkodeksu"/>
              <w:spacing w:line="240" w:lineRule="auto"/>
              <w:ind w:firstLine="0"/>
              <w:rPr>
                <w:rFonts w:asciiTheme="minorHAnsi" w:hAnsiTheme="minorHAnsi" w:cstheme="minorHAnsi"/>
                <w:sz w:val="22"/>
                <w:szCs w:val="22"/>
              </w:rPr>
            </w:pPr>
          </w:p>
        </w:tc>
      </w:tr>
      <w:tr w:rsidR="001F7A1E" w:rsidRPr="00DB51DA" w14:paraId="40C8C84F" w14:textId="77777777" w:rsidTr="00F45910">
        <w:tc>
          <w:tcPr>
            <w:tcW w:w="9056" w:type="dxa"/>
            <w:gridSpan w:val="2"/>
            <w:shd w:val="clear" w:color="auto" w:fill="FFFFFF" w:themeFill="background1"/>
          </w:tcPr>
          <w:p w14:paraId="7E39187A" w14:textId="77777777" w:rsidR="001F7A1E" w:rsidRPr="00EC4F25" w:rsidRDefault="001F7A1E" w:rsidP="00F45910">
            <w:pPr>
              <w:pStyle w:val="USTustnpkodeksu"/>
              <w:spacing w:line="240" w:lineRule="auto"/>
              <w:ind w:firstLine="0"/>
              <w:rPr>
                <w:rFonts w:asciiTheme="minorHAnsi" w:hAnsiTheme="minorHAnsi" w:cstheme="minorHAnsi"/>
                <w:color w:val="000000"/>
                <w:sz w:val="22"/>
                <w:szCs w:val="22"/>
              </w:rPr>
            </w:pPr>
            <w:r w:rsidRPr="00EC4F25">
              <w:rPr>
                <w:rFonts w:asciiTheme="minorHAnsi" w:hAnsiTheme="minorHAnsi" w:cstheme="minorHAnsi"/>
                <w:color w:val="000000"/>
                <w:sz w:val="22"/>
                <w:szCs w:val="22"/>
              </w:rPr>
              <w:t xml:space="preserve">W projekcie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color w:val="000000"/>
                <w:sz w:val="22"/>
                <w:szCs w:val="22"/>
              </w:rPr>
              <w:t>zaproponowano jedynie przeniesienie przepisu (określającego zasady wynagrodzenia twórcy wynalazku) do innej jednostki redakcyjnej, natomiast nie podjęto próby uregulowania tych zasad w sposób, który zachęciłby twórców do kreatywności.</w:t>
            </w:r>
          </w:p>
          <w:p w14:paraId="6F6CECE4" w14:textId="4F41FA32" w:rsidR="001F7A1E" w:rsidRPr="00A440BC" w:rsidRDefault="001F7A1E" w:rsidP="00F45910">
            <w:pPr>
              <w:pStyle w:val="USTustnpkodeksu"/>
              <w:spacing w:line="240" w:lineRule="auto"/>
              <w:ind w:firstLine="0"/>
              <w:rPr>
                <w:rFonts w:asciiTheme="minorHAnsi" w:hAnsiTheme="minorHAnsi" w:cstheme="minorHAnsi"/>
                <w:b/>
                <w:sz w:val="22"/>
                <w:szCs w:val="22"/>
              </w:rPr>
            </w:pPr>
          </w:p>
        </w:tc>
      </w:tr>
    </w:tbl>
    <w:p w14:paraId="71B964AD" w14:textId="77777777" w:rsidR="001F7A1E" w:rsidRPr="00A440BC" w:rsidRDefault="001F7A1E" w:rsidP="001F7A1E">
      <w:pPr>
        <w:spacing w:after="0" w:line="240" w:lineRule="auto"/>
        <w:jc w:val="center"/>
        <w:rPr>
          <w:rFonts w:cstheme="minorHAnsi"/>
        </w:rPr>
      </w:pPr>
    </w:p>
    <w:p w14:paraId="705822DA" w14:textId="77777777" w:rsidR="001F7A1E" w:rsidRPr="00EC4F25" w:rsidRDefault="001F7A1E" w:rsidP="001F7A1E">
      <w:pPr>
        <w:spacing w:after="0" w:line="240" w:lineRule="auto"/>
        <w:jc w:val="center"/>
        <w:rPr>
          <w:rFonts w:cstheme="minorHAnsi"/>
        </w:rPr>
      </w:pPr>
      <w:r w:rsidRPr="00EC4F25">
        <w:rPr>
          <w:rFonts w:cstheme="minorHAnsi"/>
        </w:rPr>
        <w:t>+++</w:t>
      </w:r>
    </w:p>
    <w:bookmarkEnd w:id="126"/>
    <w:p w14:paraId="003DF584" w14:textId="77777777" w:rsidR="001F7A1E" w:rsidRPr="00EC4F25" w:rsidRDefault="001F7A1E" w:rsidP="001F7A1E">
      <w:pPr>
        <w:spacing w:after="0" w:line="240" w:lineRule="auto"/>
        <w:jc w:val="center"/>
        <w:rPr>
          <w:rFonts w:cstheme="minorHAnsi"/>
        </w:rPr>
      </w:pPr>
    </w:p>
    <w:tbl>
      <w:tblPr>
        <w:tblStyle w:val="Tabela-Siatka"/>
        <w:tblW w:w="0" w:type="auto"/>
        <w:tblLook w:val="04A0" w:firstRow="1" w:lastRow="0" w:firstColumn="1" w:lastColumn="0" w:noHBand="0" w:noVBand="1"/>
      </w:tblPr>
      <w:tblGrid>
        <w:gridCol w:w="4611"/>
        <w:gridCol w:w="4445"/>
      </w:tblGrid>
      <w:tr w:rsidR="001F7A1E" w:rsidRPr="00DB51DA" w14:paraId="7AD2CDA5" w14:textId="77777777" w:rsidTr="00F45910">
        <w:tc>
          <w:tcPr>
            <w:tcW w:w="4611" w:type="dxa"/>
            <w:shd w:val="clear" w:color="auto" w:fill="F2F2F2" w:themeFill="background1" w:themeFillShade="F2"/>
          </w:tcPr>
          <w:p w14:paraId="64008737" w14:textId="77777777" w:rsidR="001F7A1E" w:rsidRPr="00EC4F25" w:rsidRDefault="001F7A1E" w:rsidP="00F45910">
            <w:pPr>
              <w:jc w:val="center"/>
              <w:rPr>
                <w:rFonts w:asciiTheme="minorHAnsi" w:hAnsiTheme="minorHAnsi" w:cstheme="minorHAnsi"/>
                <w:b/>
                <w:sz w:val="22"/>
                <w:szCs w:val="22"/>
              </w:rPr>
            </w:pPr>
            <w:bookmarkStart w:id="127" w:name="_Hlk168518616"/>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03504704" w14:textId="645E79CE" w:rsidR="001F7A1E" w:rsidRPr="00A440BC" w:rsidRDefault="001F7A1E" w:rsidP="00F45910">
            <w:pPr>
              <w:jc w:val="center"/>
              <w:rPr>
                <w:rFonts w:asciiTheme="minorHAnsi" w:hAnsiTheme="minorHAnsi" w:cstheme="minorHAnsi"/>
                <w:b/>
                <w:sz w:val="22"/>
                <w:szCs w:val="22"/>
              </w:rPr>
            </w:pPr>
          </w:p>
        </w:tc>
        <w:tc>
          <w:tcPr>
            <w:tcW w:w="4445" w:type="dxa"/>
            <w:shd w:val="clear" w:color="auto" w:fill="F2F2F2" w:themeFill="background1" w:themeFillShade="F2"/>
          </w:tcPr>
          <w:p w14:paraId="39C113E2" w14:textId="77777777"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3F249E1E" w14:textId="1773C967" w:rsidR="001F7A1E" w:rsidRPr="00A440BC" w:rsidRDefault="001F7A1E" w:rsidP="00F45910">
            <w:pPr>
              <w:jc w:val="center"/>
              <w:rPr>
                <w:rFonts w:asciiTheme="minorHAnsi" w:hAnsiTheme="minorHAnsi" w:cstheme="minorHAnsi"/>
                <w:b/>
                <w:sz w:val="22"/>
                <w:szCs w:val="22"/>
              </w:rPr>
            </w:pPr>
          </w:p>
        </w:tc>
      </w:tr>
      <w:tr w:rsidR="001F7A1E" w:rsidRPr="00EC4F25" w14:paraId="34A00361" w14:textId="77777777" w:rsidTr="00F45910">
        <w:tc>
          <w:tcPr>
            <w:tcW w:w="4611" w:type="dxa"/>
          </w:tcPr>
          <w:p w14:paraId="0428309A" w14:textId="77777777" w:rsidR="001F7A1E" w:rsidRPr="00EC4F25" w:rsidRDefault="001F7A1E" w:rsidP="00F45910">
            <w:pPr>
              <w:shd w:val="clear" w:color="auto" w:fill="FFFFFF"/>
              <w:textAlignment w:val="center"/>
              <w:rPr>
                <w:rFonts w:asciiTheme="minorHAnsi" w:hAnsiTheme="minorHAnsi" w:cstheme="minorHAnsi"/>
                <w:color w:val="000000"/>
                <w:sz w:val="22"/>
                <w:szCs w:val="22"/>
              </w:rPr>
            </w:pPr>
            <w:bookmarkStart w:id="128" w:name="mip57779488"/>
            <w:bookmarkEnd w:id="128"/>
            <w:r w:rsidRPr="00EC4F25">
              <w:rPr>
                <w:rStyle w:val="articletitle"/>
                <w:rFonts w:asciiTheme="minorHAnsi" w:hAnsiTheme="minorHAnsi" w:cstheme="minorHAnsi"/>
                <w:b/>
                <w:bCs/>
                <w:color w:val="333333"/>
                <w:sz w:val="22"/>
                <w:szCs w:val="22"/>
              </w:rPr>
              <w:t>Art. 13 [Data pierwszeństwa]</w:t>
            </w:r>
          </w:p>
          <w:p w14:paraId="14DD2897" w14:textId="77777777" w:rsidR="001F7A1E" w:rsidRPr="00EC4F25" w:rsidRDefault="001F7A1E" w:rsidP="00F45910">
            <w:pPr>
              <w:shd w:val="clear" w:color="auto" w:fill="FFFFFF"/>
              <w:rPr>
                <w:rFonts w:asciiTheme="minorHAnsi" w:hAnsiTheme="minorHAnsi" w:cstheme="minorHAnsi"/>
                <w:color w:val="333333"/>
                <w:sz w:val="22"/>
                <w:szCs w:val="22"/>
              </w:rPr>
            </w:pPr>
            <w:bookmarkStart w:id="129" w:name="mip57779489"/>
            <w:bookmarkEnd w:id="129"/>
            <w:r w:rsidRPr="00EC4F25">
              <w:rPr>
                <w:rFonts w:asciiTheme="minorHAnsi" w:hAnsiTheme="minorHAnsi" w:cstheme="minorHAnsi"/>
                <w:color w:val="333333"/>
                <w:sz w:val="22"/>
                <w:szCs w:val="22"/>
              </w:rPr>
              <w:t>1. Pierwszeństwo do uzyskania patentu, prawa ochronnego albo prawa z rejestracji oznacza się, z uwzględnieniem </w:t>
            </w:r>
            <w:hyperlink r:id="rId149" w:history="1">
              <w:r w:rsidRPr="00EC4F25">
                <w:rPr>
                  <w:rStyle w:val="Hipercze"/>
                  <w:rFonts w:asciiTheme="minorHAnsi" w:hAnsiTheme="minorHAnsi" w:cstheme="minorHAnsi"/>
                  <w:color w:val="CC0000"/>
                  <w:sz w:val="22"/>
                  <w:szCs w:val="22"/>
                </w:rPr>
                <w:t>art. 14</w:t>
              </w:r>
            </w:hyperlink>
            <w:r w:rsidRPr="00EC4F25">
              <w:rPr>
                <w:rFonts w:asciiTheme="minorHAnsi" w:hAnsiTheme="minorHAnsi" w:cstheme="minorHAnsi"/>
                <w:color w:val="333333"/>
                <w:sz w:val="22"/>
                <w:szCs w:val="22"/>
              </w:rPr>
              <w:t> i </w:t>
            </w:r>
            <w:hyperlink r:id="rId150" w:history="1">
              <w:r w:rsidRPr="00EC4F25">
                <w:rPr>
                  <w:rStyle w:val="Hipercze"/>
                  <w:rFonts w:asciiTheme="minorHAnsi" w:hAnsiTheme="minorHAnsi" w:cstheme="minorHAnsi"/>
                  <w:color w:val="CC0000"/>
                  <w:sz w:val="22"/>
                  <w:szCs w:val="22"/>
                </w:rPr>
                <w:t>art. 151,</w:t>
              </w:r>
            </w:hyperlink>
            <w:r w:rsidRPr="00EC4F25">
              <w:rPr>
                <w:rFonts w:asciiTheme="minorHAnsi" w:hAnsiTheme="minorHAnsi" w:cstheme="minorHAnsi"/>
                <w:color w:val="333333"/>
                <w:sz w:val="22"/>
                <w:szCs w:val="22"/>
              </w:rPr>
              <w:t> według daty zgłoszenia wynalazku, wzoru użytkowego albo wzoru przemysłowego w Urzędzie Patentowym.</w:t>
            </w:r>
          </w:p>
          <w:p w14:paraId="036AD584" w14:textId="77777777" w:rsidR="001F7A1E" w:rsidRPr="00EC4F25" w:rsidRDefault="001F7A1E" w:rsidP="00F45910">
            <w:pPr>
              <w:shd w:val="clear" w:color="auto" w:fill="FFFFFF"/>
              <w:rPr>
                <w:rFonts w:asciiTheme="minorHAnsi" w:hAnsiTheme="minorHAnsi" w:cstheme="minorHAnsi"/>
                <w:color w:val="333333"/>
                <w:sz w:val="22"/>
                <w:szCs w:val="22"/>
              </w:rPr>
            </w:pPr>
            <w:bookmarkStart w:id="130" w:name="mip57779490"/>
            <w:bookmarkEnd w:id="130"/>
            <w:r w:rsidRPr="00EC4F25">
              <w:rPr>
                <w:rFonts w:asciiTheme="minorHAnsi" w:hAnsiTheme="minorHAnsi" w:cstheme="minorHAnsi"/>
                <w:color w:val="333333"/>
                <w:sz w:val="22"/>
                <w:szCs w:val="22"/>
              </w:rPr>
              <w:t xml:space="preserve">2. Zgłoszenie </w:t>
            </w:r>
            <w:r w:rsidRPr="00EC4F25">
              <w:rPr>
                <w:rFonts w:asciiTheme="minorHAnsi" w:hAnsiTheme="minorHAnsi" w:cstheme="minorHAnsi"/>
                <w:b/>
                <w:bCs/>
                <w:color w:val="333333"/>
                <w:sz w:val="22"/>
                <w:szCs w:val="22"/>
              </w:rPr>
              <w:t>uważa się za dokonane</w:t>
            </w:r>
            <w:r w:rsidRPr="00EC4F25">
              <w:rPr>
                <w:rFonts w:asciiTheme="minorHAnsi" w:hAnsiTheme="minorHAnsi" w:cstheme="minorHAnsi"/>
                <w:color w:val="333333"/>
                <w:sz w:val="22"/>
                <w:szCs w:val="22"/>
              </w:rPr>
              <w:t>, z zastrzeżeniem </w:t>
            </w:r>
            <w:hyperlink r:id="rId151" w:history="1">
              <w:r w:rsidRPr="00EC4F25">
                <w:rPr>
                  <w:rStyle w:val="Hipercze"/>
                  <w:rFonts w:asciiTheme="minorHAnsi" w:hAnsiTheme="minorHAnsi" w:cstheme="minorHAnsi"/>
                  <w:color w:val="CC0000"/>
                  <w:sz w:val="22"/>
                  <w:szCs w:val="22"/>
                </w:rPr>
                <w:t xml:space="preserve">art. 31 ust. 4, </w:t>
              </w:r>
            </w:hyperlink>
            <w:r w:rsidRPr="00EC4F25">
              <w:rPr>
                <w:rFonts w:asciiTheme="minorHAnsi" w:hAnsiTheme="minorHAnsi" w:cstheme="minorHAnsi"/>
                <w:color w:val="333333"/>
                <w:sz w:val="22"/>
                <w:szCs w:val="22"/>
                <w:shd w:val="clear" w:color="auto" w:fill="E2EFD9" w:themeFill="accent6" w:themeFillTint="33"/>
              </w:rPr>
              <w:t>w dniu, w którym wpłynęło ono do Urzędu Patentowego</w:t>
            </w:r>
            <w:r w:rsidRPr="00EC4F25">
              <w:rPr>
                <w:rFonts w:asciiTheme="minorHAnsi" w:hAnsiTheme="minorHAnsi" w:cstheme="minorHAnsi"/>
                <w:color w:val="333333"/>
                <w:sz w:val="22"/>
                <w:szCs w:val="22"/>
              </w:rPr>
              <w:t xml:space="preserve"> </w:t>
            </w:r>
            <w:r w:rsidRPr="00EC4F25">
              <w:rPr>
                <w:rFonts w:asciiTheme="minorHAnsi" w:hAnsiTheme="minorHAnsi" w:cstheme="minorHAnsi"/>
                <w:b/>
                <w:bCs/>
                <w:color w:val="333333"/>
                <w:sz w:val="22"/>
                <w:szCs w:val="22"/>
              </w:rPr>
              <w:t xml:space="preserve">z </w:t>
            </w:r>
            <w:r w:rsidRPr="00EC4F25">
              <w:rPr>
                <w:rFonts w:asciiTheme="minorHAnsi" w:hAnsiTheme="minorHAnsi" w:cstheme="minorHAnsi"/>
                <w:b/>
                <w:bCs/>
                <w:color w:val="333333"/>
                <w:sz w:val="22"/>
                <w:szCs w:val="22"/>
              </w:rPr>
              <w:lastRenderedPageBreak/>
              <w:t>zachowaniem formy pisemnej</w:t>
            </w:r>
            <w:r w:rsidRPr="00EC4F25">
              <w:rPr>
                <w:rFonts w:asciiTheme="minorHAnsi" w:hAnsiTheme="minorHAnsi" w:cstheme="minorHAnsi"/>
                <w:color w:val="333333"/>
                <w:sz w:val="22"/>
                <w:szCs w:val="22"/>
              </w:rPr>
              <w:t xml:space="preserve"> również za pomocą </w:t>
            </w:r>
            <w:r w:rsidRPr="00EC4F25">
              <w:rPr>
                <w:rFonts w:asciiTheme="minorHAnsi" w:hAnsiTheme="minorHAnsi" w:cstheme="minorHAnsi"/>
                <w:color w:val="333333"/>
                <w:sz w:val="22"/>
                <w:szCs w:val="22"/>
                <w:highlight w:val="yellow"/>
              </w:rPr>
              <w:t>telefaksu</w:t>
            </w:r>
            <w:r w:rsidRPr="00EC4F25">
              <w:rPr>
                <w:rFonts w:asciiTheme="minorHAnsi" w:hAnsiTheme="minorHAnsi" w:cstheme="minorHAnsi"/>
                <w:color w:val="333333"/>
                <w:sz w:val="22"/>
                <w:szCs w:val="22"/>
              </w:rPr>
              <w:t xml:space="preserve"> lub </w:t>
            </w:r>
            <w:r w:rsidRPr="00EC4F25">
              <w:rPr>
                <w:rFonts w:asciiTheme="minorHAnsi" w:hAnsiTheme="minorHAnsi" w:cstheme="minorHAnsi"/>
                <w:color w:val="333333"/>
                <w:sz w:val="22"/>
                <w:szCs w:val="22"/>
                <w:shd w:val="clear" w:color="auto" w:fill="D9E2F3" w:themeFill="accent1" w:themeFillTint="33"/>
              </w:rPr>
              <w:t>w postaci elektronicznej</w:t>
            </w:r>
            <w:r w:rsidRPr="00EC4F25">
              <w:rPr>
                <w:rFonts w:asciiTheme="minorHAnsi" w:hAnsiTheme="minorHAnsi" w:cstheme="minorHAnsi"/>
                <w:color w:val="333333"/>
                <w:sz w:val="22"/>
                <w:szCs w:val="22"/>
              </w:rPr>
              <w:t>.</w:t>
            </w:r>
          </w:p>
          <w:p w14:paraId="348DE652" w14:textId="77777777" w:rsidR="001F7A1E" w:rsidRPr="00D16DE2" w:rsidRDefault="001F7A1E" w:rsidP="00F45910">
            <w:pPr>
              <w:rPr>
                <w:rFonts w:asciiTheme="minorHAnsi" w:hAnsiTheme="minorHAnsi" w:cstheme="minorHAnsi"/>
                <w:sz w:val="10"/>
                <w:szCs w:val="10"/>
              </w:rPr>
            </w:pPr>
          </w:p>
        </w:tc>
        <w:tc>
          <w:tcPr>
            <w:tcW w:w="4445" w:type="dxa"/>
          </w:tcPr>
          <w:p w14:paraId="42C9A890"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b/>
                <w:bCs/>
                <w:sz w:val="22"/>
                <w:szCs w:val="22"/>
              </w:rPr>
              <w:lastRenderedPageBreak/>
              <w:t>Art. 15. (…)</w:t>
            </w:r>
          </w:p>
          <w:p w14:paraId="4D546ECF"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sz w:val="22"/>
                <w:szCs w:val="22"/>
              </w:rPr>
              <w:t xml:space="preserve">3. </w:t>
            </w:r>
            <w:r w:rsidRPr="00EC4F25">
              <w:rPr>
                <w:rFonts w:asciiTheme="minorHAnsi" w:hAnsiTheme="minorHAnsi" w:cstheme="minorHAnsi"/>
                <w:b/>
                <w:bCs/>
                <w:sz w:val="22"/>
                <w:szCs w:val="22"/>
              </w:rPr>
              <w:t>Zgłoszenie uważa się za dokonane</w:t>
            </w:r>
            <w:r w:rsidRPr="00EC4F25">
              <w:rPr>
                <w:rFonts w:asciiTheme="minorHAnsi" w:hAnsiTheme="minorHAnsi" w:cstheme="minorHAnsi"/>
                <w:sz w:val="22"/>
                <w:szCs w:val="22"/>
              </w:rPr>
              <w:t xml:space="preserve"> w </w:t>
            </w:r>
            <w:r w:rsidRPr="00EC4F25">
              <w:rPr>
                <w:rFonts w:asciiTheme="minorHAnsi" w:hAnsiTheme="minorHAnsi" w:cstheme="minorHAnsi"/>
                <w:sz w:val="22"/>
                <w:szCs w:val="22"/>
                <w:shd w:val="clear" w:color="auto" w:fill="E2EFD9" w:themeFill="accent6" w:themeFillTint="33"/>
              </w:rPr>
              <w:t xml:space="preserve">dniu, w którym wpłynęło do Urzędu Patentowego </w:t>
            </w:r>
            <w:r w:rsidRPr="00EC4F25">
              <w:rPr>
                <w:rFonts w:asciiTheme="minorHAnsi" w:hAnsiTheme="minorHAnsi" w:cstheme="minorHAnsi"/>
                <w:b/>
                <w:bCs/>
                <w:sz w:val="22"/>
                <w:szCs w:val="22"/>
              </w:rPr>
              <w:t xml:space="preserve">na piśmie utrwalonym w </w:t>
            </w:r>
            <w:r w:rsidRPr="00EC4F25">
              <w:rPr>
                <w:rFonts w:asciiTheme="minorHAnsi" w:hAnsiTheme="minorHAnsi" w:cstheme="minorHAnsi"/>
                <w:b/>
                <w:bCs/>
                <w:sz w:val="22"/>
                <w:szCs w:val="22"/>
                <w:shd w:val="clear" w:color="auto" w:fill="D9E2F3" w:themeFill="accent1" w:themeFillTint="33"/>
              </w:rPr>
              <w:t>postaci</w:t>
            </w:r>
            <w:r w:rsidRPr="00EC4F25">
              <w:rPr>
                <w:rFonts w:asciiTheme="minorHAnsi" w:hAnsiTheme="minorHAnsi" w:cstheme="minorHAnsi"/>
                <w:b/>
                <w:bCs/>
                <w:sz w:val="22"/>
                <w:szCs w:val="22"/>
              </w:rPr>
              <w:t xml:space="preserve"> papierowej</w:t>
            </w:r>
            <w:r w:rsidRPr="00EC4F25">
              <w:rPr>
                <w:rFonts w:asciiTheme="minorHAnsi" w:hAnsiTheme="minorHAnsi" w:cstheme="minorHAnsi"/>
                <w:sz w:val="22"/>
                <w:szCs w:val="22"/>
              </w:rPr>
              <w:t xml:space="preserve"> </w:t>
            </w:r>
            <w:r w:rsidRPr="00EC4F25">
              <w:rPr>
                <w:rFonts w:asciiTheme="minorHAnsi" w:hAnsiTheme="minorHAnsi" w:cstheme="minorHAnsi"/>
                <w:color w:val="auto"/>
                <w:sz w:val="22"/>
                <w:szCs w:val="22"/>
                <w:shd w:val="clear" w:color="auto" w:fill="FFFFFF" w:themeFill="background1"/>
              </w:rPr>
              <w:t xml:space="preserve">albo </w:t>
            </w:r>
            <w:r w:rsidRPr="00EC4F25">
              <w:rPr>
                <w:rFonts w:asciiTheme="minorHAnsi" w:hAnsiTheme="minorHAnsi" w:cstheme="minorHAnsi"/>
                <w:color w:val="auto"/>
                <w:sz w:val="22"/>
                <w:szCs w:val="22"/>
                <w:shd w:val="clear" w:color="auto" w:fill="D9E2F3" w:themeFill="accent1" w:themeFillTint="33"/>
              </w:rPr>
              <w:t>elektronicznej</w:t>
            </w:r>
            <w:r w:rsidRPr="00EC4F25">
              <w:rPr>
                <w:rFonts w:asciiTheme="minorHAnsi" w:hAnsiTheme="minorHAnsi" w:cstheme="minorHAnsi"/>
                <w:sz w:val="22"/>
                <w:szCs w:val="22"/>
                <w:shd w:val="clear" w:color="auto" w:fill="D9E2F3" w:themeFill="accent1" w:themeFillTint="33"/>
              </w:rPr>
              <w:t>,</w:t>
            </w:r>
            <w:r w:rsidRPr="00EC4F25">
              <w:rPr>
                <w:rFonts w:asciiTheme="minorHAnsi" w:hAnsiTheme="minorHAnsi" w:cstheme="minorHAnsi"/>
                <w:sz w:val="22"/>
                <w:szCs w:val="22"/>
              </w:rPr>
              <w:t xml:space="preserve"> o ile zawiera wszystkie części dające podstawę do uznania zgłoszenia za dokonane. </w:t>
            </w:r>
          </w:p>
          <w:p w14:paraId="1B849336" w14:textId="433B18A6" w:rsidR="001F7A1E" w:rsidRPr="00EC4F25" w:rsidRDefault="001F7A1E" w:rsidP="00D16DE2">
            <w:pPr>
              <w:pStyle w:val="Default"/>
              <w:rPr>
                <w:rFonts w:asciiTheme="minorHAnsi" w:hAnsiTheme="minorHAnsi" w:cstheme="minorHAnsi"/>
                <w:sz w:val="22"/>
                <w:szCs w:val="22"/>
              </w:rPr>
            </w:pPr>
            <w:r w:rsidRPr="00EC4F25">
              <w:rPr>
                <w:rFonts w:asciiTheme="minorHAnsi" w:hAnsiTheme="minorHAnsi" w:cstheme="minorHAnsi"/>
                <w:sz w:val="22"/>
                <w:szCs w:val="22"/>
              </w:rPr>
              <w:t xml:space="preserve">4. W przypadku, gdy zgłoszenie zawiera szkodliwe oprogramowanie lub jest </w:t>
            </w:r>
            <w:r w:rsidRPr="00EC4F25">
              <w:rPr>
                <w:rFonts w:asciiTheme="minorHAnsi" w:hAnsiTheme="minorHAnsi" w:cstheme="minorHAnsi"/>
                <w:sz w:val="22"/>
                <w:szCs w:val="22"/>
              </w:rPr>
              <w:lastRenderedPageBreak/>
              <w:t>nieczytelne, skutek, o którym mowa w ust. 1 i ust. 2, nie powstaje. (…).</w:t>
            </w:r>
          </w:p>
          <w:p w14:paraId="48104E7E" w14:textId="77777777" w:rsidR="001F7A1E" w:rsidRPr="00D16DE2" w:rsidRDefault="001F7A1E" w:rsidP="00F45910">
            <w:pPr>
              <w:pStyle w:val="USTustnpkodeksu"/>
              <w:spacing w:line="240" w:lineRule="auto"/>
              <w:ind w:firstLine="0"/>
              <w:rPr>
                <w:rFonts w:asciiTheme="minorHAnsi" w:hAnsiTheme="minorHAnsi" w:cstheme="minorHAnsi"/>
                <w:sz w:val="10"/>
                <w:szCs w:val="10"/>
              </w:rPr>
            </w:pPr>
          </w:p>
        </w:tc>
      </w:tr>
      <w:tr w:rsidR="001F7A1E" w:rsidRPr="00EC4F25" w14:paraId="58D3B537" w14:textId="77777777" w:rsidTr="00F45910">
        <w:tc>
          <w:tcPr>
            <w:tcW w:w="9056" w:type="dxa"/>
            <w:gridSpan w:val="2"/>
            <w:shd w:val="clear" w:color="auto" w:fill="E7E6E6" w:themeFill="background2"/>
          </w:tcPr>
          <w:p w14:paraId="79AE5E47" w14:textId="77777777" w:rsidR="001F7A1E" w:rsidRPr="00EC4F25" w:rsidRDefault="001F7A1E" w:rsidP="00F45910">
            <w:pPr>
              <w:pStyle w:val="USTustnpkodeksu"/>
              <w:spacing w:line="240" w:lineRule="auto"/>
              <w:ind w:firstLine="0"/>
              <w:rPr>
                <w:rFonts w:asciiTheme="minorHAnsi" w:hAnsiTheme="minorHAnsi" w:cstheme="minorHAnsi"/>
                <w:b/>
                <w:sz w:val="22"/>
                <w:szCs w:val="22"/>
              </w:rPr>
            </w:pPr>
            <w:r w:rsidRPr="00EC4F25">
              <w:rPr>
                <w:rFonts w:asciiTheme="minorHAnsi" w:hAnsiTheme="minorHAnsi" w:cstheme="minorHAnsi"/>
                <w:b/>
                <w:sz w:val="22"/>
                <w:szCs w:val="22"/>
              </w:rPr>
              <w:lastRenderedPageBreak/>
              <w:t>UWAGI:</w:t>
            </w:r>
          </w:p>
          <w:p w14:paraId="3163B2EB" w14:textId="500227AB" w:rsidR="001F7A1E" w:rsidRPr="00EC4F25" w:rsidRDefault="001F7A1E" w:rsidP="00F45910">
            <w:pPr>
              <w:pStyle w:val="USTustnpkodeksu"/>
              <w:spacing w:line="240" w:lineRule="auto"/>
              <w:ind w:firstLine="0"/>
              <w:rPr>
                <w:rFonts w:asciiTheme="minorHAnsi" w:hAnsiTheme="minorHAnsi" w:cstheme="minorHAnsi"/>
                <w:sz w:val="22"/>
                <w:szCs w:val="22"/>
              </w:rPr>
            </w:pPr>
          </w:p>
        </w:tc>
      </w:tr>
      <w:tr w:rsidR="001F7A1E" w:rsidRPr="00DB51DA" w14:paraId="4A3B036F" w14:textId="77777777" w:rsidTr="00F45910">
        <w:tc>
          <w:tcPr>
            <w:tcW w:w="9056" w:type="dxa"/>
            <w:gridSpan w:val="2"/>
            <w:shd w:val="clear" w:color="auto" w:fill="FFFFFF" w:themeFill="background1"/>
          </w:tcPr>
          <w:p w14:paraId="4CDBE2A2" w14:textId="77777777" w:rsidR="001F7A1E" w:rsidRPr="00EC4F25" w:rsidRDefault="001F7A1E" w:rsidP="00F45910">
            <w:pPr>
              <w:pStyle w:val="USTustnpkodeksu"/>
              <w:spacing w:line="240" w:lineRule="auto"/>
              <w:ind w:firstLine="0"/>
              <w:rPr>
                <w:rFonts w:asciiTheme="minorHAnsi" w:hAnsiTheme="minorHAnsi" w:cstheme="minorHAnsi"/>
                <w:color w:val="000000"/>
                <w:sz w:val="22"/>
                <w:szCs w:val="22"/>
                <w:lang w:val="en-US"/>
              </w:rPr>
            </w:pPr>
            <w:r w:rsidRPr="00EC4F25">
              <w:rPr>
                <w:rFonts w:asciiTheme="minorHAnsi" w:hAnsiTheme="minorHAnsi" w:cstheme="minorHAnsi"/>
                <w:sz w:val="22"/>
                <w:szCs w:val="22"/>
              </w:rPr>
              <w:t>Projekt</w:t>
            </w:r>
            <w:r w:rsidRPr="00EC4F25">
              <w:rPr>
                <w:rFonts w:asciiTheme="minorHAnsi" w:hAnsiTheme="minorHAnsi" w:cstheme="minorHAnsi"/>
                <w:b/>
                <w:sz w:val="22"/>
                <w:szCs w:val="22"/>
              </w:rPr>
              <w:t xml:space="preserve">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sz w:val="22"/>
                <w:szCs w:val="22"/>
              </w:rPr>
              <w:t>proponuje usunięcie możliwości dokonywania zgłoszeń „</w:t>
            </w:r>
            <w:r w:rsidRPr="00B80DCE">
              <w:rPr>
                <w:rFonts w:asciiTheme="minorHAnsi" w:hAnsiTheme="minorHAnsi" w:cstheme="minorHAnsi"/>
                <w:i/>
                <w:iCs/>
                <w:color w:val="333333"/>
                <w:sz w:val="22"/>
                <w:szCs w:val="22"/>
                <w:highlight w:val="yellow"/>
              </w:rPr>
              <w:t>telefakse</w:t>
            </w:r>
            <w:r w:rsidRPr="00B80DCE">
              <w:rPr>
                <w:rFonts w:asciiTheme="minorHAnsi" w:hAnsiTheme="minorHAnsi" w:cstheme="minorHAnsi"/>
                <w:i/>
                <w:iCs/>
                <w:color w:val="333333"/>
                <w:sz w:val="22"/>
                <w:szCs w:val="22"/>
              </w:rPr>
              <w:t>m</w:t>
            </w:r>
            <w:r w:rsidRPr="00EC4F25">
              <w:rPr>
                <w:rFonts w:asciiTheme="minorHAnsi" w:hAnsiTheme="minorHAnsi" w:cstheme="minorHAnsi"/>
                <w:sz w:val="22"/>
                <w:szCs w:val="22"/>
              </w:rPr>
              <w:t xml:space="preserve">” i </w:t>
            </w:r>
            <w:r w:rsidRPr="00EC4F25">
              <w:rPr>
                <w:rFonts w:asciiTheme="minorHAnsi" w:hAnsiTheme="minorHAnsi" w:cstheme="minorHAnsi"/>
                <w:color w:val="000000"/>
                <w:sz w:val="22"/>
                <w:szCs w:val="22"/>
              </w:rPr>
              <w:t xml:space="preserve">przeniesienie przepisu do innej jednostki redakcyjnej. </w:t>
            </w:r>
            <w:r w:rsidRPr="00EC4F25">
              <w:rPr>
                <w:rFonts w:asciiTheme="minorHAnsi" w:hAnsiTheme="minorHAnsi" w:cstheme="minorHAnsi"/>
                <w:color w:val="000000"/>
                <w:sz w:val="22"/>
                <w:szCs w:val="22"/>
                <w:lang w:val="en-US"/>
              </w:rPr>
              <w:t xml:space="preserve">Nie </w:t>
            </w:r>
            <w:proofErr w:type="spellStart"/>
            <w:r w:rsidRPr="00EC4F25">
              <w:rPr>
                <w:rFonts w:asciiTheme="minorHAnsi" w:hAnsiTheme="minorHAnsi" w:cstheme="minorHAnsi"/>
                <w:color w:val="000000"/>
                <w:sz w:val="22"/>
                <w:szCs w:val="22"/>
                <w:lang w:val="en-US"/>
              </w:rPr>
              <w:t>określa</w:t>
            </w:r>
            <w:proofErr w:type="spellEnd"/>
            <w:r w:rsidRPr="00EC4F25">
              <w:rPr>
                <w:rFonts w:asciiTheme="minorHAnsi" w:hAnsiTheme="minorHAnsi" w:cstheme="minorHAnsi"/>
                <w:color w:val="000000"/>
                <w:sz w:val="22"/>
                <w:szCs w:val="22"/>
                <w:lang w:val="en-US"/>
              </w:rPr>
              <w:t xml:space="preserve"> i </w:t>
            </w:r>
            <w:proofErr w:type="spellStart"/>
            <w:r w:rsidRPr="00EC4F25">
              <w:rPr>
                <w:rFonts w:asciiTheme="minorHAnsi" w:hAnsiTheme="minorHAnsi" w:cstheme="minorHAnsi"/>
                <w:color w:val="000000"/>
                <w:sz w:val="22"/>
                <w:szCs w:val="22"/>
                <w:lang w:val="en-US"/>
              </w:rPr>
              <w:t>nie</w:t>
            </w:r>
            <w:proofErr w:type="spellEnd"/>
            <w:r w:rsidRPr="00EC4F25">
              <w:rPr>
                <w:rFonts w:asciiTheme="minorHAnsi" w:hAnsiTheme="minorHAnsi" w:cstheme="minorHAnsi"/>
                <w:color w:val="000000"/>
                <w:sz w:val="22"/>
                <w:szCs w:val="22"/>
                <w:lang w:val="en-US"/>
              </w:rPr>
              <w:t xml:space="preserve"> </w:t>
            </w:r>
            <w:proofErr w:type="spellStart"/>
            <w:r w:rsidRPr="00EC4F25">
              <w:rPr>
                <w:rFonts w:asciiTheme="minorHAnsi" w:hAnsiTheme="minorHAnsi" w:cstheme="minorHAnsi"/>
                <w:color w:val="000000"/>
                <w:sz w:val="22"/>
                <w:szCs w:val="22"/>
                <w:lang w:val="en-US"/>
              </w:rPr>
              <w:t>przewiduje</w:t>
            </w:r>
            <w:proofErr w:type="spellEnd"/>
            <w:r w:rsidRPr="00EC4F25">
              <w:rPr>
                <w:rFonts w:asciiTheme="minorHAnsi" w:hAnsiTheme="minorHAnsi" w:cstheme="minorHAnsi"/>
                <w:color w:val="000000"/>
                <w:sz w:val="22"/>
                <w:szCs w:val="22"/>
                <w:lang w:val="en-US"/>
              </w:rPr>
              <w:t xml:space="preserve"> </w:t>
            </w:r>
            <w:proofErr w:type="spellStart"/>
            <w:r w:rsidRPr="00EC4F25">
              <w:rPr>
                <w:rFonts w:asciiTheme="minorHAnsi" w:hAnsiTheme="minorHAnsi" w:cstheme="minorHAnsi"/>
                <w:color w:val="000000"/>
                <w:sz w:val="22"/>
                <w:szCs w:val="22"/>
                <w:lang w:val="en-US"/>
              </w:rPr>
              <w:t>bezpiecznych</w:t>
            </w:r>
            <w:proofErr w:type="spellEnd"/>
            <w:r w:rsidRPr="00EC4F25">
              <w:rPr>
                <w:rFonts w:asciiTheme="minorHAnsi" w:hAnsiTheme="minorHAnsi" w:cstheme="minorHAnsi"/>
                <w:color w:val="000000"/>
                <w:sz w:val="22"/>
                <w:szCs w:val="22"/>
                <w:lang w:val="en-US"/>
              </w:rPr>
              <w:t xml:space="preserve"> </w:t>
            </w:r>
            <w:proofErr w:type="spellStart"/>
            <w:r w:rsidRPr="00EC4F25">
              <w:rPr>
                <w:rFonts w:asciiTheme="minorHAnsi" w:hAnsiTheme="minorHAnsi" w:cstheme="minorHAnsi"/>
                <w:color w:val="000000"/>
                <w:sz w:val="22"/>
                <w:szCs w:val="22"/>
                <w:lang w:val="en-US"/>
              </w:rPr>
              <w:t>metod</w:t>
            </w:r>
            <w:proofErr w:type="spellEnd"/>
            <w:r w:rsidRPr="00EC4F25">
              <w:rPr>
                <w:rFonts w:asciiTheme="minorHAnsi" w:hAnsiTheme="minorHAnsi" w:cstheme="minorHAnsi"/>
                <w:color w:val="000000"/>
                <w:sz w:val="22"/>
                <w:szCs w:val="22"/>
                <w:lang w:val="en-US"/>
              </w:rPr>
              <w:t xml:space="preserve"> </w:t>
            </w:r>
            <w:proofErr w:type="spellStart"/>
            <w:r w:rsidRPr="00EC4F25">
              <w:rPr>
                <w:rFonts w:asciiTheme="minorHAnsi" w:hAnsiTheme="minorHAnsi" w:cstheme="minorHAnsi"/>
                <w:color w:val="000000"/>
                <w:sz w:val="22"/>
                <w:szCs w:val="22"/>
                <w:lang w:val="en-US"/>
              </w:rPr>
              <w:t>komunikacji</w:t>
            </w:r>
            <w:proofErr w:type="spellEnd"/>
            <w:r w:rsidRPr="00EC4F25">
              <w:rPr>
                <w:rFonts w:asciiTheme="minorHAnsi" w:hAnsiTheme="minorHAnsi" w:cstheme="minorHAnsi"/>
                <w:color w:val="000000"/>
                <w:sz w:val="22"/>
                <w:szCs w:val="22"/>
                <w:lang w:val="en-US"/>
              </w:rPr>
              <w:t>.</w:t>
            </w:r>
          </w:p>
          <w:p w14:paraId="2A925105" w14:textId="7DB8AE3F" w:rsidR="001F7A1E" w:rsidRPr="00D16DE2" w:rsidRDefault="001F7A1E" w:rsidP="00F45910">
            <w:pPr>
              <w:pStyle w:val="USTustnpkodeksu"/>
              <w:spacing w:line="240" w:lineRule="auto"/>
              <w:ind w:firstLine="0"/>
              <w:rPr>
                <w:rFonts w:asciiTheme="minorHAnsi" w:hAnsiTheme="minorHAnsi" w:cstheme="minorHAnsi"/>
                <w:bCs w:val="0"/>
                <w:sz w:val="10"/>
                <w:szCs w:val="10"/>
                <w:lang w:val="en-US"/>
              </w:rPr>
            </w:pPr>
          </w:p>
        </w:tc>
      </w:tr>
    </w:tbl>
    <w:p w14:paraId="54FF9243" w14:textId="77777777" w:rsidR="001F7A1E" w:rsidRPr="00EC4F25" w:rsidRDefault="001F7A1E" w:rsidP="001F7A1E">
      <w:pPr>
        <w:spacing w:after="0" w:line="240" w:lineRule="auto"/>
        <w:rPr>
          <w:rFonts w:cstheme="minorHAnsi"/>
          <w:lang w:val="en-US"/>
        </w:rPr>
      </w:pPr>
    </w:p>
    <w:p w14:paraId="6B9B057B" w14:textId="77777777" w:rsidR="001F7A1E" w:rsidRPr="00EC4F25" w:rsidRDefault="001F7A1E" w:rsidP="001F7A1E">
      <w:pPr>
        <w:spacing w:after="0" w:line="240" w:lineRule="auto"/>
        <w:jc w:val="center"/>
        <w:rPr>
          <w:rFonts w:cstheme="minorHAnsi"/>
        </w:rPr>
      </w:pPr>
      <w:r w:rsidRPr="00EC4F25">
        <w:rPr>
          <w:rFonts w:cstheme="minorHAnsi"/>
        </w:rPr>
        <w:t>+++</w:t>
      </w:r>
    </w:p>
    <w:bookmarkEnd w:id="127"/>
    <w:p w14:paraId="352E242A" w14:textId="77777777" w:rsidR="001F7A1E" w:rsidRPr="00EC4F25" w:rsidRDefault="001F7A1E" w:rsidP="001F7A1E">
      <w:pPr>
        <w:spacing w:after="0" w:line="240" w:lineRule="auto"/>
        <w:rPr>
          <w:rFonts w:cstheme="minorHAnsi"/>
        </w:rPr>
      </w:pPr>
    </w:p>
    <w:tbl>
      <w:tblPr>
        <w:tblStyle w:val="Tabela-Siatka"/>
        <w:tblW w:w="0" w:type="auto"/>
        <w:tblLook w:val="04A0" w:firstRow="1" w:lastRow="0" w:firstColumn="1" w:lastColumn="0" w:noHBand="0" w:noVBand="1"/>
      </w:tblPr>
      <w:tblGrid>
        <w:gridCol w:w="4611"/>
        <w:gridCol w:w="4445"/>
      </w:tblGrid>
      <w:tr w:rsidR="001F7A1E" w:rsidRPr="00116E29" w14:paraId="0238D218" w14:textId="77777777" w:rsidTr="00F45910">
        <w:tc>
          <w:tcPr>
            <w:tcW w:w="4611" w:type="dxa"/>
            <w:shd w:val="clear" w:color="auto" w:fill="F2F2F2" w:themeFill="background1" w:themeFillShade="F2"/>
          </w:tcPr>
          <w:p w14:paraId="462E2910" w14:textId="77777777" w:rsidR="001F7A1E" w:rsidRPr="00EC4F25" w:rsidRDefault="001F7A1E" w:rsidP="00F45910">
            <w:pPr>
              <w:jc w:val="center"/>
              <w:rPr>
                <w:rFonts w:asciiTheme="minorHAnsi" w:hAnsiTheme="minorHAnsi" w:cstheme="minorHAnsi"/>
                <w:b/>
                <w:sz w:val="22"/>
                <w:szCs w:val="22"/>
              </w:rPr>
            </w:pPr>
            <w:bookmarkStart w:id="131" w:name="_Hlk168518652"/>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73EA216D" w14:textId="62E506A1" w:rsidR="001F7A1E" w:rsidRPr="00A440BC" w:rsidRDefault="001F7A1E" w:rsidP="00F45910">
            <w:pPr>
              <w:jc w:val="center"/>
              <w:rPr>
                <w:rFonts w:asciiTheme="minorHAnsi" w:hAnsiTheme="minorHAnsi" w:cstheme="minorHAnsi"/>
                <w:b/>
                <w:sz w:val="22"/>
                <w:szCs w:val="22"/>
              </w:rPr>
            </w:pPr>
          </w:p>
        </w:tc>
        <w:tc>
          <w:tcPr>
            <w:tcW w:w="4445" w:type="dxa"/>
            <w:shd w:val="clear" w:color="auto" w:fill="F2F2F2" w:themeFill="background1" w:themeFillShade="F2"/>
          </w:tcPr>
          <w:p w14:paraId="781151E6" w14:textId="77777777"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4B7FD5C5" w14:textId="073C4A59" w:rsidR="001F7A1E" w:rsidRPr="00116E29" w:rsidRDefault="001F7A1E" w:rsidP="00F45910">
            <w:pPr>
              <w:jc w:val="center"/>
              <w:rPr>
                <w:rFonts w:asciiTheme="minorHAnsi" w:hAnsiTheme="minorHAnsi" w:cstheme="minorHAnsi"/>
                <w:b/>
                <w:sz w:val="22"/>
                <w:szCs w:val="22"/>
              </w:rPr>
            </w:pPr>
          </w:p>
        </w:tc>
      </w:tr>
      <w:tr w:rsidR="001F7A1E" w:rsidRPr="00EC4F25" w14:paraId="0E224544" w14:textId="77777777" w:rsidTr="00F45910">
        <w:tc>
          <w:tcPr>
            <w:tcW w:w="4611" w:type="dxa"/>
          </w:tcPr>
          <w:p w14:paraId="58E088EE" w14:textId="77777777" w:rsidR="001F7A1E" w:rsidRPr="00D16DE2" w:rsidRDefault="001F7A1E" w:rsidP="00F45910">
            <w:pPr>
              <w:pStyle w:val="USTustnpkodeksu"/>
              <w:spacing w:line="240" w:lineRule="auto"/>
              <w:ind w:firstLine="0"/>
              <w:rPr>
                <w:rFonts w:asciiTheme="minorHAnsi" w:hAnsiTheme="minorHAnsi" w:cstheme="minorHAnsi"/>
                <w:b/>
                <w:bCs w:val="0"/>
                <w:sz w:val="10"/>
                <w:szCs w:val="10"/>
              </w:rPr>
            </w:pPr>
          </w:p>
          <w:p w14:paraId="38F204BB"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r w:rsidRPr="00EC4F25">
              <w:rPr>
                <w:rFonts w:asciiTheme="minorHAnsi" w:hAnsiTheme="minorHAnsi" w:cstheme="minorHAnsi"/>
                <w:b/>
                <w:bCs w:val="0"/>
                <w:sz w:val="22"/>
                <w:szCs w:val="22"/>
              </w:rPr>
              <w:t>Art. 3 [Słowniczek]</w:t>
            </w:r>
          </w:p>
          <w:p w14:paraId="37AC447D"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1. Ilekroć w ustawie jest mowa o: (…),</w:t>
            </w:r>
          </w:p>
          <w:p w14:paraId="66CC3EFB"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 xml:space="preserve">6) </w:t>
            </w:r>
            <w:r w:rsidRPr="00EC4F25">
              <w:rPr>
                <w:rFonts w:asciiTheme="minorHAnsi" w:hAnsiTheme="minorHAnsi" w:cstheme="minorHAnsi"/>
                <w:b/>
                <w:bCs w:val="0"/>
                <w:sz w:val="22"/>
                <w:szCs w:val="22"/>
              </w:rPr>
              <w:t>projektach wynalazczych</w:t>
            </w:r>
            <w:r w:rsidRPr="00EC4F25">
              <w:rPr>
                <w:rFonts w:asciiTheme="minorHAnsi" w:hAnsiTheme="minorHAnsi" w:cstheme="minorHAnsi"/>
                <w:sz w:val="22"/>
                <w:szCs w:val="22"/>
              </w:rPr>
              <w:t xml:space="preserve"> - rozumie się przez to wynalazki, wzory użytkowe, wzory przemysłowe, topografie układów scalonych i </w:t>
            </w:r>
            <w:r w:rsidRPr="00EC4F25">
              <w:rPr>
                <w:rFonts w:asciiTheme="minorHAnsi" w:hAnsiTheme="minorHAnsi" w:cstheme="minorHAnsi"/>
                <w:sz w:val="22"/>
                <w:szCs w:val="22"/>
                <w:shd w:val="clear" w:color="auto" w:fill="E2EFD9" w:themeFill="accent6" w:themeFillTint="33"/>
              </w:rPr>
              <w:t>projekty racjonalizatorskie</w:t>
            </w:r>
            <w:r w:rsidRPr="00EC4F25">
              <w:rPr>
                <w:rFonts w:asciiTheme="minorHAnsi" w:hAnsiTheme="minorHAnsi" w:cstheme="minorHAnsi"/>
                <w:sz w:val="22"/>
                <w:szCs w:val="22"/>
              </w:rPr>
              <w:t>; (…).</w:t>
            </w:r>
          </w:p>
        </w:tc>
        <w:tc>
          <w:tcPr>
            <w:tcW w:w="4445" w:type="dxa"/>
          </w:tcPr>
          <w:p w14:paraId="44991FA4" w14:textId="77777777" w:rsidR="001F7A1E" w:rsidRPr="00D16DE2" w:rsidRDefault="001F7A1E" w:rsidP="00F45910">
            <w:pPr>
              <w:pStyle w:val="USTustnpkodeksu"/>
              <w:spacing w:line="240" w:lineRule="auto"/>
              <w:ind w:firstLine="0"/>
              <w:rPr>
                <w:rFonts w:asciiTheme="minorHAnsi" w:hAnsiTheme="minorHAnsi" w:cstheme="minorHAnsi"/>
                <w:sz w:val="10"/>
                <w:szCs w:val="10"/>
              </w:rPr>
            </w:pPr>
          </w:p>
          <w:p w14:paraId="415FA51A" w14:textId="77777777" w:rsidR="001F7A1E" w:rsidRPr="00EC4F25" w:rsidRDefault="001F7A1E" w:rsidP="00F45910">
            <w:pPr>
              <w:pStyle w:val="Default"/>
              <w:rPr>
                <w:rFonts w:asciiTheme="minorHAnsi" w:hAnsiTheme="minorHAnsi" w:cstheme="minorHAnsi"/>
                <w:b/>
                <w:bCs/>
                <w:sz w:val="22"/>
                <w:szCs w:val="22"/>
              </w:rPr>
            </w:pPr>
            <w:r w:rsidRPr="00EC4F25">
              <w:rPr>
                <w:rFonts w:asciiTheme="minorHAnsi" w:hAnsiTheme="minorHAnsi" w:cstheme="minorHAnsi"/>
                <w:b/>
                <w:bCs/>
                <w:sz w:val="22"/>
                <w:szCs w:val="22"/>
              </w:rPr>
              <w:t xml:space="preserve">Art. 2. </w:t>
            </w:r>
          </w:p>
          <w:p w14:paraId="0D4DBE13"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sz w:val="22"/>
                <w:szCs w:val="22"/>
              </w:rPr>
              <w:t>1. Użyte w ustawie skróty oznaczają: (…).</w:t>
            </w:r>
          </w:p>
          <w:p w14:paraId="7A819A64" w14:textId="77777777" w:rsidR="001F7A1E" w:rsidRPr="00EC4F25" w:rsidRDefault="001F7A1E" w:rsidP="00F45910">
            <w:pPr>
              <w:pStyle w:val="Default"/>
              <w:rPr>
                <w:rFonts w:asciiTheme="minorHAnsi" w:hAnsiTheme="minorHAnsi" w:cstheme="minorHAnsi"/>
                <w:sz w:val="22"/>
                <w:szCs w:val="22"/>
              </w:rPr>
            </w:pPr>
            <w:r w:rsidRPr="00EC4F25">
              <w:rPr>
                <w:rFonts w:asciiTheme="minorHAnsi" w:hAnsiTheme="minorHAnsi" w:cstheme="minorHAnsi"/>
                <w:sz w:val="22"/>
                <w:szCs w:val="22"/>
              </w:rPr>
              <w:t xml:space="preserve">2. Ilekroć w ustawie jest mowa o: </w:t>
            </w:r>
          </w:p>
          <w:p w14:paraId="590CF712" w14:textId="77777777" w:rsidR="001F7A1E" w:rsidRPr="00EC4F25" w:rsidRDefault="001F7A1E" w:rsidP="00F45910">
            <w:pPr>
              <w:pStyle w:val="Default"/>
              <w:rPr>
                <w:rFonts w:asciiTheme="minorHAnsi" w:hAnsiTheme="minorHAnsi" w:cstheme="minorHAnsi"/>
                <w:sz w:val="22"/>
                <w:szCs w:val="22"/>
              </w:rPr>
            </w:pPr>
          </w:p>
          <w:p w14:paraId="616F5A68" w14:textId="77777777" w:rsidR="001F7A1E" w:rsidRPr="00EC4F25" w:rsidRDefault="001F7A1E" w:rsidP="00F45910">
            <w:pPr>
              <w:rPr>
                <w:rFonts w:asciiTheme="minorHAnsi" w:hAnsiTheme="minorHAnsi" w:cstheme="minorHAnsi"/>
                <w:sz w:val="22"/>
                <w:szCs w:val="22"/>
              </w:rPr>
            </w:pPr>
            <w:r w:rsidRPr="00EC4F25">
              <w:rPr>
                <w:rFonts w:asciiTheme="minorHAnsi" w:hAnsiTheme="minorHAnsi" w:cstheme="minorHAnsi"/>
                <w:sz w:val="22"/>
                <w:szCs w:val="22"/>
              </w:rPr>
              <w:t xml:space="preserve">11) </w:t>
            </w:r>
            <w:r w:rsidRPr="00EC4F25">
              <w:rPr>
                <w:rFonts w:asciiTheme="minorHAnsi" w:hAnsiTheme="minorHAnsi" w:cstheme="minorHAnsi"/>
                <w:b/>
                <w:bCs/>
                <w:sz w:val="22"/>
                <w:szCs w:val="22"/>
              </w:rPr>
              <w:t>projekcie wynalazczym</w:t>
            </w:r>
            <w:r w:rsidRPr="00EC4F25">
              <w:rPr>
                <w:rFonts w:asciiTheme="minorHAnsi" w:hAnsiTheme="minorHAnsi" w:cstheme="minorHAnsi"/>
                <w:sz w:val="22"/>
                <w:szCs w:val="22"/>
              </w:rPr>
              <w:t xml:space="preserve"> – rozumie się przez to wynalazki, wzory użytkowe, wzory przemysłowe i topografie; (…).</w:t>
            </w:r>
          </w:p>
          <w:p w14:paraId="07EC4511"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p>
        </w:tc>
      </w:tr>
      <w:tr w:rsidR="001F7A1E" w:rsidRPr="00EC4F25" w14:paraId="4430A80B" w14:textId="77777777" w:rsidTr="00F45910">
        <w:tc>
          <w:tcPr>
            <w:tcW w:w="9056" w:type="dxa"/>
            <w:gridSpan w:val="2"/>
            <w:shd w:val="clear" w:color="auto" w:fill="E7E6E6" w:themeFill="background2"/>
          </w:tcPr>
          <w:p w14:paraId="53C7FBFF" w14:textId="77777777" w:rsidR="001F7A1E" w:rsidRPr="00EC4F25" w:rsidRDefault="001F7A1E" w:rsidP="00F45910">
            <w:pPr>
              <w:pStyle w:val="USTustnpkodeksu"/>
              <w:spacing w:line="240" w:lineRule="auto"/>
              <w:ind w:firstLine="0"/>
              <w:rPr>
                <w:rFonts w:asciiTheme="minorHAnsi" w:hAnsiTheme="minorHAnsi" w:cstheme="minorHAnsi"/>
                <w:b/>
                <w:sz w:val="22"/>
                <w:szCs w:val="22"/>
              </w:rPr>
            </w:pPr>
            <w:r w:rsidRPr="00EC4F25">
              <w:rPr>
                <w:rFonts w:asciiTheme="minorHAnsi" w:hAnsiTheme="minorHAnsi" w:cstheme="minorHAnsi"/>
                <w:b/>
                <w:sz w:val="22"/>
                <w:szCs w:val="22"/>
              </w:rPr>
              <w:t>UWAGI:</w:t>
            </w:r>
          </w:p>
          <w:p w14:paraId="3A1B4B9D" w14:textId="2EFCF57A" w:rsidR="001F7A1E" w:rsidRPr="00EC4F25" w:rsidRDefault="001F7A1E" w:rsidP="00F45910">
            <w:pPr>
              <w:pStyle w:val="USTustnpkodeksu"/>
              <w:spacing w:line="240" w:lineRule="auto"/>
              <w:ind w:firstLine="0"/>
              <w:rPr>
                <w:rFonts w:asciiTheme="minorHAnsi" w:hAnsiTheme="minorHAnsi" w:cstheme="minorHAnsi"/>
                <w:sz w:val="22"/>
                <w:szCs w:val="22"/>
              </w:rPr>
            </w:pPr>
          </w:p>
        </w:tc>
      </w:tr>
      <w:tr w:rsidR="001F7A1E" w:rsidRPr="00DB51DA" w14:paraId="55258113" w14:textId="77777777" w:rsidTr="00F45910">
        <w:tc>
          <w:tcPr>
            <w:tcW w:w="9056" w:type="dxa"/>
            <w:gridSpan w:val="2"/>
            <w:shd w:val="clear" w:color="auto" w:fill="FFFFFF" w:themeFill="background1"/>
          </w:tcPr>
          <w:p w14:paraId="19AB77F4" w14:textId="32370D4E" w:rsidR="001F7A1E" w:rsidRPr="00EC4F25" w:rsidRDefault="001F7A1E" w:rsidP="00F45910">
            <w:pPr>
              <w:pStyle w:val="USTustnpkodeksu"/>
              <w:spacing w:line="240" w:lineRule="auto"/>
              <w:ind w:firstLine="0"/>
              <w:rPr>
                <w:rFonts w:asciiTheme="minorHAnsi" w:hAnsiTheme="minorHAnsi" w:cstheme="minorHAnsi"/>
                <w:sz w:val="22"/>
                <w:szCs w:val="22"/>
                <w:shd w:val="clear" w:color="auto" w:fill="FFFFFF" w:themeFill="background1"/>
              </w:rPr>
            </w:pPr>
            <w:r w:rsidRPr="00EC4F25">
              <w:rPr>
                <w:rFonts w:asciiTheme="minorHAnsi" w:hAnsiTheme="minorHAnsi" w:cstheme="minorHAnsi"/>
                <w:color w:val="000000"/>
                <w:sz w:val="22"/>
                <w:szCs w:val="22"/>
              </w:rPr>
              <w:t xml:space="preserve">W projekcie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color w:val="000000"/>
                <w:sz w:val="22"/>
                <w:szCs w:val="22"/>
              </w:rPr>
              <w:t xml:space="preserve">zaproponowano </w:t>
            </w:r>
            <w:r w:rsidRPr="00EC4F25">
              <w:rPr>
                <w:rFonts w:asciiTheme="minorHAnsi" w:hAnsiTheme="minorHAnsi" w:cstheme="minorHAnsi"/>
                <w:b/>
                <w:bCs w:val="0"/>
                <w:color w:val="FF0000"/>
                <w:sz w:val="22"/>
                <w:szCs w:val="22"/>
              </w:rPr>
              <w:t xml:space="preserve">usunięcie </w:t>
            </w:r>
            <w:r w:rsidRPr="00EC4F25">
              <w:rPr>
                <w:rFonts w:asciiTheme="minorHAnsi" w:hAnsiTheme="minorHAnsi" w:cstheme="minorHAnsi"/>
                <w:b/>
                <w:bCs w:val="0"/>
                <w:color w:val="000000"/>
                <w:sz w:val="22"/>
                <w:szCs w:val="22"/>
              </w:rPr>
              <w:t xml:space="preserve">z ustawy problematyki racjonalizacji, a dodatkowo z definicji </w:t>
            </w:r>
            <w:r w:rsidRPr="00EC4F25">
              <w:rPr>
                <w:rFonts w:asciiTheme="minorHAnsi" w:hAnsiTheme="minorHAnsi" w:cstheme="minorHAnsi"/>
                <w:color w:val="000000"/>
                <w:sz w:val="22"/>
                <w:szCs w:val="22"/>
              </w:rPr>
              <w:t>„</w:t>
            </w:r>
            <w:r w:rsidRPr="00EC4F25">
              <w:rPr>
                <w:rFonts w:asciiTheme="minorHAnsi" w:hAnsiTheme="minorHAnsi" w:cstheme="minorHAnsi"/>
                <w:b/>
                <w:bCs w:val="0"/>
                <w:i/>
                <w:iCs/>
                <w:color w:val="000000"/>
                <w:sz w:val="22"/>
                <w:szCs w:val="22"/>
              </w:rPr>
              <w:t>projektu wynalazczego</w:t>
            </w:r>
            <w:r w:rsidRPr="00EC4F25">
              <w:rPr>
                <w:rFonts w:asciiTheme="minorHAnsi" w:hAnsiTheme="minorHAnsi" w:cstheme="minorHAnsi"/>
                <w:color w:val="000000"/>
                <w:sz w:val="22"/>
                <w:szCs w:val="22"/>
              </w:rPr>
              <w:t>” usunięcie terminu „</w:t>
            </w:r>
            <w:r w:rsidRPr="00EC4F25">
              <w:rPr>
                <w:rFonts w:asciiTheme="minorHAnsi" w:hAnsiTheme="minorHAnsi" w:cstheme="minorHAnsi"/>
                <w:i/>
                <w:iCs/>
                <w:sz w:val="22"/>
                <w:szCs w:val="22"/>
                <w:shd w:val="clear" w:color="auto" w:fill="E2EFD9" w:themeFill="accent6" w:themeFillTint="33"/>
              </w:rPr>
              <w:t>projekty racjonalizatorskie</w:t>
            </w:r>
            <w:r w:rsidRPr="00EC4F25">
              <w:rPr>
                <w:rFonts w:asciiTheme="minorHAnsi" w:hAnsiTheme="minorHAnsi" w:cstheme="minorHAnsi"/>
                <w:sz w:val="22"/>
                <w:szCs w:val="22"/>
                <w:shd w:val="clear" w:color="auto" w:fill="E2EFD9" w:themeFill="accent6" w:themeFillTint="33"/>
              </w:rPr>
              <w:t>”</w:t>
            </w:r>
            <w:r w:rsidRPr="00EC4F25">
              <w:rPr>
                <w:rFonts w:asciiTheme="minorHAnsi" w:hAnsiTheme="minorHAnsi" w:cstheme="minorHAnsi"/>
                <w:sz w:val="22"/>
                <w:szCs w:val="22"/>
                <w:shd w:val="clear" w:color="auto" w:fill="FFFFFF" w:themeFill="background1"/>
              </w:rPr>
              <w:t xml:space="preserve"> - co stanowiłoby krok wstecz w zakresie popularyzacji idei innowacyjności wśród pracowników i dlatego uważamy, że byłoby szkodliwe dla gospodarki narodowej.</w:t>
            </w:r>
          </w:p>
          <w:p w14:paraId="622589D4" w14:textId="39620530" w:rsidR="001F7A1E" w:rsidRPr="00D16DE2" w:rsidRDefault="001F7A1E" w:rsidP="00F45910">
            <w:pPr>
              <w:pStyle w:val="USTustnpkodeksu"/>
              <w:spacing w:line="240" w:lineRule="auto"/>
              <w:ind w:firstLine="0"/>
              <w:rPr>
                <w:rFonts w:asciiTheme="minorHAnsi" w:hAnsiTheme="minorHAnsi" w:cstheme="minorHAnsi"/>
                <w:bCs w:val="0"/>
                <w:sz w:val="10"/>
                <w:szCs w:val="10"/>
              </w:rPr>
            </w:pPr>
          </w:p>
        </w:tc>
      </w:tr>
    </w:tbl>
    <w:p w14:paraId="1AD5A7CC" w14:textId="77777777" w:rsidR="001F7A1E" w:rsidRPr="00A440BC" w:rsidRDefault="001F7A1E" w:rsidP="001F7A1E">
      <w:pPr>
        <w:spacing w:after="0" w:line="240" w:lineRule="auto"/>
        <w:rPr>
          <w:rFonts w:cstheme="minorHAnsi"/>
        </w:rPr>
      </w:pPr>
    </w:p>
    <w:p w14:paraId="1192F42F" w14:textId="77777777" w:rsidR="001F7A1E" w:rsidRPr="00EC4F25" w:rsidRDefault="001F7A1E" w:rsidP="001F7A1E">
      <w:pPr>
        <w:spacing w:after="0" w:line="240" w:lineRule="auto"/>
        <w:jc w:val="center"/>
        <w:rPr>
          <w:rFonts w:cstheme="minorHAnsi"/>
        </w:rPr>
      </w:pPr>
      <w:r w:rsidRPr="00EC4F25">
        <w:rPr>
          <w:rFonts w:cstheme="minorHAnsi"/>
        </w:rPr>
        <w:t>+++</w:t>
      </w:r>
    </w:p>
    <w:p w14:paraId="4DAE75F5" w14:textId="77777777" w:rsidR="001F7A1E" w:rsidRPr="00EC4F25" w:rsidRDefault="001F7A1E" w:rsidP="001F7A1E">
      <w:pPr>
        <w:spacing w:after="0" w:line="240" w:lineRule="auto"/>
        <w:rPr>
          <w:rFonts w:cstheme="minorHAnsi"/>
        </w:rPr>
      </w:pPr>
      <w:bookmarkStart w:id="132" w:name="_Hlk168518707"/>
    </w:p>
    <w:tbl>
      <w:tblPr>
        <w:tblStyle w:val="Tabela-Siatka"/>
        <w:tblW w:w="0" w:type="auto"/>
        <w:tblLook w:val="04A0" w:firstRow="1" w:lastRow="0" w:firstColumn="1" w:lastColumn="0" w:noHBand="0" w:noVBand="1"/>
      </w:tblPr>
      <w:tblGrid>
        <w:gridCol w:w="4611"/>
        <w:gridCol w:w="4445"/>
      </w:tblGrid>
      <w:tr w:rsidR="001F7A1E" w:rsidRPr="00DB51DA" w14:paraId="607B4E2D" w14:textId="77777777" w:rsidTr="00F45910">
        <w:tc>
          <w:tcPr>
            <w:tcW w:w="4611" w:type="dxa"/>
            <w:shd w:val="clear" w:color="auto" w:fill="F2F2F2" w:themeFill="background1" w:themeFillShade="F2"/>
          </w:tcPr>
          <w:bookmarkEnd w:id="131"/>
          <w:p w14:paraId="38F00B66" w14:textId="77777777" w:rsidR="001F7A1E" w:rsidRPr="00EC4F25" w:rsidRDefault="001F7A1E" w:rsidP="00F45910">
            <w:pPr>
              <w:jc w:val="center"/>
              <w:rPr>
                <w:rFonts w:asciiTheme="minorHAnsi" w:hAnsiTheme="minorHAnsi" w:cstheme="minorHAnsi"/>
                <w:b/>
                <w:sz w:val="22"/>
                <w:szCs w:val="22"/>
              </w:rPr>
            </w:pPr>
            <w:r w:rsidRPr="00EC4F25">
              <w:rPr>
                <w:rFonts w:asciiTheme="minorHAnsi" w:hAnsiTheme="minorHAnsi" w:cstheme="minorHAnsi"/>
                <w:b/>
                <w:sz w:val="22"/>
                <w:szCs w:val="22"/>
              </w:rPr>
              <w:t xml:space="preserve">DZIŚ w obowiązującej </w:t>
            </w:r>
            <w:r w:rsidRPr="00EC4F25">
              <w:rPr>
                <w:rFonts w:asciiTheme="minorHAnsi" w:hAnsiTheme="minorHAnsi" w:cstheme="minorHAnsi"/>
                <w:b/>
                <w:sz w:val="22"/>
                <w:szCs w:val="22"/>
                <w:u w:val="single"/>
              </w:rPr>
              <w:t>ustawie Prawo własności przemysłowej</w:t>
            </w:r>
            <w:r w:rsidRPr="00EC4F25">
              <w:rPr>
                <w:rFonts w:asciiTheme="minorHAnsi" w:hAnsiTheme="minorHAnsi" w:cstheme="minorHAnsi"/>
                <w:b/>
                <w:sz w:val="22"/>
                <w:szCs w:val="22"/>
              </w:rPr>
              <w:t>:</w:t>
            </w:r>
          </w:p>
          <w:p w14:paraId="6BF22843" w14:textId="208161B4" w:rsidR="001F7A1E" w:rsidRPr="00A440BC" w:rsidRDefault="001F7A1E" w:rsidP="00F45910">
            <w:pPr>
              <w:jc w:val="center"/>
              <w:rPr>
                <w:rFonts w:asciiTheme="minorHAnsi" w:hAnsiTheme="minorHAnsi" w:cstheme="minorHAnsi"/>
                <w:b/>
                <w:sz w:val="22"/>
                <w:szCs w:val="22"/>
              </w:rPr>
            </w:pPr>
          </w:p>
        </w:tc>
        <w:tc>
          <w:tcPr>
            <w:tcW w:w="4445" w:type="dxa"/>
            <w:shd w:val="clear" w:color="auto" w:fill="F2F2F2" w:themeFill="background1" w:themeFillShade="F2"/>
          </w:tcPr>
          <w:p w14:paraId="43FF74DF" w14:textId="77777777" w:rsidR="001F7A1E" w:rsidRPr="00EC4F25" w:rsidRDefault="001F7A1E" w:rsidP="00F45910">
            <w:pPr>
              <w:keepNext/>
              <w:jc w:val="center"/>
              <w:rPr>
                <w:rFonts w:asciiTheme="minorHAnsi" w:hAnsiTheme="minorHAnsi" w:cstheme="minorHAnsi"/>
                <w:b/>
                <w:sz w:val="22"/>
                <w:szCs w:val="22"/>
              </w:rPr>
            </w:pPr>
            <w:r w:rsidRPr="00EC4F25">
              <w:rPr>
                <w:rFonts w:asciiTheme="minorHAnsi" w:hAnsiTheme="minorHAnsi" w:cstheme="minorHAnsi"/>
                <w:b/>
                <w:sz w:val="22"/>
                <w:szCs w:val="22"/>
              </w:rPr>
              <w:t xml:space="preserve">ZAPROPONOWANO przez projektodawcę w słabej koncepcji </w:t>
            </w:r>
            <w:r w:rsidRPr="00EC4F25">
              <w:rPr>
                <w:rFonts w:asciiTheme="minorHAnsi" w:hAnsiTheme="minorHAnsi" w:cstheme="minorHAnsi"/>
                <w:b/>
                <w:sz w:val="22"/>
                <w:szCs w:val="22"/>
                <w:u w:val="single"/>
              </w:rPr>
              <w:t>nowej ustawy Prawo własności przemysłowej</w:t>
            </w:r>
            <w:r w:rsidRPr="00EC4F25">
              <w:rPr>
                <w:rFonts w:asciiTheme="minorHAnsi" w:hAnsiTheme="minorHAnsi" w:cstheme="minorHAnsi"/>
                <w:b/>
                <w:sz w:val="22"/>
                <w:szCs w:val="22"/>
              </w:rPr>
              <w:t xml:space="preserve"> UD263:</w:t>
            </w:r>
          </w:p>
          <w:p w14:paraId="3A336375" w14:textId="1E8DED8A" w:rsidR="001F7A1E" w:rsidRPr="00A440BC" w:rsidRDefault="001F7A1E" w:rsidP="00F45910">
            <w:pPr>
              <w:jc w:val="center"/>
              <w:rPr>
                <w:rFonts w:asciiTheme="minorHAnsi" w:hAnsiTheme="minorHAnsi" w:cstheme="minorHAnsi"/>
                <w:b/>
                <w:sz w:val="22"/>
                <w:szCs w:val="22"/>
              </w:rPr>
            </w:pPr>
          </w:p>
        </w:tc>
      </w:tr>
      <w:tr w:rsidR="001F7A1E" w:rsidRPr="00EC4F25" w14:paraId="5D9D3186" w14:textId="77777777" w:rsidTr="00F45910">
        <w:tc>
          <w:tcPr>
            <w:tcW w:w="4611" w:type="dxa"/>
          </w:tcPr>
          <w:p w14:paraId="757309E8" w14:textId="77777777" w:rsidR="001F7A1E" w:rsidRPr="00E6739D" w:rsidRDefault="001F7A1E" w:rsidP="00F45910">
            <w:pPr>
              <w:pStyle w:val="USTustnpkodeksu"/>
              <w:spacing w:line="240" w:lineRule="auto"/>
              <w:ind w:firstLine="0"/>
              <w:rPr>
                <w:rFonts w:asciiTheme="minorHAnsi" w:hAnsiTheme="minorHAnsi" w:cstheme="minorHAnsi"/>
                <w:b/>
                <w:bCs w:val="0"/>
                <w:sz w:val="10"/>
                <w:szCs w:val="10"/>
              </w:rPr>
            </w:pPr>
          </w:p>
          <w:p w14:paraId="59500942"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r w:rsidRPr="00EC4F25">
              <w:rPr>
                <w:rFonts w:asciiTheme="minorHAnsi" w:hAnsiTheme="minorHAnsi" w:cstheme="minorHAnsi"/>
                <w:b/>
                <w:bCs w:val="0"/>
                <w:sz w:val="22"/>
                <w:szCs w:val="22"/>
              </w:rPr>
              <w:t>Art. 120 [Definicje]</w:t>
            </w:r>
          </w:p>
          <w:p w14:paraId="6E800C1B"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 xml:space="preserve">1. Znakiem towarowym może być </w:t>
            </w:r>
            <w:r w:rsidRPr="00EC4F25">
              <w:rPr>
                <w:rFonts w:asciiTheme="minorHAnsi" w:hAnsiTheme="minorHAnsi" w:cstheme="minorHAnsi"/>
                <w:sz w:val="22"/>
                <w:szCs w:val="22"/>
                <w:shd w:val="clear" w:color="auto" w:fill="FBE4D5" w:themeFill="accent2" w:themeFillTint="33"/>
              </w:rPr>
              <w:t xml:space="preserve">każde oznaczenie </w:t>
            </w:r>
            <w:r w:rsidRPr="00EC4F25">
              <w:rPr>
                <w:rFonts w:asciiTheme="minorHAnsi" w:hAnsiTheme="minorHAnsi" w:cstheme="minorHAnsi"/>
                <w:sz w:val="22"/>
                <w:szCs w:val="22"/>
              </w:rPr>
              <w:t>umożliwiające odróżnienie towarów jednego przedsiębiorstwa od towarów innego przedsiębiorstwa oraz możliwe do przedstawienia w rejestrze znaków towarowych w sposób pozwalający na ustalenie jednoznacznego i dokładnego przedmiotu udzielonej ochrony.</w:t>
            </w:r>
          </w:p>
          <w:p w14:paraId="415D4D90"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 xml:space="preserve">2. Znakiem towarowym, w rozumieniu ust. 1, może być w szczególności </w:t>
            </w:r>
            <w:r w:rsidRPr="00EC4F25">
              <w:rPr>
                <w:rFonts w:asciiTheme="minorHAnsi" w:hAnsiTheme="minorHAnsi" w:cstheme="minorHAnsi"/>
                <w:sz w:val="22"/>
                <w:szCs w:val="22"/>
                <w:shd w:val="clear" w:color="auto" w:fill="EDEDED" w:themeFill="accent3" w:themeFillTint="33"/>
              </w:rPr>
              <w:t>wyraz</w:t>
            </w:r>
            <w:r w:rsidRPr="00EC4F25">
              <w:rPr>
                <w:rFonts w:asciiTheme="minorHAnsi" w:hAnsiTheme="minorHAnsi" w:cstheme="minorHAnsi"/>
                <w:sz w:val="22"/>
                <w:szCs w:val="22"/>
              </w:rPr>
              <w:t xml:space="preserve">, włącznie z nazwiskiem, </w:t>
            </w:r>
            <w:r w:rsidRPr="00EC4F25">
              <w:rPr>
                <w:rFonts w:asciiTheme="minorHAnsi" w:hAnsiTheme="minorHAnsi" w:cstheme="minorHAnsi"/>
                <w:sz w:val="22"/>
                <w:szCs w:val="22"/>
                <w:shd w:val="clear" w:color="auto" w:fill="E2EFD9" w:themeFill="accent6" w:themeFillTint="33"/>
              </w:rPr>
              <w:t>rysunek</w:t>
            </w:r>
            <w:r w:rsidRPr="00EC4F25">
              <w:rPr>
                <w:rFonts w:asciiTheme="minorHAnsi" w:hAnsiTheme="minorHAnsi" w:cstheme="minorHAnsi"/>
                <w:sz w:val="22"/>
                <w:szCs w:val="22"/>
              </w:rPr>
              <w:t xml:space="preserve">, </w:t>
            </w:r>
            <w:r w:rsidRPr="00EC4F25">
              <w:rPr>
                <w:rFonts w:asciiTheme="minorHAnsi" w:hAnsiTheme="minorHAnsi" w:cstheme="minorHAnsi"/>
                <w:b/>
                <w:bCs w:val="0"/>
                <w:sz w:val="22"/>
                <w:szCs w:val="22"/>
              </w:rPr>
              <w:t>litera</w:t>
            </w:r>
            <w:r w:rsidRPr="00EC4F25">
              <w:rPr>
                <w:rFonts w:asciiTheme="minorHAnsi" w:hAnsiTheme="minorHAnsi" w:cstheme="minorHAnsi"/>
                <w:sz w:val="22"/>
                <w:szCs w:val="22"/>
              </w:rPr>
              <w:t xml:space="preserve">, </w:t>
            </w:r>
            <w:r w:rsidRPr="00EC4F25">
              <w:rPr>
                <w:rFonts w:asciiTheme="minorHAnsi" w:hAnsiTheme="minorHAnsi" w:cstheme="minorHAnsi"/>
                <w:sz w:val="22"/>
                <w:szCs w:val="22"/>
                <w:shd w:val="clear" w:color="auto" w:fill="D9E2F3" w:themeFill="accent1" w:themeFillTint="33"/>
              </w:rPr>
              <w:t>cyfra</w:t>
            </w:r>
            <w:r w:rsidRPr="00EC4F25">
              <w:rPr>
                <w:rFonts w:asciiTheme="minorHAnsi" w:hAnsiTheme="minorHAnsi" w:cstheme="minorHAnsi"/>
                <w:sz w:val="22"/>
                <w:szCs w:val="22"/>
              </w:rPr>
              <w:t>, kolor, forma przestrzenna, w tym kształt towaru lub opakowania, a także dźwięk.</w:t>
            </w:r>
          </w:p>
          <w:p w14:paraId="33755A91"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p>
        </w:tc>
        <w:tc>
          <w:tcPr>
            <w:tcW w:w="4445" w:type="dxa"/>
          </w:tcPr>
          <w:p w14:paraId="38202A91" w14:textId="77777777" w:rsidR="001F7A1E" w:rsidRPr="00E6739D" w:rsidRDefault="001F7A1E" w:rsidP="00F45910">
            <w:pPr>
              <w:pStyle w:val="USTustnpkodeksu"/>
              <w:spacing w:line="240" w:lineRule="auto"/>
              <w:ind w:firstLine="0"/>
              <w:rPr>
                <w:rFonts w:asciiTheme="minorHAnsi" w:hAnsiTheme="minorHAnsi" w:cstheme="minorHAnsi"/>
                <w:b/>
                <w:bCs w:val="0"/>
                <w:sz w:val="10"/>
                <w:szCs w:val="10"/>
              </w:rPr>
            </w:pPr>
          </w:p>
          <w:p w14:paraId="450DD7DD"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p>
          <w:p w14:paraId="3F1F154C"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p>
          <w:p w14:paraId="2680E08C"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p>
          <w:p w14:paraId="39332FD4" w14:textId="77777777" w:rsidR="001F7A1E" w:rsidRPr="00EC4F25" w:rsidRDefault="001F7A1E" w:rsidP="00F45910">
            <w:pPr>
              <w:pStyle w:val="USTustnpkodeksu"/>
              <w:spacing w:line="240" w:lineRule="auto"/>
              <w:ind w:firstLine="0"/>
              <w:rPr>
                <w:rFonts w:asciiTheme="minorHAnsi" w:hAnsiTheme="minorHAnsi" w:cstheme="minorHAnsi"/>
                <w:b/>
                <w:bCs w:val="0"/>
                <w:sz w:val="22"/>
                <w:szCs w:val="22"/>
              </w:rPr>
            </w:pPr>
            <w:r w:rsidRPr="00EC4F25">
              <w:rPr>
                <w:rFonts w:asciiTheme="minorHAnsi" w:hAnsiTheme="minorHAnsi" w:cstheme="minorHAnsi"/>
                <w:b/>
                <w:bCs w:val="0"/>
                <w:sz w:val="22"/>
                <w:szCs w:val="22"/>
              </w:rPr>
              <w:t xml:space="preserve">Art. 170. </w:t>
            </w:r>
          </w:p>
          <w:p w14:paraId="7BBEB11A"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 xml:space="preserve">Znakiem towarowym może być </w:t>
            </w:r>
            <w:r w:rsidRPr="00EC4F25">
              <w:rPr>
                <w:rFonts w:asciiTheme="minorHAnsi" w:hAnsiTheme="minorHAnsi" w:cstheme="minorHAnsi"/>
                <w:sz w:val="22"/>
                <w:szCs w:val="22"/>
                <w:shd w:val="clear" w:color="auto" w:fill="FBE4D5" w:themeFill="accent2" w:themeFillTint="33"/>
              </w:rPr>
              <w:t>każde oznaczenie</w:t>
            </w:r>
            <w:r w:rsidRPr="00EC4F25">
              <w:rPr>
                <w:rFonts w:asciiTheme="minorHAnsi" w:hAnsiTheme="minorHAnsi" w:cstheme="minorHAnsi"/>
                <w:sz w:val="22"/>
                <w:szCs w:val="22"/>
              </w:rPr>
              <w:t xml:space="preserve">, w szczególności </w:t>
            </w:r>
            <w:r w:rsidRPr="00EC4F25">
              <w:rPr>
                <w:rFonts w:asciiTheme="minorHAnsi" w:hAnsiTheme="minorHAnsi" w:cstheme="minorHAnsi"/>
                <w:sz w:val="22"/>
                <w:szCs w:val="22"/>
                <w:shd w:val="clear" w:color="auto" w:fill="EDEDED" w:themeFill="accent3" w:themeFillTint="33"/>
              </w:rPr>
              <w:t>wyraz</w:t>
            </w:r>
            <w:r w:rsidRPr="00EC4F25">
              <w:rPr>
                <w:rFonts w:asciiTheme="minorHAnsi" w:hAnsiTheme="minorHAnsi" w:cstheme="minorHAnsi"/>
                <w:sz w:val="22"/>
                <w:szCs w:val="22"/>
              </w:rPr>
              <w:t xml:space="preserve">, włącznie z nazwiskiem, </w:t>
            </w:r>
            <w:r w:rsidRPr="00EC4F25">
              <w:rPr>
                <w:rFonts w:asciiTheme="minorHAnsi" w:hAnsiTheme="minorHAnsi" w:cstheme="minorHAnsi"/>
                <w:sz w:val="22"/>
                <w:szCs w:val="22"/>
                <w:shd w:val="clear" w:color="auto" w:fill="E2EFD9" w:themeFill="accent6" w:themeFillTint="33"/>
              </w:rPr>
              <w:t>rysunek</w:t>
            </w:r>
            <w:r w:rsidRPr="00EC4F25">
              <w:rPr>
                <w:rFonts w:asciiTheme="minorHAnsi" w:hAnsiTheme="minorHAnsi" w:cstheme="minorHAnsi"/>
                <w:sz w:val="22"/>
                <w:szCs w:val="22"/>
              </w:rPr>
              <w:t xml:space="preserve">, </w:t>
            </w:r>
            <w:r w:rsidRPr="00EC4F25">
              <w:rPr>
                <w:rFonts w:asciiTheme="minorHAnsi" w:hAnsiTheme="minorHAnsi" w:cstheme="minorHAnsi"/>
                <w:b/>
                <w:bCs w:val="0"/>
                <w:sz w:val="22"/>
                <w:szCs w:val="22"/>
              </w:rPr>
              <w:t>litera</w:t>
            </w:r>
            <w:r w:rsidRPr="00EC4F25">
              <w:rPr>
                <w:rFonts w:asciiTheme="minorHAnsi" w:hAnsiTheme="minorHAnsi" w:cstheme="minorHAnsi"/>
                <w:sz w:val="22"/>
                <w:szCs w:val="22"/>
              </w:rPr>
              <w:t xml:space="preserve">, </w:t>
            </w:r>
            <w:r w:rsidRPr="00EC4F25">
              <w:rPr>
                <w:rFonts w:asciiTheme="minorHAnsi" w:hAnsiTheme="minorHAnsi" w:cstheme="minorHAnsi"/>
                <w:sz w:val="22"/>
                <w:szCs w:val="22"/>
                <w:shd w:val="clear" w:color="auto" w:fill="D9E2F3" w:themeFill="accent1" w:themeFillTint="33"/>
              </w:rPr>
              <w:t>cyfra</w:t>
            </w:r>
            <w:r w:rsidRPr="00EC4F25">
              <w:rPr>
                <w:rFonts w:asciiTheme="minorHAnsi" w:hAnsiTheme="minorHAnsi" w:cstheme="minorHAnsi"/>
                <w:sz w:val="22"/>
                <w:szCs w:val="22"/>
              </w:rPr>
              <w:t xml:space="preserve">, kolor, forma przestrzenna, w tym kształt towaru lub opakowania, a także dźwięk, umożliwiające odróżnienie towarów lub usług jednego przedsiębiorcy od towarów lub usług innego przedsiębiorcy oraz możliwe do przedstawienia w rejestrze znaków towarowych w sposób </w:t>
            </w:r>
            <w:r w:rsidRPr="00EC4F25">
              <w:rPr>
                <w:rFonts w:asciiTheme="minorHAnsi" w:hAnsiTheme="minorHAnsi" w:cstheme="minorHAnsi"/>
                <w:sz w:val="22"/>
                <w:szCs w:val="22"/>
              </w:rPr>
              <w:lastRenderedPageBreak/>
              <w:t>pozwalający na ustalenie jednoznacznego i dokładnego przedmiotu udzielonej ochrony.</w:t>
            </w:r>
          </w:p>
        </w:tc>
      </w:tr>
      <w:tr w:rsidR="001F7A1E" w:rsidRPr="00EC4F25" w14:paraId="4F2A35F3" w14:textId="77777777" w:rsidTr="00F45910">
        <w:tc>
          <w:tcPr>
            <w:tcW w:w="9056" w:type="dxa"/>
            <w:gridSpan w:val="2"/>
            <w:shd w:val="clear" w:color="auto" w:fill="E7E6E6" w:themeFill="background2"/>
          </w:tcPr>
          <w:p w14:paraId="7281BDEA" w14:textId="77777777" w:rsidR="001F7A1E" w:rsidRPr="00EC4F25" w:rsidRDefault="001F7A1E" w:rsidP="00F45910">
            <w:pPr>
              <w:pStyle w:val="USTustnpkodeksu"/>
              <w:spacing w:line="240" w:lineRule="auto"/>
              <w:ind w:firstLine="0"/>
              <w:rPr>
                <w:rFonts w:asciiTheme="minorHAnsi" w:hAnsiTheme="minorHAnsi" w:cstheme="minorHAnsi"/>
                <w:b/>
                <w:sz w:val="22"/>
                <w:szCs w:val="22"/>
              </w:rPr>
            </w:pPr>
            <w:r w:rsidRPr="00EC4F25">
              <w:rPr>
                <w:rFonts w:asciiTheme="minorHAnsi" w:hAnsiTheme="minorHAnsi" w:cstheme="minorHAnsi"/>
                <w:b/>
                <w:sz w:val="22"/>
                <w:szCs w:val="22"/>
              </w:rPr>
              <w:lastRenderedPageBreak/>
              <w:t>UWAGI:</w:t>
            </w:r>
          </w:p>
          <w:p w14:paraId="765FAAD9" w14:textId="45DE94FC" w:rsidR="001F7A1E" w:rsidRPr="00EC4F25" w:rsidRDefault="001F7A1E" w:rsidP="00F45910">
            <w:pPr>
              <w:pStyle w:val="USTustnpkodeksu"/>
              <w:spacing w:line="240" w:lineRule="auto"/>
              <w:ind w:firstLine="0"/>
              <w:rPr>
                <w:rFonts w:asciiTheme="minorHAnsi" w:hAnsiTheme="minorHAnsi" w:cstheme="minorHAnsi"/>
                <w:sz w:val="22"/>
                <w:szCs w:val="22"/>
              </w:rPr>
            </w:pPr>
          </w:p>
        </w:tc>
      </w:tr>
      <w:tr w:rsidR="001F7A1E" w:rsidRPr="00DB51DA" w14:paraId="4CEDAE1E" w14:textId="77777777" w:rsidTr="00F45910">
        <w:tc>
          <w:tcPr>
            <w:tcW w:w="9056" w:type="dxa"/>
            <w:gridSpan w:val="2"/>
            <w:shd w:val="clear" w:color="auto" w:fill="FFFFFF" w:themeFill="background1"/>
          </w:tcPr>
          <w:p w14:paraId="21649381" w14:textId="77777777" w:rsidR="001F7A1E" w:rsidRPr="00E6739D" w:rsidRDefault="001F7A1E" w:rsidP="00F45910">
            <w:pPr>
              <w:pStyle w:val="USTustnpkodeksu"/>
              <w:spacing w:line="240" w:lineRule="auto"/>
              <w:ind w:firstLine="0"/>
              <w:rPr>
                <w:rFonts w:asciiTheme="minorHAnsi" w:hAnsiTheme="minorHAnsi" w:cstheme="minorHAnsi"/>
                <w:color w:val="000000"/>
                <w:sz w:val="10"/>
                <w:szCs w:val="10"/>
              </w:rPr>
            </w:pPr>
          </w:p>
          <w:p w14:paraId="2A7B88BE" w14:textId="77777777" w:rsidR="001F7A1E" w:rsidRPr="00EC4F25" w:rsidRDefault="001F7A1E" w:rsidP="00F45910">
            <w:pPr>
              <w:pStyle w:val="USTustnpkodeksu"/>
              <w:spacing w:line="240" w:lineRule="auto"/>
              <w:ind w:firstLine="0"/>
              <w:rPr>
                <w:rFonts w:asciiTheme="minorHAnsi" w:hAnsiTheme="minorHAnsi" w:cstheme="minorHAnsi"/>
                <w:b/>
                <w:bCs w:val="0"/>
                <w:i/>
                <w:iCs/>
                <w:color w:val="000000"/>
                <w:sz w:val="22"/>
                <w:szCs w:val="22"/>
              </w:rPr>
            </w:pPr>
            <w:r w:rsidRPr="00EC4F25">
              <w:rPr>
                <w:rFonts w:asciiTheme="minorHAnsi" w:hAnsiTheme="minorHAnsi" w:cstheme="minorHAnsi"/>
                <w:color w:val="000000"/>
                <w:sz w:val="22"/>
                <w:szCs w:val="22"/>
              </w:rPr>
              <w:t xml:space="preserve">Wprawdzie w OCENIE SKUTKOW REGULACJI projektu ustawy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color w:val="000000"/>
                <w:sz w:val="22"/>
                <w:szCs w:val="22"/>
              </w:rPr>
              <w:t xml:space="preserve">słusznie zauważono: </w:t>
            </w:r>
            <w:r w:rsidRPr="00EC4F25">
              <w:rPr>
                <w:rFonts w:asciiTheme="minorHAnsi" w:hAnsiTheme="minorHAnsi" w:cstheme="minorHAnsi"/>
                <w:b/>
                <w:bCs w:val="0"/>
                <w:i/>
                <w:iCs/>
                <w:color w:val="000000"/>
                <w:sz w:val="22"/>
                <w:szCs w:val="22"/>
              </w:rPr>
              <w:t>„Na gruncie przepisów p.w.p. wciąż pozostają obszary, w których odpowiednie zmiany i dalsza harmonizacja z regulacjami unijnymi mogłaby mieć korzystny wpływ na konkurencyjność i wzrost gospodarczy.”</w:t>
            </w:r>
          </w:p>
          <w:p w14:paraId="50559509" w14:textId="77777777" w:rsidR="001F7A1E" w:rsidRPr="00EC4F25" w:rsidRDefault="001F7A1E" w:rsidP="00F45910">
            <w:pPr>
              <w:pStyle w:val="USTustnpkodeksu"/>
              <w:spacing w:line="240" w:lineRule="auto"/>
              <w:ind w:firstLine="0"/>
              <w:rPr>
                <w:rFonts w:asciiTheme="minorHAnsi" w:hAnsiTheme="minorHAnsi" w:cstheme="minorHAnsi"/>
                <w:b/>
                <w:bCs w:val="0"/>
                <w:color w:val="000000"/>
                <w:sz w:val="22"/>
                <w:szCs w:val="22"/>
              </w:rPr>
            </w:pPr>
            <w:r w:rsidRPr="00EC4F25">
              <w:rPr>
                <w:rFonts w:asciiTheme="minorHAnsi" w:hAnsiTheme="minorHAnsi" w:cstheme="minorHAnsi"/>
                <w:sz w:val="22"/>
                <w:szCs w:val="22"/>
              </w:rPr>
              <w:t>Jednak projekt</w:t>
            </w:r>
            <w:r w:rsidRPr="00EC4F25">
              <w:rPr>
                <w:rFonts w:asciiTheme="minorHAnsi" w:hAnsiTheme="minorHAnsi" w:cstheme="minorHAnsi"/>
                <w:b/>
                <w:sz w:val="22"/>
                <w:szCs w:val="22"/>
              </w:rPr>
              <w:t xml:space="preserve"> </w:t>
            </w:r>
            <w:r w:rsidRPr="00EC4F25">
              <w:rPr>
                <w:rFonts w:asciiTheme="minorHAnsi" w:eastAsia="Times New Roman" w:hAnsiTheme="minorHAnsi" w:cstheme="minorHAnsi"/>
                <w:b/>
                <w:color w:val="000000"/>
                <w:sz w:val="22"/>
                <w:szCs w:val="22"/>
              </w:rPr>
              <w:t xml:space="preserve">UD263 </w:t>
            </w:r>
            <w:r w:rsidRPr="00EC4F25">
              <w:rPr>
                <w:rFonts w:asciiTheme="minorHAnsi" w:hAnsiTheme="minorHAnsi" w:cstheme="minorHAnsi"/>
                <w:sz w:val="22"/>
                <w:szCs w:val="22"/>
              </w:rPr>
              <w:t xml:space="preserve">proponuje powtórzenie regulacji, która stanowi </w:t>
            </w:r>
            <w:r w:rsidRPr="00EC4F25">
              <w:rPr>
                <w:rFonts w:asciiTheme="minorHAnsi" w:hAnsiTheme="minorHAnsi" w:cstheme="minorHAnsi"/>
                <w:b/>
                <w:bCs w:val="0"/>
                <w:sz w:val="22"/>
                <w:szCs w:val="22"/>
              </w:rPr>
              <w:t xml:space="preserve">całkowicie odosobnione - </w:t>
            </w:r>
            <w:r w:rsidRPr="00EC4F25">
              <w:rPr>
                <w:rFonts w:asciiTheme="minorHAnsi" w:hAnsiTheme="minorHAnsi" w:cstheme="minorHAnsi"/>
                <w:sz w:val="22"/>
                <w:szCs w:val="22"/>
              </w:rPr>
              <w:t xml:space="preserve">w skali świata - </w:t>
            </w:r>
            <w:r w:rsidRPr="00EC4F25">
              <w:rPr>
                <w:rFonts w:asciiTheme="minorHAnsi" w:hAnsiTheme="minorHAnsi" w:cstheme="minorHAnsi"/>
                <w:b/>
                <w:bCs w:val="0"/>
                <w:sz w:val="22"/>
                <w:szCs w:val="22"/>
              </w:rPr>
              <w:t xml:space="preserve">rozwiązanie </w:t>
            </w:r>
            <w:r w:rsidRPr="00EC4F25">
              <w:rPr>
                <w:rFonts w:asciiTheme="minorHAnsi" w:hAnsiTheme="minorHAnsi" w:cstheme="minorHAnsi"/>
                <w:sz w:val="22"/>
                <w:szCs w:val="22"/>
              </w:rPr>
              <w:t xml:space="preserve">niespójne z </w:t>
            </w:r>
            <w:r w:rsidRPr="00EC4F25">
              <w:rPr>
                <w:rFonts w:asciiTheme="minorHAnsi" w:hAnsiTheme="minorHAnsi" w:cstheme="minorHAnsi"/>
                <w:b/>
                <w:bCs w:val="0"/>
                <w:sz w:val="22"/>
                <w:szCs w:val="22"/>
              </w:rPr>
              <w:t>art. 3 dyrektywy</w:t>
            </w:r>
            <w:r w:rsidRPr="00EC4F25">
              <w:rPr>
                <w:rFonts w:asciiTheme="minorHAnsi" w:hAnsiTheme="minorHAnsi" w:cstheme="minorHAnsi"/>
                <w:sz w:val="22"/>
                <w:szCs w:val="22"/>
              </w:rPr>
              <w:t xml:space="preserve"> </w:t>
            </w:r>
            <w:r w:rsidRPr="00EC4F25">
              <w:rPr>
                <w:rFonts w:asciiTheme="minorHAnsi" w:hAnsiTheme="minorHAnsi" w:cstheme="minorHAnsi"/>
                <w:color w:val="424242"/>
                <w:sz w:val="22"/>
                <w:szCs w:val="22"/>
              </w:rPr>
              <w:t>Parlamentu Europejskiego i Rady (UE) 2015/2436 z dnia 16 grudnia 2015 r. mającej na celu zbliżenie ustawodawstw państw członkowskich odnoszących się do znaków towarowych,</w:t>
            </w:r>
            <w:r w:rsidRPr="00EC4F25">
              <w:rPr>
                <w:rFonts w:asciiTheme="minorHAnsi" w:hAnsiTheme="minorHAnsi" w:cstheme="minorHAnsi"/>
                <w:b/>
                <w:bCs w:val="0"/>
                <w:color w:val="424242"/>
                <w:sz w:val="22"/>
                <w:szCs w:val="22"/>
              </w:rPr>
              <w:t xml:space="preserve"> </w:t>
            </w:r>
            <w:r w:rsidRPr="00EC4F25">
              <w:rPr>
                <w:rFonts w:asciiTheme="minorHAnsi" w:hAnsiTheme="minorHAnsi" w:cstheme="minorHAnsi"/>
                <w:b/>
                <w:bCs w:val="0"/>
                <w:color w:val="000000"/>
                <w:sz w:val="22"/>
                <w:szCs w:val="22"/>
              </w:rPr>
              <w:t xml:space="preserve">do implementacji której - </w:t>
            </w:r>
            <w:r w:rsidRPr="00EC4F25">
              <w:rPr>
                <w:rFonts w:asciiTheme="minorHAnsi" w:hAnsiTheme="minorHAnsi" w:cstheme="minorHAnsi"/>
                <w:color w:val="000000"/>
                <w:sz w:val="22"/>
                <w:szCs w:val="22"/>
              </w:rPr>
              <w:t>zgodnie z Traktatem Akcesyjnym</w:t>
            </w:r>
            <w:r w:rsidRPr="00EC4F25">
              <w:rPr>
                <w:rFonts w:asciiTheme="minorHAnsi" w:hAnsiTheme="minorHAnsi" w:cstheme="minorHAnsi"/>
                <w:b/>
                <w:bCs w:val="0"/>
                <w:color w:val="000000"/>
                <w:sz w:val="22"/>
                <w:szCs w:val="22"/>
              </w:rPr>
              <w:t xml:space="preserve"> - pozostajemy zobowiązani.</w:t>
            </w:r>
          </w:p>
          <w:p w14:paraId="7AF285D4" w14:textId="5A54DDA6"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color w:val="000000"/>
                <w:sz w:val="22"/>
                <w:szCs w:val="22"/>
              </w:rPr>
              <w:t>R</w:t>
            </w:r>
            <w:r w:rsidRPr="00EC4F25">
              <w:rPr>
                <w:rFonts w:asciiTheme="minorHAnsi" w:hAnsiTheme="minorHAnsi" w:cstheme="minorHAnsi"/>
                <w:sz w:val="22"/>
                <w:szCs w:val="22"/>
              </w:rPr>
              <w:t>egulacja, powtórzenie której proponuje się</w:t>
            </w:r>
            <w:r w:rsidR="001C51B8">
              <w:rPr>
                <w:rFonts w:asciiTheme="minorHAnsi" w:hAnsiTheme="minorHAnsi" w:cstheme="minorHAnsi"/>
                <w:sz w:val="22"/>
                <w:szCs w:val="22"/>
              </w:rPr>
              <w:t>,</w:t>
            </w:r>
            <w:r w:rsidRPr="00EC4F25">
              <w:rPr>
                <w:rFonts w:asciiTheme="minorHAnsi" w:hAnsiTheme="minorHAnsi" w:cstheme="minorHAnsi"/>
                <w:sz w:val="22"/>
                <w:szCs w:val="22"/>
              </w:rPr>
              <w:t xml:space="preserve"> pozostawałaby także </w:t>
            </w:r>
            <w:r w:rsidRPr="00EC4F25">
              <w:rPr>
                <w:rFonts w:asciiTheme="minorHAnsi" w:hAnsiTheme="minorHAnsi" w:cstheme="minorHAnsi"/>
                <w:b/>
                <w:bCs w:val="0"/>
                <w:sz w:val="22"/>
                <w:szCs w:val="22"/>
              </w:rPr>
              <w:t>sprzeczna z</w:t>
            </w:r>
            <w:r w:rsidRPr="00EC4F25">
              <w:rPr>
                <w:rFonts w:asciiTheme="minorHAnsi" w:hAnsiTheme="minorHAnsi" w:cstheme="minorHAnsi"/>
                <w:sz w:val="22"/>
                <w:szCs w:val="22"/>
              </w:rPr>
              <w:t xml:space="preserve"> </w:t>
            </w:r>
            <w:r w:rsidRPr="00EC4F25">
              <w:rPr>
                <w:rFonts w:asciiTheme="minorHAnsi" w:hAnsiTheme="minorHAnsi" w:cstheme="minorHAnsi"/>
                <w:b/>
                <w:bCs w:val="0"/>
                <w:sz w:val="22"/>
                <w:szCs w:val="22"/>
              </w:rPr>
              <w:t>art. 4 Rozporządzenia</w:t>
            </w:r>
            <w:r w:rsidRPr="00EC4F25">
              <w:rPr>
                <w:rFonts w:asciiTheme="minorHAnsi" w:hAnsiTheme="minorHAnsi" w:cstheme="minorHAnsi"/>
                <w:sz w:val="22"/>
                <w:szCs w:val="22"/>
              </w:rPr>
              <w:t xml:space="preserve"> Parlamentu Europejskiego i Rady (UE) 2017/1001</w:t>
            </w:r>
            <w:r w:rsidR="001C51B8">
              <w:rPr>
                <w:rFonts w:asciiTheme="minorHAnsi" w:hAnsiTheme="minorHAnsi" w:cstheme="minorHAnsi"/>
                <w:sz w:val="22"/>
                <w:szCs w:val="22"/>
              </w:rPr>
              <w:t xml:space="preserve"> </w:t>
            </w:r>
            <w:r w:rsidRPr="00EC4F25">
              <w:rPr>
                <w:rFonts w:asciiTheme="minorHAnsi" w:hAnsiTheme="minorHAnsi" w:cstheme="minorHAnsi"/>
                <w:sz w:val="22"/>
                <w:szCs w:val="22"/>
              </w:rPr>
              <w:t>z dnia 14 czerwca 2017 r. w sprawie znaku towarowego Unii Europejskiej.</w:t>
            </w:r>
          </w:p>
          <w:p w14:paraId="6DB1056B" w14:textId="77777777" w:rsidR="001F7A1E" w:rsidRPr="001C51B8" w:rsidRDefault="001F7A1E" w:rsidP="00F45910">
            <w:pPr>
              <w:pStyle w:val="USTustnpkodeksu"/>
              <w:spacing w:line="240" w:lineRule="auto"/>
              <w:ind w:firstLine="0"/>
              <w:rPr>
                <w:rFonts w:asciiTheme="minorHAnsi" w:hAnsiTheme="minorHAnsi" w:cstheme="minorHAnsi"/>
                <w:sz w:val="10"/>
                <w:szCs w:val="10"/>
              </w:rPr>
            </w:pPr>
          </w:p>
          <w:p w14:paraId="3B29C95D"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sz w:val="22"/>
                <w:szCs w:val="22"/>
              </w:rPr>
              <w:t>Treść przywołanych tu aktów prawa międzynarodowego jest jednobrzmiąca:</w:t>
            </w:r>
          </w:p>
          <w:p w14:paraId="728C78C0"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Artykuł 3 dyrektywy Parlamentu Europejskiego i Rady (UE) 2015/2436</w:t>
            </w:r>
          </w:p>
          <w:p w14:paraId="120161ED"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 xml:space="preserve">Oznaczenia, z których może składać się znak towarowy </w:t>
            </w:r>
          </w:p>
          <w:p w14:paraId="5A168475"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 xml:space="preserve">Znak towarowy może składać się z jakichkolwiek oznaczeń, w szczególności z wyrazów, łącznie z nazwiskami, lub rysunków, liter, cyfr, kolorów, kształtu towarów lub ich opakowań lub dźwięków, pod warunkiem że oznaczenia takie umożliwiają: </w:t>
            </w:r>
          </w:p>
          <w:p w14:paraId="2CE461A9"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 xml:space="preserve">a) odróżnianie towarów lub usług jednego przedsiębiorstwa od towarów lub usług innych przedsiębiorstw; oraz </w:t>
            </w:r>
          </w:p>
          <w:p w14:paraId="50834C1D"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b) przedstawienie ich w rejestrze w sposób pozwalający właściwym organom i odbiorcom na ustalenie jednoznacznego i dokładnego przedmiotu ochrony udzielonej właścicielowi tego znaku towarowego.</w:t>
            </w:r>
          </w:p>
          <w:p w14:paraId="098F6A04" w14:textId="77777777" w:rsidR="001F7A1E" w:rsidRPr="001C51B8" w:rsidRDefault="001F7A1E" w:rsidP="00F45910">
            <w:pPr>
              <w:pStyle w:val="USTustnpkodeksu"/>
              <w:spacing w:line="240" w:lineRule="auto"/>
              <w:ind w:firstLine="0"/>
              <w:rPr>
                <w:rFonts w:asciiTheme="minorHAnsi" w:hAnsiTheme="minorHAnsi" w:cstheme="minorHAnsi"/>
                <w:i/>
                <w:sz w:val="10"/>
                <w:szCs w:val="10"/>
              </w:rPr>
            </w:pPr>
          </w:p>
          <w:p w14:paraId="5DE2DD3D"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Artykuł 4 rozporządzenia Parlamentu Europejskiego i Rady (UE) 2017/1001</w:t>
            </w:r>
          </w:p>
          <w:p w14:paraId="634E596E"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 xml:space="preserve">Oznaczenia, z których może składać się unijny znak towarowy </w:t>
            </w:r>
          </w:p>
          <w:p w14:paraId="4FC9BCDB"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 xml:space="preserve">Unijny znak towarowy może składać się z jakichkolwiek oznaczeń, w szczególności z wyrazów, łącznie z nazwiskami, lub rysunków, liter, cyfr, kolorów, kształtu towarów lub ich opakowań lub dźwięków, pod warunkiem że oznaczenia takie umożliwiają: </w:t>
            </w:r>
          </w:p>
          <w:p w14:paraId="095F0CFB"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 xml:space="preserve">a) odróżnianie towarów lub usług jednego przedsiębiorstwa od towarów lub usług innych przedsiębiorstw; oraz </w:t>
            </w:r>
          </w:p>
          <w:p w14:paraId="1E81B07C" w14:textId="77777777" w:rsidR="001F7A1E" w:rsidRPr="00EC4F25" w:rsidRDefault="001F7A1E" w:rsidP="00F45910">
            <w:pPr>
              <w:pStyle w:val="USTustnpkodeksu"/>
              <w:spacing w:line="240" w:lineRule="auto"/>
              <w:ind w:firstLine="0"/>
              <w:rPr>
                <w:rFonts w:asciiTheme="minorHAnsi" w:hAnsiTheme="minorHAnsi" w:cstheme="minorHAnsi"/>
                <w:i/>
                <w:sz w:val="22"/>
                <w:szCs w:val="22"/>
              </w:rPr>
            </w:pPr>
            <w:r w:rsidRPr="00EC4F25">
              <w:rPr>
                <w:rFonts w:asciiTheme="minorHAnsi" w:hAnsiTheme="minorHAnsi" w:cstheme="minorHAnsi"/>
                <w:i/>
                <w:sz w:val="22"/>
                <w:szCs w:val="22"/>
              </w:rPr>
              <w:t>b) przedstawienie ich w rejestrze unijnych znaków towarowych (zwanym dalej „rejestrem”) w sposób pozwalający właściwym organom i odbiorcom na ustalenie jednoznacznego i dokładnego przedmiotu ochrony udzielonej właścicielowi tego znaku towarowego.</w:t>
            </w:r>
          </w:p>
          <w:p w14:paraId="67B57CA0" w14:textId="77777777" w:rsidR="001F7A1E" w:rsidRPr="001C51B8" w:rsidRDefault="001F7A1E" w:rsidP="00F45910">
            <w:pPr>
              <w:pStyle w:val="USTustnpkodeksu"/>
              <w:spacing w:line="240" w:lineRule="auto"/>
              <w:ind w:firstLine="0"/>
              <w:rPr>
                <w:rFonts w:asciiTheme="minorHAnsi" w:hAnsiTheme="minorHAnsi" w:cstheme="minorHAnsi"/>
                <w:sz w:val="10"/>
                <w:szCs w:val="10"/>
              </w:rPr>
            </w:pPr>
          </w:p>
          <w:p w14:paraId="387AF159" w14:textId="77777777" w:rsidR="001F7A1E" w:rsidRPr="00EC4F25" w:rsidRDefault="001F7A1E" w:rsidP="00F45910">
            <w:pPr>
              <w:pStyle w:val="USTustnpkodeksu"/>
              <w:spacing w:line="240" w:lineRule="auto"/>
              <w:ind w:firstLine="0"/>
              <w:rPr>
                <w:rFonts w:asciiTheme="minorHAnsi" w:hAnsiTheme="minorHAnsi" w:cstheme="minorHAnsi"/>
                <w:b/>
                <w:bCs w:val="0"/>
                <w:color w:val="000000"/>
                <w:sz w:val="22"/>
                <w:szCs w:val="22"/>
              </w:rPr>
            </w:pPr>
            <w:r w:rsidRPr="00EC4F25">
              <w:rPr>
                <w:rFonts w:asciiTheme="minorHAnsi" w:hAnsiTheme="minorHAnsi" w:cstheme="minorHAnsi"/>
                <w:b/>
                <w:bCs w:val="0"/>
                <w:color w:val="000000"/>
                <w:sz w:val="22"/>
                <w:szCs w:val="22"/>
              </w:rPr>
              <w:t>W polskiej ustawie już obecnie popełniono błąd używając liczby pojedynczej. Przedłożony projekt wady tej nie usuwa i proponuje zachowanie istniejącej rozbieżności nie tylko z prawem unijnym.</w:t>
            </w:r>
          </w:p>
          <w:p w14:paraId="41C0B771" w14:textId="77777777" w:rsidR="001F7A1E" w:rsidRPr="001C51B8" w:rsidRDefault="001F7A1E" w:rsidP="00F45910">
            <w:pPr>
              <w:pStyle w:val="USTustnpkodeksu"/>
              <w:spacing w:line="240" w:lineRule="auto"/>
              <w:ind w:firstLine="0"/>
              <w:rPr>
                <w:rFonts w:asciiTheme="minorHAnsi" w:hAnsiTheme="minorHAnsi" w:cstheme="minorHAnsi"/>
                <w:color w:val="000000"/>
                <w:sz w:val="10"/>
                <w:szCs w:val="10"/>
              </w:rPr>
            </w:pPr>
          </w:p>
          <w:p w14:paraId="194A4278" w14:textId="77777777" w:rsidR="001F7A1E" w:rsidRPr="00EC4F25" w:rsidRDefault="001F7A1E" w:rsidP="00F45910">
            <w:pPr>
              <w:pStyle w:val="USTustnpkodeksu"/>
              <w:spacing w:line="240" w:lineRule="auto"/>
              <w:ind w:firstLine="0"/>
              <w:rPr>
                <w:rFonts w:asciiTheme="minorHAnsi" w:hAnsiTheme="minorHAnsi" w:cstheme="minorHAnsi"/>
                <w:sz w:val="22"/>
                <w:szCs w:val="22"/>
              </w:rPr>
            </w:pPr>
            <w:r w:rsidRPr="00EC4F25">
              <w:rPr>
                <w:rFonts w:asciiTheme="minorHAnsi" w:hAnsiTheme="minorHAnsi" w:cstheme="minorHAnsi"/>
                <w:color w:val="000000"/>
                <w:sz w:val="22"/>
                <w:szCs w:val="22"/>
              </w:rPr>
              <w:t>Warto przypomnieć raz jeszcze, w projekcie zaproponowano zachowanie dotychczasowej, wadliwej definicji „</w:t>
            </w:r>
            <w:r w:rsidRPr="00EC4F25">
              <w:rPr>
                <w:rFonts w:asciiTheme="minorHAnsi" w:hAnsiTheme="minorHAnsi" w:cstheme="minorHAnsi"/>
                <w:i/>
                <w:iCs/>
                <w:color w:val="000000"/>
                <w:sz w:val="22"/>
                <w:szCs w:val="22"/>
              </w:rPr>
              <w:t>znaku towarowego</w:t>
            </w:r>
            <w:r w:rsidRPr="00EC4F25">
              <w:rPr>
                <w:rFonts w:asciiTheme="minorHAnsi" w:hAnsiTheme="minorHAnsi" w:cstheme="minorHAnsi"/>
                <w:color w:val="000000"/>
                <w:sz w:val="22"/>
                <w:szCs w:val="22"/>
              </w:rPr>
              <w:t>”. Otóż skoro mogłoby nim „</w:t>
            </w:r>
            <w:r w:rsidRPr="00EC4F25">
              <w:rPr>
                <w:rFonts w:asciiTheme="minorHAnsi" w:hAnsiTheme="minorHAnsi" w:cstheme="minorHAnsi"/>
                <w:i/>
                <w:iCs/>
                <w:sz w:val="22"/>
                <w:szCs w:val="22"/>
              </w:rPr>
              <w:t xml:space="preserve">być </w:t>
            </w:r>
            <w:r w:rsidRPr="00EC4F25">
              <w:rPr>
                <w:rFonts w:asciiTheme="minorHAnsi" w:hAnsiTheme="minorHAnsi" w:cstheme="minorHAnsi"/>
                <w:i/>
                <w:iCs/>
                <w:sz w:val="22"/>
                <w:szCs w:val="22"/>
                <w:shd w:val="clear" w:color="auto" w:fill="FBE4D5" w:themeFill="accent2" w:themeFillTint="33"/>
              </w:rPr>
              <w:t>każde oznaczenie</w:t>
            </w:r>
            <w:r w:rsidRPr="00EC4F25">
              <w:rPr>
                <w:rFonts w:asciiTheme="minorHAnsi" w:hAnsiTheme="minorHAnsi" w:cstheme="minorHAnsi"/>
                <w:i/>
                <w:iCs/>
                <w:sz w:val="22"/>
                <w:szCs w:val="22"/>
              </w:rPr>
              <w:t xml:space="preserve">, w szczególności </w:t>
            </w:r>
            <w:r w:rsidRPr="00EC4F25">
              <w:rPr>
                <w:rFonts w:asciiTheme="minorHAnsi" w:hAnsiTheme="minorHAnsi" w:cstheme="minorHAnsi"/>
                <w:i/>
                <w:iCs/>
                <w:sz w:val="22"/>
                <w:szCs w:val="22"/>
                <w:shd w:val="clear" w:color="auto" w:fill="EDEDED" w:themeFill="accent3" w:themeFillTint="33"/>
              </w:rPr>
              <w:t>wyraz</w:t>
            </w:r>
            <w:r w:rsidRPr="00EC4F25">
              <w:rPr>
                <w:rFonts w:asciiTheme="minorHAnsi" w:hAnsiTheme="minorHAnsi" w:cstheme="minorHAnsi"/>
                <w:i/>
                <w:iCs/>
                <w:sz w:val="22"/>
                <w:szCs w:val="22"/>
              </w:rPr>
              <w:t xml:space="preserve">, włącznie z nazwiskiem, </w:t>
            </w:r>
            <w:r w:rsidRPr="00EC4F25">
              <w:rPr>
                <w:rFonts w:asciiTheme="minorHAnsi" w:hAnsiTheme="minorHAnsi" w:cstheme="minorHAnsi"/>
                <w:i/>
                <w:iCs/>
                <w:sz w:val="22"/>
                <w:szCs w:val="22"/>
                <w:shd w:val="clear" w:color="auto" w:fill="E2EFD9" w:themeFill="accent6" w:themeFillTint="33"/>
              </w:rPr>
              <w:t>rysunek</w:t>
            </w:r>
            <w:r w:rsidRPr="00EC4F25">
              <w:rPr>
                <w:rFonts w:asciiTheme="minorHAnsi" w:hAnsiTheme="minorHAnsi" w:cstheme="minorHAnsi"/>
                <w:i/>
                <w:iCs/>
                <w:sz w:val="22"/>
                <w:szCs w:val="22"/>
              </w:rPr>
              <w:t xml:space="preserve">, </w:t>
            </w:r>
            <w:r w:rsidRPr="00EC4F25">
              <w:rPr>
                <w:rFonts w:asciiTheme="minorHAnsi" w:hAnsiTheme="minorHAnsi" w:cstheme="minorHAnsi"/>
                <w:b/>
                <w:bCs w:val="0"/>
                <w:i/>
                <w:iCs/>
                <w:sz w:val="22"/>
                <w:szCs w:val="22"/>
              </w:rPr>
              <w:t>litera</w:t>
            </w:r>
            <w:r w:rsidRPr="00EC4F25">
              <w:rPr>
                <w:rFonts w:asciiTheme="minorHAnsi" w:hAnsiTheme="minorHAnsi" w:cstheme="minorHAnsi"/>
                <w:i/>
                <w:iCs/>
                <w:sz w:val="22"/>
                <w:szCs w:val="22"/>
              </w:rPr>
              <w:t xml:space="preserve">, </w:t>
            </w:r>
            <w:r w:rsidRPr="00EC4F25">
              <w:rPr>
                <w:rFonts w:asciiTheme="minorHAnsi" w:hAnsiTheme="minorHAnsi" w:cstheme="minorHAnsi"/>
                <w:i/>
                <w:iCs/>
                <w:sz w:val="22"/>
                <w:szCs w:val="22"/>
                <w:shd w:val="clear" w:color="auto" w:fill="D9E2F3" w:themeFill="accent1" w:themeFillTint="33"/>
              </w:rPr>
              <w:t>cyfra</w:t>
            </w:r>
            <w:r w:rsidRPr="00EC4F25">
              <w:rPr>
                <w:rFonts w:asciiTheme="minorHAnsi" w:hAnsiTheme="minorHAnsi" w:cstheme="minorHAnsi"/>
                <w:i/>
                <w:iCs/>
                <w:sz w:val="22"/>
                <w:szCs w:val="22"/>
              </w:rPr>
              <w:t xml:space="preserve">, kolor” </w:t>
            </w:r>
            <w:proofErr w:type="gramStart"/>
            <w:r w:rsidRPr="00EC4F25">
              <w:rPr>
                <w:rFonts w:asciiTheme="minorHAnsi" w:hAnsiTheme="minorHAnsi" w:cstheme="minorHAnsi"/>
                <w:sz w:val="22"/>
                <w:szCs w:val="22"/>
              </w:rPr>
              <w:t>-  utrzymana</w:t>
            </w:r>
            <w:proofErr w:type="gramEnd"/>
            <w:r w:rsidRPr="00EC4F25">
              <w:rPr>
                <w:rFonts w:asciiTheme="minorHAnsi" w:hAnsiTheme="minorHAnsi" w:cstheme="minorHAnsi"/>
                <w:sz w:val="22"/>
                <w:szCs w:val="22"/>
              </w:rPr>
              <w:t xml:space="preserve"> miałaby zostać absurdalna sytuacja, w której Urząd Patentowy RP wciąż nie mógłby wyjaśnić, dlaczego rejestruje znaki towarowe składające się z kilku wyrazów, rysunków, liter, czy cyfr. </w:t>
            </w:r>
          </w:p>
          <w:p w14:paraId="712552F7" w14:textId="77777777" w:rsidR="001F7A1E" w:rsidRPr="001C51B8" w:rsidRDefault="001F7A1E" w:rsidP="00F45910">
            <w:pPr>
              <w:pStyle w:val="USTustnpkodeksu"/>
              <w:spacing w:line="240" w:lineRule="auto"/>
              <w:ind w:firstLine="0"/>
              <w:rPr>
                <w:rFonts w:asciiTheme="minorHAnsi" w:hAnsiTheme="minorHAnsi" w:cstheme="minorHAnsi"/>
                <w:sz w:val="10"/>
                <w:szCs w:val="10"/>
              </w:rPr>
            </w:pPr>
          </w:p>
          <w:p w14:paraId="3FECBB33" w14:textId="77777777" w:rsidR="001F7A1E" w:rsidRPr="00A440BC" w:rsidRDefault="001F7A1E" w:rsidP="00F45910">
            <w:pPr>
              <w:pStyle w:val="USTustnpkodeksu"/>
              <w:spacing w:line="240" w:lineRule="auto"/>
              <w:ind w:firstLine="0"/>
              <w:rPr>
                <w:rFonts w:asciiTheme="minorHAnsi" w:hAnsiTheme="minorHAnsi" w:cstheme="minorHAnsi"/>
                <w:color w:val="000000"/>
                <w:sz w:val="22"/>
                <w:szCs w:val="22"/>
              </w:rPr>
            </w:pPr>
            <w:r w:rsidRPr="00EC4F25">
              <w:rPr>
                <w:rFonts w:asciiTheme="minorHAnsi" w:hAnsiTheme="minorHAnsi" w:cstheme="minorHAnsi"/>
                <w:color w:val="000000"/>
                <w:sz w:val="22"/>
                <w:szCs w:val="22"/>
              </w:rPr>
              <w:t>Cyfra „</w:t>
            </w:r>
            <w:r w:rsidRPr="00EC4F25">
              <w:rPr>
                <w:rFonts w:asciiTheme="minorHAnsi" w:hAnsiTheme="minorHAnsi" w:cstheme="minorHAnsi"/>
                <w:i/>
                <w:iCs/>
                <w:color w:val="000000"/>
                <w:sz w:val="22"/>
                <w:szCs w:val="22"/>
              </w:rPr>
              <w:t>w szczególności</w:t>
            </w:r>
            <w:r w:rsidRPr="00EC4F25">
              <w:rPr>
                <w:rFonts w:asciiTheme="minorHAnsi" w:hAnsiTheme="minorHAnsi" w:cstheme="minorHAnsi"/>
                <w:color w:val="000000"/>
                <w:sz w:val="22"/>
                <w:szCs w:val="22"/>
              </w:rPr>
              <w:t>” - tak, może być zarejestrowana w Polsce jako znak towarowy, ale zarejestrowanie liczby składającej się z kilku „</w:t>
            </w:r>
            <w:r w:rsidRPr="00EC4F25">
              <w:rPr>
                <w:rFonts w:asciiTheme="minorHAnsi" w:hAnsiTheme="minorHAnsi" w:cstheme="minorHAnsi"/>
                <w:i/>
                <w:iCs/>
                <w:color w:val="000000"/>
                <w:sz w:val="22"/>
                <w:szCs w:val="22"/>
              </w:rPr>
              <w:t>cyfr” -</w:t>
            </w:r>
            <w:r w:rsidRPr="00EC4F25">
              <w:rPr>
                <w:rFonts w:asciiTheme="minorHAnsi" w:hAnsiTheme="minorHAnsi" w:cstheme="minorHAnsi"/>
                <w:color w:val="000000"/>
                <w:sz w:val="22"/>
                <w:szCs w:val="22"/>
              </w:rPr>
              <w:t xml:space="preserve"> niekoniecznie. </w:t>
            </w:r>
            <w:r w:rsidRPr="00A440BC">
              <w:rPr>
                <w:rFonts w:asciiTheme="minorHAnsi" w:hAnsiTheme="minorHAnsi" w:cstheme="minorHAnsi"/>
                <w:color w:val="000000"/>
                <w:sz w:val="22"/>
                <w:szCs w:val="22"/>
              </w:rPr>
              <w:t>Uzyskanie praw wyłącznych wymaga wówczas życzliwej wykładni prawa.</w:t>
            </w:r>
          </w:p>
          <w:p w14:paraId="193D96E0" w14:textId="77777777" w:rsidR="00116E29" w:rsidRPr="001C51B8" w:rsidRDefault="00116E29" w:rsidP="00F45910">
            <w:pPr>
              <w:pStyle w:val="USTustnpkodeksu"/>
              <w:spacing w:line="240" w:lineRule="auto"/>
              <w:ind w:firstLine="0"/>
              <w:rPr>
                <w:rFonts w:asciiTheme="minorHAnsi" w:hAnsiTheme="minorHAnsi" w:cstheme="minorHAnsi"/>
                <w:color w:val="000000"/>
                <w:sz w:val="10"/>
                <w:szCs w:val="10"/>
              </w:rPr>
            </w:pPr>
          </w:p>
          <w:p w14:paraId="3C6D1078" w14:textId="070656D3" w:rsidR="001F7A1E" w:rsidRPr="00EC4F25" w:rsidRDefault="001F7A1E" w:rsidP="00F45910">
            <w:pPr>
              <w:pStyle w:val="USTustnpkodeksu"/>
              <w:spacing w:line="240" w:lineRule="auto"/>
              <w:ind w:firstLine="0"/>
              <w:rPr>
                <w:rFonts w:asciiTheme="minorHAnsi" w:hAnsiTheme="minorHAnsi" w:cstheme="minorHAnsi"/>
                <w:color w:val="000000"/>
                <w:sz w:val="22"/>
                <w:szCs w:val="22"/>
              </w:rPr>
            </w:pPr>
            <w:r w:rsidRPr="00EC4F25">
              <w:rPr>
                <w:rFonts w:asciiTheme="minorHAnsi" w:hAnsiTheme="minorHAnsi" w:cstheme="minorHAnsi"/>
                <w:color w:val="000000"/>
                <w:sz w:val="22"/>
                <w:szCs w:val="22"/>
              </w:rPr>
              <w:lastRenderedPageBreak/>
              <w:t>Otwarte pozostawałoby pytanie, jak opisać mielibyśmy teraz znak towarowy: „</w:t>
            </w:r>
            <w:proofErr w:type="spellStart"/>
            <w:r w:rsidRPr="00EC4F25">
              <w:rPr>
                <w:rFonts w:asciiTheme="minorHAnsi" w:hAnsiTheme="minorHAnsi" w:cstheme="minorHAnsi"/>
                <w:b/>
                <w:bCs w:val="0"/>
                <w:color w:val="000000"/>
                <w:sz w:val="22"/>
                <w:szCs w:val="22"/>
              </w:rPr>
              <w:t>Echt</w:t>
            </w:r>
            <w:proofErr w:type="spellEnd"/>
            <w:r w:rsidRPr="00EC4F25">
              <w:rPr>
                <w:rFonts w:asciiTheme="minorHAnsi" w:hAnsiTheme="minorHAnsi" w:cstheme="minorHAnsi"/>
                <w:b/>
                <w:bCs w:val="0"/>
                <w:color w:val="000000"/>
                <w:sz w:val="22"/>
                <w:szCs w:val="22"/>
              </w:rPr>
              <w:t xml:space="preserve"> </w:t>
            </w:r>
            <w:proofErr w:type="spellStart"/>
            <w:r w:rsidRPr="00EC4F25">
              <w:rPr>
                <w:rFonts w:asciiTheme="minorHAnsi" w:hAnsiTheme="minorHAnsi" w:cstheme="minorHAnsi"/>
                <w:b/>
                <w:bCs w:val="0"/>
                <w:color w:val="000000"/>
                <w:sz w:val="22"/>
                <w:szCs w:val="22"/>
              </w:rPr>
              <w:t>Kölnischer</w:t>
            </w:r>
            <w:proofErr w:type="spellEnd"/>
            <w:r w:rsidRPr="00EC4F25">
              <w:rPr>
                <w:rFonts w:asciiTheme="minorHAnsi" w:hAnsiTheme="minorHAnsi" w:cstheme="minorHAnsi"/>
                <w:b/>
                <w:bCs w:val="0"/>
                <w:color w:val="000000"/>
                <w:sz w:val="22"/>
                <w:szCs w:val="22"/>
              </w:rPr>
              <w:t xml:space="preserve"> </w:t>
            </w:r>
            <w:proofErr w:type="spellStart"/>
            <w:r w:rsidRPr="00EC4F25">
              <w:rPr>
                <w:rFonts w:asciiTheme="minorHAnsi" w:hAnsiTheme="minorHAnsi" w:cstheme="minorHAnsi"/>
                <w:b/>
                <w:bCs w:val="0"/>
                <w:color w:val="000000"/>
                <w:sz w:val="22"/>
                <w:szCs w:val="22"/>
              </w:rPr>
              <w:t>Wasser</w:t>
            </w:r>
            <w:proofErr w:type="spellEnd"/>
            <w:r w:rsidRPr="00EC4F25">
              <w:rPr>
                <w:rFonts w:asciiTheme="minorHAnsi" w:hAnsiTheme="minorHAnsi" w:cstheme="minorHAnsi"/>
                <w:color w:val="000000"/>
                <w:sz w:val="22"/>
                <w:szCs w:val="22"/>
              </w:rPr>
              <w:t xml:space="preserve"> </w:t>
            </w:r>
            <w:r w:rsidRPr="00EC4F25">
              <w:rPr>
                <w:rFonts w:asciiTheme="minorHAnsi" w:hAnsiTheme="minorHAnsi" w:cstheme="minorHAnsi"/>
                <w:b/>
                <w:bCs w:val="0"/>
                <w:color w:val="000000"/>
                <w:sz w:val="22"/>
                <w:szCs w:val="22"/>
              </w:rPr>
              <w:t xml:space="preserve">No 4711” </w:t>
            </w:r>
            <w:r w:rsidRPr="00EC4F25">
              <w:rPr>
                <w:rFonts w:asciiTheme="minorHAnsi" w:hAnsiTheme="minorHAnsi" w:cstheme="minorHAnsi"/>
                <w:color w:val="000000"/>
                <w:sz w:val="22"/>
                <w:szCs w:val="22"/>
              </w:rPr>
              <w:t xml:space="preserve">(którym oznaczana jest niemiecka, oryginalna woda kolońska, produkowana początkowo w Kolonii w budynku nr 4711, w pierwszej fabryce założonej w 1709 r.)? </w:t>
            </w:r>
          </w:p>
          <w:p w14:paraId="0CF34DF2" w14:textId="77777777" w:rsidR="00116E29" w:rsidRPr="001C51B8" w:rsidRDefault="00116E29" w:rsidP="00F45910">
            <w:pPr>
              <w:pStyle w:val="USTustnpkodeksu"/>
              <w:spacing w:line="240" w:lineRule="auto"/>
              <w:ind w:firstLine="0"/>
              <w:rPr>
                <w:rFonts w:asciiTheme="minorHAnsi" w:hAnsiTheme="minorHAnsi" w:cstheme="minorHAnsi"/>
                <w:color w:val="000000"/>
                <w:sz w:val="10"/>
                <w:szCs w:val="10"/>
              </w:rPr>
            </w:pPr>
          </w:p>
          <w:p w14:paraId="46D95AC5" w14:textId="6AD1C805" w:rsidR="001F7A1E" w:rsidRPr="00EC4F25" w:rsidRDefault="001F7A1E" w:rsidP="00F45910">
            <w:pPr>
              <w:pStyle w:val="USTustnpkodeksu"/>
              <w:spacing w:line="240" w:lineRule="auto"/>
              <w:ind w:firstLine="0"/>
              <w:rPr>
                <w:rFonts w:asciiTheme="minorHAnsi" w:hAnsiTheme="minorHAnsi" w:cstheme="minorHAnsi"/>
                <w:color w:val="000000"/>
                <w:sz w:val="22"/>
                <w:szCs w:val="22"/>
              </w:rPr>
            </w:pPr>
            <w:r w:rsidRPr="00EC4F25">
              <w:rPr>
                <w:rFonts w:asciiTheme="minorHAnsi" w:hAnsiTheme="minorHAnsi" w:cstheme="minorHAnsi"/>
                <w:color w:val="000000"/>
                <w:sz w:val="22"/>
                <w:szCs w:val="22"/>
              </w:rPr>
              <w:t>Utrzymanie tego rodzaju kształtu przepisu prowadziłby nie tylko do utrwalenia niespójności z prawem unijnym, ale też do braku pewności, czy możliwe będzie - uzyskanie ochrony nazw ulubionych kosmetyków, czy też winny one pozostać niechronione zarejestrowanymi w Urzędzie Patentowym RP znakami towarowymi.</w:t>
            </w:r>
          </w:p>
          <w:p w14:paraId="7FCBEA6F" w14:textId="77777777" w:rsidR="001F7A1E" w:rsidRPr="00A440BC" w:rsidRDefault="001F7A1E" w:rsidP="00F45910">
            <w:pPr>
              <w:pStyle w:val="USTustnpkodeksu"/>
              <w:spacing w:line="240" w:lineRule="auto"/>
              <w:ind w:firstLine="0"/>
              <w:rPr>
                <w:rFonts w:asciiTheme="minorHAnsi" w:hAnsiTheme="minorHAnsi" w:cstheme="minorHAnsi"/>
                <w:color w:val="000000"/>
                <w:sz w:val="22"/>
                <w:szCs w:val="22"/>
              </w:rPr>
            </w:pPr>
            <w:r w:rsidRPr="00A440BC">
              <w:rPr>
                <w:rFonts w:asciiTheme="minorHAnsi" w:hAnsiTheme="minorHAnsi" w:cstheme="minorHAnsi"/>
                <w:color w:val="000000"/>
                <w:sz w:val="22"/>
                <w:szCs w:val="22"/>
              </w:rPr>
              <w:t xml:space="preserve"> </w:t>
            </w:r>
          </w:p>
        </w:tc>
      </w:tr>
      <w:bookmarkEnd w:id="116"/>
      <w:bookmarkEnd w:id="132"/>
    </w:tbl>
    <w:p w14:paraId="3C65FC3D" w14:textId="77777777" w:rsidR="001C51B8" w:rsidRPr="002F7E5D" w:rsidRDefault="001C51B8" w:rsidP="001F7A1E">
      <w:pPr>
        <w:spacing w:after="0"/>
        <w:jc w:val="both"/>
        <w:rPr>
          <w:rFonts w:cstheme="minorHAnsi"/>
          <w:sz w:val="10"/>
          <w:szCs w:val="10"/>
        </w:rPr>
      </w:pPr>
    </w:p>
    <w:p w14:paraId="7DDC3F3B" w14:textId="77777777" w:rsidR="005F0586" w:rsidRPr="002F7E5D" w:rsidRDefault="005F0586" w:rsidP="00116E29">
      <w:pPr>
        <w:autoSpaceDE w:val="0"/>
        <w:autoSpaceDN w:val="0"/>
        <w:adjustRightInd w:val="0"/>
        <w:spacing w:after="0" w:line="240" w:lineRule="auto"/>
        <w:jc w:val="both"/>
        <w:rPr>
          <w:rFonts w:cstheme="minorHAnsi"/>
          <w:color w:val="0070C0"/>
          <w:sz w:val="24"/>
          <w:szCs w:val="24"/>
        </w:rPr>
      </w:pPr>
      <w:bookmarkStart w:id="133" w:name="_Hlk169939505"/>
    </w:p>
    <w:p w14:paraId="1C2FBF3F" w14:textId="4A38E0E3" w:rsidR="005F0586" w:rsidRDefault="005F0586" w:rsidP="005F0586">
      <w:pPr>
        <w:autoSpaceDE w:val="0"/>
        <w:autoSpaceDN w:val="0"/>
        <w:adjustRightInd w:val="0"/>
        <w:spacing w:after="0" w:line="240" w:lineRule="auto"/>
        <w:jc w:val="center"/>
        <w:rPr>
          <w:rFonts w:cstheme="minorHAnsi"/>
          <w:color w:val="0070C0"/>
          <w:sz w:val="24"/>
          <w:szCs w:val="24"/>
          <w:lang w:val="en-US"/>
        </w:rPr>
      </w:pPr>
      <w:r>
        <w:rPr>
          <w:rFonts w:cstheme="minorHAnsi"/>
          <w:color w:val="0070C0"/>
          <w:sz w:val="24"/>
          <w:szCs w:val="24"/>
          <w:lang w:val="en-US"/>
        </w:rPr>
        <w:t>***</w:t>
      </w:r>
    </w:p>
    <w:p w14:paraId="56A1CAE9" w14:textId="77777777" w:rsidR="005F0586" w:rsidRPr="00E6739D" w:rsidRDefault="005F0586" w:rsidP="005F0586">
      <w:pPr>
        <w:autoSpaceDE w:val="0"/>
        <w:autoSpaceDN w:val="0"/>
        <w:adjustRightInd w:val="0"/>
        <w:spacing w:after="0" w:line="240" w:lineRule="auto"/>
        <w:jc w:val="center"/>
        <w:rPr>
          <w:rFonts w:cstheme="minorHAnsi"/>
          <w:color w:val="0070C0"/>
          <w:sz w:val="10"/>
          <w:szCs w:val="10"/>
          <w:lang w:val="en-US"/>
        </w:rPr>
      </w:pPr>
    </w:p>
    <w:p w14:paraId="22CC3123" w14:textId="215B5D26" w:rsidR="00116E29" w:rsidRPr="00491ADF" w:rsidRDefault="00116E29" w:rsidP="00116E29">
      <w:pPr>
        <w:autoSpaceDE w:val="0"/>
        <w:autoSpaceDN w:val="0"/>
        <w:adjustRightInd w:val="0"/>
        <w:spacing w:after="0" w:line="240" w:lineRule="auto"/>
        <w:jc w:val="both"/>
        <w:rPr>
          <w:rFonts w:cstheme="minorHAnsi"/>
          <w:color w:val="2E74B5" w:themeColor="accent5" w:themeShade="BF"/>
          <w:sz w:val="24"/>
          <w:szCs w:val="24"/>
          <w:lang w:val="en-US"/>
        </w:rPr>
      </w:pPr>
      <w:r w:rsidRPr="00491ADF">
        <w:rPr>
          <w:rFonts w:cstheme="minorHAnsi"/>
          <w:color w:val="2E74B5" w:themeColor="accent5" w:themeShade="BF"/>
          <w:sz w:val="24"/>
          <w:szCs w:val="24"/>
          <w:lang w:val="en-US"/>
        </w:rPr>
        <w:t xml:space="preserve">Illustration of the </w:t>
      </w:r>
      <w:proofErr w:type="spellStart"/>
      <w:r w:rsidRPr="00491ADF">
        <w:rPr>
          <w:rFonts w:cstheme="minorHAnsi"/>
          <w:color w:val="2E74B5" w:themeColor="accent5" w:themeShade="BF"/>
          <w:sz w:val="24"/>
          <w:szCs w:val="24"/>
          <w:lang w:val="en-US"/>
        </w:rPr>
        <w:t>signalled</w:t>
      </w:r>
      <w:proofErr w:type="spellEnd"/>
      <w:r w:rsidRPr="00491ADF">
        <w:rPr>
          <w:rFonts w:cstheme="minorHAnsi"/>
          <w:color w:val="2E74B5" w:themeColor="accent5" w:themeShade="BF"/>
          <w:sz w:val="24"/>
          <w:szCs w:val="24"/>
          <w:lang w:val="en-US"/>
        </w:rPr>
        <w:t xml:space="preserve"> problems are the discussions of the provisions of draft </w:t>
      </w:r>
      <w:r w:rsidRPr="00491ADF">
        <w:rPr>
          <w:rFonts w:cstheme="minorHAnsi"/>
          <w:b/>
          <w:bCs/>
          <w:color w:val="2E74B5" w:themeColor="accent5" w:themeShade="BF"/>
          <w:sz w:val="24"/>
          <w:szCs w:val="24"/>
          <w:lang w:val="en-US"/>
        </w:rPr>
        <w:t xml:space="preserve">UD263 </w:t>
      </w:r>
      <w:r w:rsidRPr="00491ADF">
        <w:rPr>
          <w:rFonts w:cstheme="minorHAnsi"/>
          <w:color w:val="2E74B5" w:themeColor="accent5" w:themeShade="BF"/>
          <w:sz w:val="24"/>
          <w:szCs w:val="24"/>
          <w:lang w:val="en-US"/>
        </w:rPr>
        <w:t xml:space="preserve">of the Act set out below in individual blocks comparing: </w:t>
      </w:r>
      <w:r w:rsidRPr="00491ADF">
        <w:rPr>
          <w:rFonts w:cstheme="minorHAnsi"/>
          <w:b/>
          <w:bCs/>
          <w:color w:val="2E74B5" w:themeColor="accent5" w:themeShade="BF"/>
          <w:sz w:val="24"/>
          <w:szCs w:val="24"/>
          <w:lang w:val="en-US"/>
        </w:rPr>
        <w:t>the existing</w:t>
      </w:r>
      <w:r w:rsidRPr="00491ADF">
        <w:rPr>
          <w:rFonts w:cstheme="minorHAnsi"/>
          <w:color w:val="2E74B5" w:themeColor="accent5" w:themeShade="BF"/>
          <w:sz w:val="24"/>
          <w:szCs w:val="24"/>
          <w:lang w:val="en-US"/>
        </w:rPr>
        <w:t xml:space="preserve"> provision and next to it the proposed provision, with COMMENTS on them below.</w:t>
      </w:r>
    </w:p>
    <w:p w14:paraId="0E85D17A" w14:textId="77777777" w:rsidR="00116E29" w:rsidRPr="00491ADF" w:rsidRDefault="00116E29" w:rsidP="00116E29">
      <w:pPr>
        <w:autoSpaceDE w:val="0"/>
        <w:autoSpaceDN w:val="0"/>
        <w:adjustRightInd w:val="0"/>
        <w:spacing w:after="0" w:line="240" w:lineRule="auto"/>
        <w:jc w:val="both"/>
        <w:rPr>
          <w:rFonts w:cstheme="minorHAnsi"/>
          <w:color w:val="2E74B5" w:themeColor="accent5" w:themeShade="BF"/>
          <w:sz w:val="10"/>
          <w:szCs w:val="10"/>
          <w:u w:val="single"/>
          <w:lang w:val="en-US"/>
        </w:rPr>
      </w:pPr>
    </w:p>
    <w:bookmarkEnd w:id="133"/>
    <w:p w14:paraId="3EC1ECEB" w14:textId="77777777" w:rsidR="00116E29" w:rsidRPr="00491ADF" w:rsidRDefault="00116E29" w:rsidP="00116E29">
      <w:pPr>
        <w:autoSpaceDE w:val="0"/>
        <w:autoSpaceDN w:val="0"/>
        <w:adjustRightInd w:val="0"/>
        <w:spacing w:after="0" w:line="240" w:lineRule="auto"/>
        <w:jc w:val="both"/>
        <w:rPr>
          <w:rFonts w:cstheme="minorHAnsi"/>
          <w:color w:val="2E74B5" w:themeColor="accent5" w:themeShade="BF"/>
          <w:sz w:val="24"/>
          <w:szCs w:val="24"/>
          <w:lang w:val="en-US"/>
        </w:rPr>
      </w:pPr>
      <w:r w:rsidRPr="00491ADF">
        <w:rPr>
          <w:rFonts w:cstheme="minorHAnsi"/>
          <w:color w:val="2E74B5" w:themeColor="accent5" w:themeShade="BF"/>
          <w:sz w:val="24"/>
          <w:szCs w:val="24"/>
          <w:lang w:val="en-US"/>
        </w:rPr>
        <w:t>While presenting the texts,</w:t>
      </w:r>
    </w:p>
    <w:p w14:paraId="30AAC4AB" w14:textId="77777777" w:rsidR="00116E29" w:rsidRPr="00491ADF" w:rsidRDefault="00116E29" w:rsidP="00116E29">
      <w:pPr>
        <w:autoSpaceDE w:val="0"/>
        <w:autoSpaceDN w:val="0"/>
        <w:adjustRightInd w:val="0"/>
        <w:spacing w:after="0" w:line="240" w:lineRule="auto"/>
        <w:jc w:val="both"/>
        <w:rPr>
          <w:rFonts w:eastAsia="Times New Roman" w:cstheme="minorHAnsi"/>
          <w:color w:val="2E74B5" w:themeColor="accent5" w:themeShade="BF"/>
          <w:sz w:val="24"/>
          <w:szCs w:val="24"/>
          <w:shd w:val="clear" w:color="auto" w:fill="D9E2F3" w:themeFill="accent1" w:themeFillTint="33"/>
          <w:lang w:val="en-US" w:eastAsia="pl-PL"/>
        </w:rPr>
      </w:pPr>
      <w:proofErr w:type="spellStart"/>
      <w:r w:rsidRPr="00491ADF">
        <w:rPr>
          <w:rFonts w:eastAsia="Times New Roman" w:cstheme="minorHAnsi"/>
          <w:color w:val="2E74B5" w:themeColor="accent5" w:themeShade="BF"/>
          <w:sz w:val="24"/>
          <w:szCs w:val="24"/>
          <w:shd w:val="clear" w:color="auto" w:fill="E2EFD9" w:themeFill="accent6" w:themeFillTint="33"/>
          <w:lang w:val="en-US" w:eastAsia="pl-PL"/>
        </w:rPr>
        <w:t>colours</w:t>
      </w:r>
      <w:proofErr w:type="spellEnd"/>
      <w:r w:rsidRPr="00491ADF">
        <w:rPr>
          <w:rFonts w:eastAsia="Times New Roman" w:cstheme="minorHAnsi"/>
          <w:color w:val="2E74B5" w:themeColor="accent5" w:themeShade="BF"/>
          <w:sz w:val="24"/>
          <w:szCs w:val="24"/>
          <w:shd w:val="clear" w:color="auto" w:fill="D9E2F3" w:themeFill="accent1" w:themeFillTint="33"/>
          <w:lang w:val="en-US" w:eastAsia="pl-PL"/>
        </w:rPr>
        <w:t xml:space="preserve"> </w:t>
      </w:r>
    </w:p>
    <w:p w14:paraId="2247B109" w14:textId="77777777" w:rsidR="00116E29" w:rsidRPr="00491ADF" w:rsidRDefault="00116E29" w:rsidP="00116E29">
      <w:pPr>
        <w:autoSpaceDE w:val="0"/>
        <w:autoSpaceDN w:val="0"/>
        <w:adjustRightInd w:val="0"/>
        <w:spacing w:after="0" w:line="240" w:lineRule="auto"/>
        <w:jc w:val="both"/>
        <w:rPr>
          <w:rFonts w:eastAsia="Times New Roman" w:cstheme="minorHAnsi"/>
          <w:color w:val="2E74B5" w:themeColor="accent5" w:themeShade="BF"/>
          <w:sz w:val="24"/>
          <w:szCs w:val="24"/>
          <w:shd w:val="clear" w:color="auto" w:fill="D9E2F3" w:themeFill="accent1" w:themeFillTint="33"/>
          <w:lang w:val="en-US" w:eastAsia="pl-PL"/>
        </w:rPr>
      </w:pPr>
      <w:r w:rsidRPr="00491ADF">
        <w:rPr>
          <w:rFonts w:eastAsia="Times New Roman" w:cstheme="minorHAnsi"/>
          <w:color w:val="2E74B5" w:themeColor="accent5" w:themeShade="BF"/>
          <w:sz w:val="24"/>
          <w:szCs w:val="24"/>
          <w:shd w:val="clear" w:color="auto" w:fill="D9E2F3" w:themeFill="accent1" w:themeFillTint="33"/>
          <w:lang w:val="en-US" w:eastAsia="pl-PL"/>
        </w:rPr>
        <w:t>were</w:t>
      </w:r>
    </w:p>
    <w:p w14:paraId="335F62BD" w14:textId="77777777" w:rsidR="00116E29" w:rsidRPr="00491ADF" w:rsidRDefault="00116E29" w:rsidP="00116E29">
      <w:pPr>
        <w:autoSpaceDE w:val="0"/>
        <w:autoSpaceDN w:val="0"/>
        <w:adjustRightInd w:val="0"/>
        <w:spacing w:after="0" w:line="240" w:lineRule="auto"/>
        <w:jc w:val="both"/>
        <w:rPr>
          <w:rFonts w:cstheme="minorHAnsi"/>
          <w:color w:val="2E74B5" w:themeColor="accent5" w:themeShade="BF"/>
          <w:sz w:val="24"/>
          <w:szCs w:val="24"/>
          <w:shd w:val="clear" w:color="auto" w:fill="FBE4D5" w:themeFill="accent2" w:themeFillTint="33"/>
          <w:lang w:val="en-US"/>
        </w:rPr>
      </w:pPr>
      <w:r w:rsidRPr="00491ADF">
        <w:rPr>
          <w:rFonts w:cstheme="minorHAnsi"/>
          <w:color w:val="2E74B5" w:themeColor="accent5" w:themeShade="BF"/>
          <w:sz w:val="24"/>
          <w:szCs w:val="24"/>
          <w:shd w:val="clear" w:color="auto" w:fill="FBE4D5" w:themeFill="accent2" w:themeFillTint="33"/>
          <w:lang w:val="en-US"/>
        </w:rPr>
        <w:t>used</w:t>
      </w:r>
    </w:p>
    <w:p w14:paraId="6D5BB689" w14:textId="77777777" w:rsidR="00116E29" w:rsidRPr="00491ADF" w:rsidRDefault="00116E29" w:rsidP="00116E29">
      <w:pPr>
        <w:autoSpaceDE w:val="0"/>
        <w:autoSpaceDN w:val="0"/>
        <w:adjustRightInd w:val="0"/>
        <w:spacing w:after="0" w:line="240" w:lineRule="auto"/>
        <w:jc w:val="both"/>
        <w:rPr>
          <w:rFonts w:cstheme="minorHAnsi"/>
          <w:color w:val="2E74B5" w:themeColor="accent5" w:themeShade="BF"/>
          <w:sz w:val="24"/>
          <w:szCs w:val="24"/>
          <w:lang w:val="en-US"/>
        </w:rPr>
      </w:pPr>
      <w:proofErr w:type="gramStart"/>
      <w:r w:rsidRPr="00491ADF">
        <w:rPr>
          <w:rFonts w:cstheme="minorHAnsi"/>
          <w:color w:val="2E74B5" w:themeColor="accent5" w:themeShade="BF"/>
          <w:sz w:val="24"/>
          <w:szCs w:val="24"/>
          <w:lang w:val="en-US"/>
        </w:rPr>
        <w:t>in order to</w:t>
      </w:r>
      <w:proofErr w:type="gramEnd"/>
      <w:r w:rsidRPr="00491ADF">
        <w:rPr>
          <w:rFonts w:cstheme="minorHAnsi"/>
          <w:color w:val="2E74B5" w:themeColor="accent5" w:themeShade="BF"/>
          <w:sz w:val="24"/>
          <w:szCs w:val="24"/>
          <w:lang w:val="en-US"/>
        </w:rPr>
        <w:t xml:space="preserve"> draw attention to particularly important entries.</w:t>
      </w:r>
    </w:p>
    <w:p w14:paraId="7276A9B7" w14:textId="77777777" w:rsidR="00116E29" w:rsidRPr="00E6739D" w:rsidRDefault="00116E29" w:rsidP="00116E29">
      <w:pPr>
        <w:autoSpaceDE w:val="0"/>
        <w:autoSpaceDN w:val="0"/>
        <w:adjustRightInd w:val="0"/>
        <w:spacing w:after="0" w:line="240" w:lineRule="auto"/>
        <w:jc w:val="both"/>
        <w:rPr>
          <w:rFonts w:cstheme="minorHAnsi"/>
          <w:color w:val="0070C0"/>
          <w:sz w:val="10"/>
          <w:szCs w:val="10"/>
          <w:lang w:val="en-US"/>
        </w:rPr>
      </w:pPr>
    </w:p>
    <w:p w14:paraId="4D59CCBD" w14:textId="77777777" w:rsidR="00116E29" w:rsidRPr="005F0586" w:rsidRDefault="00116E29" w:rsidP="00116E29">
      <w:pPr>
        <w:spacing w:after="0" w:line="240" w:lineRule="auto"/>
        <w:rPr>
          <w:rFonts w:cstheme="minorHAnsi"/>
          <w:lang w:val="en-US" w:eastAsia="pl-PL"/>
        </w:rPr>
      </w:pPr>
    </w:p>
    <w:tbl>
      <w:tblPr>
        <w:tblStyle w:val="Tabela-Siatka"/>
        <w:tblW w:w="0" w:type="auto"/>
        <w:tblLook w:val="04A0" w:firstRow="1" w:lastRow="0" w:firstColumn="1" w:lastColumn="0" w:noHBand="0" w:noVBand="1"/>
      </w:tblPr>
      <w:tblGrid>
        <w:gridCol w:w="4423"/>
        <w:gridCol w:w="4633"/>
      </w:tblGrid>
      <w:tr w:rsidR="00116E29" w:rsidRPr="004D64A0" w14:paraId="2095C887" w14:textId="77777777" w:rsidTr="00967A11">
        <w:tc>
          <w:tcPr>
            <w:tcW w:w="4423" w:type="dxa"/>
            <w:shd w:val="clear" w:color="auto" w:fill="F2F2F2" w:themeFill="background1" w:themeFillShade="F2"/>
          </w:tcPr>
          <w:p w14:paraId="091040DC" w14:textId="26978E8D"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t>TODAY in the current Act o</w:t>
            </w:r>
            <w:r w:rsidR="00B0193F"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633" w:type="dxa"/>
            <w:shd w:val="clear" w:color="auto" w:fill="F2F2F2" w:themeFill="background1" w:themeFillShade="F2"/>
          </w:tcPr>
          <w:p w14:paraId="4F94F55D" w14:textId="1F22C22D" w:rsidR="00116E29" w:rsidRPr="00491ADF" w:rsidRDefault="00116E29" w:rsidP="00967A11">
            <w:pPr>
              <w:keepNext/>
              <w:jc w:val="center"/>
              <w:rPr>
                <w:rFonts w:asciiTheme="minorHAnsi" w:hAnsiTheme="minorHAnsi" w:cstheme="minorHAnsi"/>
                <w:b/>
                <w:bCs/>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B0193F"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4D64A0" w14:paraId="3FB52F90" w14:textId="77777777" w:rsidTr="00967A11">
        <w:tc>
          <w:tcPr>
            <w:tcW w:w="9056" w:type="dxa"/>
            <w:gridSpan w:val="2"/>
            <w:shd w:val="clear" w:color="auto" w:fill="FFFFFF" w:themeFill="background1"/>
          </w:tcPr>
          <w:p w14:paraId="2D3AB16B" w14:textId="77777777" w:rsidR="00116E29" w:rsidRPr="005F0586" w:rsidRDefault="00116E29" w:rsidP="00967A11">
            <w:pPr>
              <w:keepNext/>
              <w:rPr>
                <w:rFonts w:asciiTheme="minorHAnsi" w:hAnsiTheme="minorHAnsi" w:cstheme="minorHAnsi"/>
                <w:b/>
                <w:color w:val="FFFFFF" w:themeColor="background1"/>
                <w:sz w:val="22"/>
                <w:szCs w:val="22"/>
                <w:lang w:val="en-US"/>
              </w:rPr>
            </w:pPr>
            <w:r w:rsidRPr="00E6739D">
              <w:rPr>
                <w:rStyle w:val="Hipercze"/>
                <w:rFonts w:asciiTheme="minorHAnsi" w:hAnsiTheme="minorHAnsi" w:cstheme="minorHAnsi"/>
                <w:color w:val="0070C0"/>
                <w:sz w:val="22"/>
                <w:szCs w:val="22"/>
                <w:u w:val="none"/>
                <w:lang w:val="en-US"/>
              </w:rPr>
              <w:t>https://isap.sejm.gov.pl/isap.nsf/download.xsp/WDU20010490508/U/D20010508Lj.pdf</w:t>
            </w:r>
          </w:p>
        </w:tc>
      </w:tr>
      <w:tr w:rsidR="00116E29" w:rsidRPr="005F0586" w14:paraId="5DDC8B7F" w14:textId="77777777" w:rsidTr="00967A11">
        <w:tc>
          <w:tcPr>
            <w:tcW w:w="4423" w:type="dxa"/>
          </w:tcPr>
          <w:p w14:paraId="24EE6B0D" w14:textId="77777777" w:rsidR="00116E29" w:rsidRPr="005F0586" w:rsidRDefault="00116E29" w:rsidP="00967A11">
            <w:pPr>
              <w:shd w:val="clear" w:color="auto" w:fill="FFFFFF"/>
              <w:rPr>
                <w:rFonts w:asciiTheme="minorHAnsi" w:hAnsiTheme="minorHAnsi" w:cstheme="minorHAnsi"/>
                <w:b/>
                <w:bCs/>
                <w:color w:val="333333"/>
                <w:sz w:val="22"/>
                <w:szCs w:val="22"/>
                <w:lang w:val="en-US"/>
              </w:rPr>
            </w:pPr>
          </w:p>
          <w:p w14:paraId="698D8CFD" w14:textId="77777777" w:rsidR="00116E29" w:rsidRPr="005F0586" w:rsidRDefault="00116E29" w:rsidP="00967A11">
            <w:pPr>
              <w:pStyle w:val="Nagwek1"/>
              <w:shd w:val="clear" w:color="auto" w:fill="FFFFFF"/>
              <w:spacing w:before="0" w:beforeAutospacing="0" w:after="0" w:afterAutospacing="0"/>
              <w:rPr>
                <w:rFonts w:asciiTheme="minorHAnsi" w:hAnsiTheme="minorHAnsi" w:cstheme="minorHAnsi"/>
                <w:caps/>
                <w:color w:val="000000"/>
                <w:sz w:val="22"/>
                <w:szCs w:val="22"/>
                <w:lang w:val="en-US"/>
              </w:rPr>
            </w:pPr>
          </w:p>
          <w:p w14:paraId="7666B9BF" w14:textId="77777777" w:rsidR="00116E29" w:rsidRPr="005F0586" w:rsidRDefault="00116E29" w:rsidP="00967A11">
            <w:pPr>
              <w:pStyle w:val="Nagwek1"/>
              <w:shd w:val="clear" w:color="auto" w:fill="FFFFFF"/>
              <w:spacing w:before="0" w:beforeAutospacing="0" w:after="0" w:afterAutospacing="0"/>
              <w:rPr>
                <w:rFonts w:asciiTheme="minorHAnsi" w:hAnsiTheme="minorHAnsi" w:cstheme="minorHAnsi"/>
                <w:caps/>
                <w:color w:val="000000"/>
                <w:sz w:val="22"/>
                <w:szCs w:val="22"/>
                <w:lang w:val="en-US"/>
              </w:rPr>
            </w:pPr>
          </w:p>
          <w:p w14:paraId="5DF0CD8B" w14:textId="77777777" w:rsidR="00116E29" w:rsidRPr="005F0586" w:rsidRDefault="00116E29" w:rsidP="00967A11">
            <w:pPr>
              <w:jc w:val="center"/>
              <w:rPr>
                <w:rFonts w:asciiTheme="minorHAnsi" w:hAnsiTheme="minorHAnsi" w:cstheme="minorHAnsi"/>
                <w:b/>
                <w:sz w:val="22"/>
                <w:szCs w:val="22"/>
              </w:rPr>
            </w:pPr>
            <w:r w:rsidRPr="005F0586">
              <w:rPr>
                <w:rFonts w:asciiTheme="minorHAnsi" w:hAnsiTheme="minorHAnsi" w:cstheme="minorHAnsi"/>
                <w:b/>
                <w:sz w:val="22"/>
                <w:szCs w:val="22"/>
              </w:rPr>
              <w:t>PRAWO WŁASNOŚCI PRZEMYSŁOWEJ</w:t>
            </w:r>
          </w:p>
          <w:p w14:paraId="7A0A42C1" w14:textId="77777777" w:rsidR="00116E29" w:rsidRPr="005F0586" w:rsidRDefault="00116E29" w:rsidP="00967A11">
            <w:pPr>
              <w:pStyle w:val="mainpub"/>
              <w:shd w:val="clear" w:color="auto" w:fill="FFFFFF"/>
              <w:spacing w:before="0" w:after="0"/>
              <w:jc w:val="center"/>
              <w:rPr>
                <w:rFonts w:asciiTheme="minorHAnsi" w:hAnsiTheme="minorHAnsi" w:cstheme="minorHAnsi"/>
                <w:sz w:val="22"/>
                <w:szCs w:val="22"/>
              </w:rPr>
            </w:pPr>
            <w:r w:rsidRPr="005F0586">
              <w:rPr>
                <w:rFonts w:asciiTheme="minorHAnsi" w:hAnsiTheme="minorHAnsi" w:cstheme="minorHAnsi"/>
                <w:b/>
                <w:bCs/>
                <w:color w:val="333333"/>
                <w:sz w:val="22"/>
                <w:szCs w:val="22"/>
              </w:rPr>
              <w:t>z dnia 30 czerwca 2000 r. </w:t>
            </w:r>
            <w:r w:rsidRPr="005F0586">
              <w:rPr>
                <w:rFonts w:asciiTheme="minorHAnsi" w:hAnsiTheme="minorHAnsi" w:cstheme="minorHAnsi"/>
                <w:sz w:val="22"/>
                <w:szCs w:val="22"/>
              </w:rPr>
              <w:t xml:space="preserve"> </w:t>
            </w:r>
          </w:p>
          <w:p w14:paraId="76AFF094" w14:textId="77777777" w:rsidR="00116E29" w:rsidRPr="005F0586" w:rsidRDefault="00B82931" w:rsidP="00967A11">
            <w:pPr>
              <w:pStyle w:val="mainpub"/>
              <w:shd w:val="clear" w:color="auto" w:fill="FFFFFF"/>
              <w:spacing w:before="0" w:after="0"/>
              <w:jc w:val="center"/>
              <w:rPr>
                <w:rFonts w:asciiTheme="minorHAnsi" w:hAnsiTheme="minorHAnsi" w:cstheme="minorHAnsi"/>
                <w:b/>
                <w:bCs/>
                <w:color w:val="333333"/>
                <w:sz w:val="22"/>
                <w:szCs w:val="22"/>
              </w:rPr>
            </w:pPr>
            <w:hyperlink r:id="rId152" w:history="1">
              <w:r w:rsidR="00116E29" w:rsidRPr="005F0586">
                <w:rPr>
                  <w:rStyle w:val="Hipercze"/>
                  <w:rFonts w:asciiTheme="minorHAnsi" w:hAnsiTheme="minorHAnsi" w:cstheme="minorHAnsi"/>
                  <w:b/>
                  <w:bCs/>
                  <w:color w:val="CC0000"/>
                  <w:sz w:val="22"/>
                  <w:szCs w:val="22"/>
                  <w:u w:val="none"/>
                </w:rPr>
                <w:t>(Dz.U. z 2021 r. poz. 324)</w:t>
              </w:r>
            </w:hyperlink>
          </w:p>
          <w:p w14:paraId="56AD5161" w14:textId="77777777" w:rsidR="00116E29" w:rsidRPr="005F0586" w:rsidRDefault="00116E29" w:rsidP="00967A11">
            <w:pPr>
              <w:shd w:val="clear" w:color="auto" w:fill="FFFFFF"/>
              <w:rPr>
                <w:rFonts w:asciiTheme="minorHAnsi" w:hAnsiTheme="minorHAnsi" w:cstheme="minorHAnsi"/>
                <w:b/>
                <w:bCs/>
                <w:color w:val="333333"/>
                <w:sz w:val="22"/>
                <w:szCs w:val="22"/>
              </w:rPr>
            </w:pPr>
          </w:p>
          <w:p w14:paraId="5217DA91"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b/>
                <w:bCs/>
                <w:color w:val="333333"/>
                <w:sz w:val="22"/>
                <w:szCs w:val="22"/>
              </w:rPr>
              <w:t>Art. 11 [Prawa twórcy]</w:t>
            </w:r>
          </w:p>
          <w:p w14:paraId="7828CED4"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1. Prawo do uzyskania patentu na wynalazek albo prawa ochronnego na wzór użytkowy, jak również prawa z rejestracji wzoru przemysłowego przysługuje, z zastrzeżeniem ust. 2, 3 i 5, twórcy.</w:t>
            </w:r>
          </w:p>
          <w:p w14:paraId="50939945" w14:textId="77777777" w:rsidR="00116E29" w:rsidRPr="005F0586" w:rsidRDefault="00116E29" w:rsidP="00967A11">
            <w:pPr>
              <w:shd w:val="clear" w:color="auto" w:fill="FFFFFF"/>
              <w:rPr>
                <w:rFonts w:asciiTheme="minorHAnsi" w:hAnsiTheme="minorHAnsi" w:cstheme="minorHAnsi"/>
                <w:color w:val="333333"/>
                <w:sz w:val="22"/>
                <w:szCs w:val="22"/>
              </w:rPr>
            </w:pPr>
          </w:p>
          <w:p w14:paraId="496BC874"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2. Współtwórcom wynalazku, wzoru użytkowego albo wzoru przemysłowego uprawnienie do uzyskania patentu, prawa ochronnego lub prawa z rejestracji przysługuje wspólnie.</w:t>
            </w:r>
          </w:p>
          <w:p w14:paraId="46F5E28E" w14:textId="77777777" w:rsidR="00116E29" w:rsidRPr="005F0586" w:rsidRDefault="00116E29" w:rsidP="00967A11">
            <w:pPr>
              <w:shd w:val="clear" w:color="auto" w:fill="FFFFFF"/>
              <w:rPr>
                <w:rFonts w:asciiTheme="minorHAnsi" w:hAnsiTheme="minorHAnsi" w:cstheme="minorHAnsi"/>
                <w:color w:val="333333"/>
                <w:sz w:val="22"/>
                <w:szCs w:val="22"/>
              </w:rPr>
            </w:pPr>
          </w:p>
          <w:p w14:paraId="62014850" w14:textId="77777777" w:rsidR="00116E29" w:rsidRPr="005F0586" w:rsidRDefault="00116E29" w:rsidP="00967A11">
            <w:pPr>
              <w:shd w:val="clear" w:color="auto" w:fill="FFFFFF"/>
              <w:rPr>
                <w:rFonts w:asciiTheme="minorHAnsi" w:hAnsiTheme="minorHAnsi" w:cstheme="minorHAnsi"/>
                <w:color w:val="333333"/>
                <w:sz w:val="22"/>
                <w:szCs w:val="22"/>
                <w:shd w:val="clear" w:color="auto" w:fill="FFFFFF" w:themeFill="background1"/>
              </w:rPr>
            </w:pPr>
            <w:r w:rsidRPr="005F0586">
              <w:rPr>
                <w:rFonts w:asciiTheme="minorHAnsi" w:hAnsiTheme="minorHAnsi" w:cstheme="minorHAnsi"/>
                <w:color w:val="333333"/>
                <w:sz w:val="22"/>
                <w:szCs w:val="22"/>
              </w:rPr>
              <w:t>3. W razie dokonania wynalazku, wzoru użytkowego albo wzoru przemysłoweg</w:t>
            </w:r>
            <w:r w:rsidRPr="005F0586">
              <w:rPr>
                <w:rFonts w:asciiTheme="minorHAnsi" w:hAnsiTheme="minorHAnsi" w:cstheme="minorHAnsi"/>
                <w:color w:val="333333"/>
                <w:sz w:val="22"/>
                <w:szCs w:val="22"/>
                <w:shd w:val="clear" w:color="auto" w:fill="FFFFFF" w:themeFill="background1"/>
              </w:rPr>
              <w:t xml:space="preserve">o </w:t>
            </w:r>
          </w:p>
          <w:p w14:paraId="66400006"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b/>
                <w:bCs/>
                <w:color w:val="333333"/>
                <w:sz w:val="22"/>
                <w:szCs w:val="22"/>
                <w:shd w:val="clear" w:color="auto" w:fill="FFFFFF" w:themeFill="background1"/>
              </w:rPr>
              <w:t>w wyniku</w:t>
            </w:r>
            <w:r w:rsidRPr="005F0586">
              <w:rPr>
                <w:rFonts w:asciiTheme="minorHAnsi" w:hAnsiTheme="minorHAnsi" w:cstheme="minorHAnsi"/>
                <w:color w:val="333333"/>
                <w:sz w:val="22"/>
                <w:szCs w:val="22"/>
                <w:shd w:val="clear" w:color="auto" w:fill="FFFFFF" w:themeFill="background1"/>
              </w:rPr>
              <w:t xml:space="preserve"> </w:t>
            </w:r>
            <w:r w:rsidRPr="005F0586">
              <w:rPr>
                <w:rFonts w:asciiTheme="minorHAnsi" w:hAnsiTheme="minorHAnsi" w:cstheme="minorHAnsi"/>
                <w:color w:val="333333"/>
                <w:sz w:val="22"/>
                <w:szCs w:val="22"/>
                <w:shd w:val="clear" w:color="auto" w:fill="E2EFD9" w:themeFill="accent6" w:themeFillTint="33"/>
              </w:rPr>
              <w:t>wykonywania przez twórcę obowiązków ze stosunku pracy albo z realizacji innej umowy</w:t>
            </w:r>
            <w:r w:rsidRPr="005F0586">
              <w:rPr>
                <w:rFonts w:asciiTheme="minorHAnsi" w:hAnsiTheme="minorHAnsi" w:cstheme="minorHAnsi"/>
                <w:b/>
                <w:bCs/>
                <w:color w:val="333333"/>
                <w:sz w:val="22"/>
                <w:szCs w:val="22"/>
              </w:rPr>
              <w:t>, prawo</w:t>
            </w:r>
            <w:r w:rsidRPr="005F0586">
              <w:rPr>
                <w:rFonts w:asciiTheme="minorHAnsi" w:hAnsiTheme="minorHAnsi" w:cstheme="minorHAnsi"/>
                <w:color w:val="333333"/>
                <w:sz w:val="22"/>
                <w:szCs w:val="22"/>
              </w:rPr>
              <w:t>, o którym mowa w ust. 1,</w:t>
            </w:r>
            <w:r w:rsidRPr="005F0586">
              <w:rPr>
                <w:rFonts w:asciiTheme="minorHAnsi" w:hAnsiTheme="minorHAnsi" w:cstheme="minorHAnsi"/>
                <w:b/>
                <w:bCs/>
                <w:color w:val="333333"/>
                <w:sz w:val="22"/>
                <w:szCs w:val="22"/>
              </w:rPr>
              <w:t xml:space="preserve"> </w:t>
            </w:r>
            <w:r w:rsidRPr="005F0586">
              <w:rPr>
                <w:rFonts w:asciiTheme="minorHAnsi" w:hAnsiTheme="minorHAnsi" w:cstheme="minorHAnsi"/>
                <w:b/>
                <w:bCs/>
                <w:color w:val="333333"/>
                <w:sz w:val="22"/>
                <w:szCs w:val="22"/>
              </w:rPr>
              <w:lastRenderedPageBreak/>
              <w:t>przysługuje pracodawcy</w:t>
            </w:r>
            <w:r w:rsidRPr="005F0586">
              <w:rPr>
                <w:rFonts w:asciiTheme="minorHAnsi" w:hAnsiTheme="minorHAnsi" w:cstheme="minorHAnsi"/>
                <w:color w:val="333333"/>
                <w:sz w:val="22"/>
                <w:szCs w:val="22"/>
              </w:rPr>
              <w:t xml:space="preserve"> lub </w:t>
            </w:r>
            <w:r w:rsidRPr="005F0586">
              <w:rPr>
                <w:rFonts w:asciiTheme="minorHAnsi" w:hAnsiTheme="minorHAnsi" w:cstheme="minorHAnsi"/>
                <w:b/>
                <w:bCs/>
                <w:color w:val="333333"/>
                <w:sz w:val="22"/>
                <w:szCs w:val="22"/>
              </w:rPr>
              <w:t>zamawiającemu</w:t>
            </w:r>
            <w:r w:rsidRPr="005F0586">
              <w:rPr>
                <w:rFonts w:asciiTheme="minorHAnsi" w:hAnsiTheme="minorHAnsi" w:cstheme="minorHAnsi"/>
                <w:color w:val="333333"/>
                <w:sz w:val="22"/>
                <w:szCs w:val="22"/>
              </w:rPr>
              <w:t>, chyba że strony ustaliły inaczej.</w:t>
            </w:r>
            <w:r w:rsidRPr="005F0586">
              <w:rPr>
                <w:rFonts w:asciiTheme="minorHAnsi" w:hAnsiTheme="minorHAnsi" w:cstheme="minorHAnsi"/>
                <w:color w:val="333333"/>
                <w:sz w:val="22"/>
                <w:szCs w:val="22"/>
              </w:rPr>
              <w:br/>
            </w:r>
          </w:p>
          <w:p w14:paraId="404DD3A6"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4. W umowie pomiędzy przedsiębiorcami może być określony podmiot, któremu przysługiwać będą prawa, o których mowa w ust. 1, w razie do-konania wynalazku, wzoru użytkowego albo wzoru przemysłowego w związku z wykonywaniem tej umowy.</w:t>
            </w:r>
          </w:p>
          <w:p w14:paraId="04BD6F9C" w14:textId="77777777" w:rsidR="00116E29" w:rsidRPr="005F0586" w:rsidRDefault="00116E29" w:rsidP="00967A11">
            <w:pPr>
              <w:shd w:val="clear" w:color="auto" w:fill="FFFFFF"/>
              <w:rPr>
                <w:rFonts w:asciiTheme="minorHAnsi" w:hAnsiTheme="minorHAnsi" w:cstheme="minorHAnsi"/>
                <w:color w:val="333333"/>
                <w:sz w:val="22"/>
                <w:szCs w:val="22"/>
              </w:rPr>
            </w:pPr>
          </w:p>
          <w:p w14:paraId="726F6127"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 xml:space="preserve">5. W razie dokonania wynalazku, wzoru użytkowego albo wzoru przemysłowego przez twórcę </w:t>
            </w:r>
            <w:r w:rsidRPr="005F0586">
              <w:rPr>
                <w:rFonts w:asciiTheme="minorHAnsi" w:hAnsiTheme="minorHAnsi" w:cstheme="minorHAnsi"/>
                <w:color w:val="333333"/>
                <w:sz w:val="22"/>
                <w:szCs w:val="22"/>
                <w:shd w:val="clear" w:color="auto" w:fill="D9E2F3" w:themeFill="accent1" w:themeFillTint="33"/>
              </w:rPr>
              <w:t>przy pomocy przedsiębiorcy</w:t>
            </w:r>
            <w:r w:rsidRPr="005F0586">
              <w:rPr>
                <w:rFonts w:asciiTheme="minorHAnsi" w:hAnsiTheme="minorHAnsi" w:cstheme="minorHAnsi"/>
                <w:color w:val="333333"/>
                <w:sz w:val="22"/>
                <w:szCs w:val="22"/>
              </w:rPr>
              <w:t xml:space="preserve">, </w:t>
            </w:r>
            <w:r w:rsidRPr="005F0586">
              <w:rPr>
                <w:rFonts w:asciiTheme="minorHAnsi" w:hAnsiTheme="minorHAnsi" w:cstheme="minorHAnsi"/>
                <w:color w:val="333333"/>
                <w:sz w:val="22"/>
                <w:szCs w:val="22"/>
                <w:shd w:val="clear" w:color="auto" w:fill="B4C6E7" w:themeFill="accent1" w:themeFillTint="66"/>
              </w:rPr>
              <w:t>przedsiębiorca ten może korzystać z tego wynalazku</w:t>
            </w:r>
            <w:r w:rsidRPr="005F0586">
              <w:rPr>
                <w:rFonts w:asciiTheme="minorHAnsi" w:hAnsiTheme="minorHAnsi" w:cstheme="minorHAnsi"/>
                <w:color w:val="333333"/>
                <w:sz w:val="22"/>
                <w:szCs w:val="22"/>
              </w:rPr>
              <w:t xml:space="preserve">, wzoru użytkowego albo wzoru przemysłowego we własnym zakresie. </w:t>
            </w:r>
            <w:r w:rsidRPr="005F0586">
              <w:rPr>
                <w:rFonts w:asciiTheme="minorHAnsi" w:hAnsiTheme="minorHAnsi" w:cstheme="minorHAnsi"/>
                <w:color w:val="333333"/>
                <w:sz w:val="22"/>
                <w:szCs w:val="22"/>
                <w:shd w:val="clear" w:color="auto" w:fill="D9E2F3" w:themeFill="accent1" w:themeFillTint="33"/>
              </w:rPr>
              <w:t>W umowie</w:t>
            </w:r>
            <w:r w:rsidRPr="005F0586">
              <w:rPr>
                <w:rFonts w:asciiTheme="minorHAnsi" w:hAnsiTheme="minorHAnsi" w:cstheme="minorHAnsi"/>
                <w:color w:val="333333"/>
                <w:sz w:val="22"/>
                <w:szCs w:val="22"/>
              </w:rPr>
              <w:t xml:space="preserve"> </w:t>
            </w:r>
            <w:r w:rsidRPr="005F0586">
              <w:rPr>
                <w:rFonts w:asciiTheme="minorHAnsi" w:hAnsiTheme="minorHAnsi" w:cstheme="minorHAnsi"/>
                <w:color w:val="333333"/>
                <w:sz w:val="22"/>
                <w:szCs w:val="22"/>
                <w:shd w:val="clear" w:color="auto" w:fill="D9E2F3" w:themeFill="accent1" w:themeFillTint="33"/>
              </w:rPr>
              <w:t>o udzielenie pomocy</w:t>
            </w:r>
            <w:r w:rsidRPr="005F0586">
              <w:rPr>
                <w:rFonts w:asciiTheme="minorHAnsi" w:hAnsiTheme="minorHAnsi" w:cstheme="minorHAnsi"/>
                <w:color w:val="333333"/>
                <w:sz w:val="22"/>
                <w:szCs w:val="22"/>
              </w:rPr>
              <w:t xml:space="preserve"> strony </w:t>
            </w:r>
            <w:r w:rsidRPr="005F0586">
              <w:rPr>
                <w:rFonts w:asciiTheme="minorHAnsi" w:hAnsiTheme="minorHAnsi" w:cstheme="minorHAnsi"/>
                <w:color w:val="333333"/>
                <w:sz w:val="22"/>
                <w:szCs w:val="22"/>
                <w:shd w:val="clear" w:color="auto" w:fill="D9E2F3" w:themeFill="accent1" w:themeFillTint="33"/>
              </w:rPr>
              <w:t>mogą ustalić, że przedsiębiorcy przysługuje</w:t>
            </w:r>
            <w:r w:rsidRPr="005F0586">
              <w:rPr>
                <w:rFonts w:asciiTheme="minorHAnsi" w:hAnsiTheme="minorHAnsi" w:cstheme="minorHAnsi"/>
                <w:color w:val="333333"/>
                <w:sz w:val="22"/>
                <w:szCs w:val="22"/>
              </w:rPr>
              <w:t xml:space="preserve"> w całości lub części prawo, o którym mowa w ust. 1.</w:t>
            </w:r>
          </w:p>
          <w:p w14:paraId="35EEF8D3"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tc>
        <w:tc>
          <w:tcPr>
            <w:tcW w:w="4633" w:type="dxa"/>
          </w:tcPr>
          <w:p w14:paraId="2BCC809C" w14:textId="77777777" w:rsidR="00116E29" w:rsidRPr="005F0586" w:rsidRDefault="00116E29" w:rsidP="00967A11">
            <w:pPr>
              <w:keepNext/>
              <w:jc w:val="right"/>
              <w:rPr>
                <w:rFonts w:asciiTheme="minorHAnsi" w:hAnsiTheme="minorHAnsi" w:cstheme="minorHAnsi"/>
                <w:sz w:val="22"/>
                <w:szCs w:val="22"/>
              </w:rPr>
            </w:pPr>
          </w:p>
          <w:p w14:paraId="5F6E9EDC" w14:textId="77777777" w:rsidR="00116E29" w:rsidRPr="00E6739D" w:rsidRDefault="00B82931" w:rsidP="00967A11">
            <w:pPr>
              <w:keepNext/>
              <w:jc w:val="center"/>
              <w:rPr>
                <w:rFonts w:asciiTheme="minorHAnsi" w:hAnsiTheme="minorHAnsi" w:cstheme="minorHAnsi"/>
                <w:color w:val="0070C0"/>
                <w:sz w:val="22"/>
                <w:szCs w:val="22"/>
              </w:rPr>
            </w:pPr>
            <w:hyperlink r:id="rId153" w:history="1">
              <w:r w:rsidR="00116E29" w:rsidRPr="00E6739D">
                <w:rPr>
                  <w:rStyle w:val="Hipercze"/>
                  <w:rFonts w:asciiTheme="minorHAnsi" w:hAnsiTheme="minorHAnsi" w:cstheme="minorHAnsi"/>
                  <w:color w:val="0070C0"/>
                  <w:sz w:val="22"/>
                  <w:szCs w:val="22"/>
                  <w:u w:val="none"/>
                </w:rPr>
                <w:t>https://legislacja.rcl.gov.pl/projekt/12359055</w:t>
              </w:r>
            </w:hyperlink>
          </w:p>
          <w:p w14:paraId="31D154FC" w14:textId="77777777" w:rsidR="00116E29" w:rsidRPr="005F0586" w:rsidRDefault="00116E29" w:rsidP="00967A11">
            <w:pPr>
              <w:keepNext/>
              <w:jc w:val="center"/>
              <w:rPr>
                <w:rFonts w:asciiTheme="minorHAnsi" w:hAnsiTheme="minorHAnsi" w:cstheme="minorHAnsi"/>
                <w:sz w:val="22"/>
                <w:szCs w:val="22"/>
              </w:rPr>
            </w:pPr>
          </w:p>
          <w:p w14:paraId="46B61313" w14:textId="77777777" w:rsidR="00116E29" w:rsidRPr="005F0586" w:rsidRDefault="00116E29" w:rsidP="00967A11">
            <w:pPr>
              <w:keepNext/>
              <w:jc w:val="right"/>
              <w:rPr>
                <w:rFonts w:asciiTheme="minorHAnsi" w:hAnsiTheme="minorHAnsi" w:cstheme="minorHAnsi"/>
                <w:sz w:val="22"/>
                <w:szCs w:val="22"/>
              </w:rPr>
            </w:pPr>
          </w:p>
          <w:p w14:paraId="52069D56" w14:textId="77777777" w:rsidR="00116E29" w:rsidRPr="005F0586" w:rsidRDefault="00116E29" w:rsidP="00967A11">
            <w:pPr>
              <w:keepNext/>
              <w:jc w:val="center"/>
              <w:rPr>
                <w:rFonts w:asciiTheme="minorHAnsi" w:hAnsiTheme="minorHAnsi" w:cstheme="minorHAnsi"/>
                <w:sz w:val="22"/>
                <w:szCs w:val="22"/>
              </w:rPr>
            </w:pPr>
            <w:r w:rsidRPr="005F0586">
              <w:rPr>
                <w:rFonts w:asciiTheme="minorHAnsi" w:hAnsiTheme="minorHAnsi" w:cstheme="minorHAnsi"/>
                <w:sz w:val="22"/>
                <w:szCs w:val="22"/>
              </w:rPr>
              <w:t xml:space="preserve">Projekt </w:t>
            </w:r>
            <w:r w:rsidRPr="005F0586">
              <w:rPr>
                <w:rFonts w:asciiTheme="minorHAnsi" w:hAnsiTheme="minorHAnsi" w:cstheme="minorHAnsi"/>
                <w:b/>
                <w:bCs/>
                <w:sz w:val="22"/>
                <w:szCs w:val="22"/>
              </w:rPr>
              <w:t>UD263</w:t>
            </w:r>
          </w:p>
          <w:p w14:paraId="62CED97C" w14:textId="77777777" w:rsidR="00116E29" w:rsidRPr="005F0586" w:rsidRDefault="00116E29" w:rsidP="00967A11">
            <w:pPr>
              <w:keepNext/>
              <w:jc w:val="right"/>
              <w:rPr>
                <w:rFonts w:asciiTheme="minorHAnsi" w:hAnsiTheme="minorHAnsi" w:cstheme="minorHAnsi"/>
                <w:sz w:val="22"/>
                <w:szCs w:val="22"/>
              </w:rPr>
            </w:pPr>
          </w:p>
          <w:p w14:paraId="347A63CE" w14:textId="77777777" w:rsidR="00116E29" w:rsidRPr="005F0586" w:rsidRDefault="00116E29" w:rsidP="00967A11">
            <w:pPr>
              <w:keepNext/>
              <w:jc w:val="right"/>
              <w:rPr>
                <w:rFonts w:asciiTheme="minorHAnsi" w:hAnsiTheme="minorHAnsi" w:cstheme="minorHAnsi"/>
                <w:sz w:val="22"/>
                <w:szCs w:val="22"/>
              </w:rPr>
            </w:pPr>
            <w:r w:rsidRPr="005F0586">
              <w:rPr>
                <w:rFonts w:asciiTheme="minorHAnsi" w:hAnsiTheme="minorHAnsi" w:cstheme="minorHAnsi"/>
                <w:sz w:val="22"/>
                <w:szCs w:val="22"/>
              </w:rPr>
              <w:t xml:space="preserve">z dnia 25 kwietnia 2022 r. </w:t>
            </w:r>
          </w:p>
          <w:p w14:paraId="5653B60B" w14:textId="77777777" w:rsidR="00116E29" w:rsidRPr="005F0586" w:rsidRDefault="00116E29" w:rsidP="00967A11">
            <w:pPr>
              <w:pStyle w:val="OZNRODZAKTUtznustawalubrozporzdzenieiorganwydajcy"/>
              <w:spacing w:after="0" w:line="240" w:lineRule="auto"/>
              <w:rPr>
                <w:rFonts w:asciiTheme="minorHAnsi" w:hAnsiTheme="minorHAnsi" w:cstheme="minorHAnsi"/>
                <w:sz w:val="22"/>
                <w:szCs w:val="22"/>
              </w:rPr>
            </w:pPr>
          </w:p>
          <w:p w14:paraId="647BA686" w14:textId="77777777" w:rsidR="00116E29" w:rsidRPr="005F0586" w:rsidRDefault="00116E29" w:rsidP="00967A11">
            <w:pPr>
              <w:pStyle w:val="DATAAKTUdatauchwalenialubwydaniaaktu"/>
              <w:spacing w:before="0" w:after="0" w:line="240" w:lineRule="auto"/>
              <w:rPr>
                <w:rFonts w:asciiTheme="minorHAnsi" w:hAnsiTheme="minorHAnsi" w:cstheme="minorHAnsi"/>
                <w:sz w:val="22"/>
                <w:szCs w:val="22"/>
              </w:rPr>
            </w:pPr>
          </w:p>
          <w:p w14:paraId="76B05D69" w14:textId="77777777" w:rsidR="00116E29" w:rsidRPr="005F0586" w:rsidRDefault="00116E29" w:rsidP="00967A11">
            <w:pPr>
              <w:pStyle w:val="OZNRODZAKTUtznustawalubrozporzdzenieiorganwydajcy"/>
              <w:spacing w:after="0" w:line="240" w:lineRule="auto"/>
              <w:rPr>
                <w:rFonts w:asciiTheme="minorHAnsi" w:hAnsiTheme="minorHAnsi" w:cstheme="minorHAnsi"/>
                <w:sz w:val="22"/>
                <w:szCs w:val="22"/>
              </w:rPr>
            </w:pPr>
            <w:r w:rsidRPr="005F0586">
              <w:rPr>
                <w:rFonts w:asciiTheme="minorHAnsi" w:hAnsiTheme="minorHAnsi" w:cstheme="minorHAnsi"/>
                <w:sz w:val="22"/>
                <w:szCs w:val="22"/>
              </w:rPr>
              <w:t>USTAWA</w:t>
            </w:r>
          </w:p>
          <w:p w14:paraId="66FC7336" w14:textId="77777777" w:rsidR="00116E29" w:rsidRPr="005F0586" w:rsidRDefault="00116E29" w:rsidP="00967A11">
            <w:pPr>
              <w:pStyle w:val="DATAAKTUdatauchwalenialubwydaniaaktu"/>
              <w:spacing w:before="0" w:after="0" w:line="240" w:lineRule="auto"/>
              <w:rPr>
                <w:rFonts w:asciiTheme="minorHAnsi" w:hAnsiTheme="minorHAnsi" w:cstheme="minorHAnsi"/>
                <w:sz w:val="22"/>
                <w:szCs w:val="22"/>
              </w:rPr>
            </w:pPr>
            <w:r w:rsidRPr="005F0586">
              <w:rPr>
                <w:rFonts w:asciiTheme="minorHAnsi" w:hAnsiTheme="minorHAnsi" w:cstheme="minorHAnsi"/>
                <w:sz w:val="22"/>
                <w:szCs w:val="22"/>
              </w:rPr>
              <w:t>z dnia………</w:t>
            </w:r>
            <w:proofErr w:type="gramStart"/>
            <w:r w:rsidRPr="005F0586">
              <w:rPr>
                <w:rFonts w:asciiTheme="minorHAnsi" w:hAnsiTheme="minorHAnsi" w:cstheme="minorHAnsi"/>
                <w:sz w:val="22"/>
                <w:szCs w:val="22"/>
              </w:rPr>
              <w:t>…….</w:t>
            </w:r>
            <w:proofErr w:type="gramEnd"/>
            <w:r w:rsidRPr="005F0586">
              <w:rPr>
                <w:rFonts w:asciiTheme="minorHAnsi" w:hAnsiTheme="minorHAnsi" w:cstheme="minorHAnsi"/>
                <w:sz w:val="22"/>
                <w:szCs w:val="22"/>
              </w:rPr>
              <w:t>2022 r.</w:t>
            </w:r>
          </w:p>
          <w:p w14:paraId="7DDCD85F" w14:textId="77777777" w:rsidR="00116E29" w:rsidRPr="005F0586" w:rsidRDefault="00116E29" w:rsidP="00967A11">
            <w:pPr>
              <w:pStyle w:val="TYTUAKTUprzedmiotregulacjiustawylubrozporzdzenia"/>
              <w:spacing w:before="0" w:after="0" w:line="240" w:lineRule="auto"/>
              <w:rPr>
                <w:rFonts w:asciiTheme="minorHAnsi" w:hAnsiTheme="minorHAnsi" w:cstheme="minorHAnsi"/>
                <w:sz w:val="22"/>
                <w:szCs w:val="22"/>
              </w:rPr>
            </w:pPr>
            <w:r w:rsidRPr="005F0586">
              <w:rPr>
                <w:rFonts w:asciiTheme="minorHAnsi" w:hAnsiTheme="minorHAnsi" w:cstheme="minorHAnsi"/>
                <w:sz w:val="22"/>
                <w:szCs w:val="22"/>
              </w:rPr>
              <w:t>Prawo własności przemysłowej</w:t>
            </w:r>
          </w:p>
          <w:p w14:paraId="1C65BB16" w14:textId="77777777" w:rsidR="00116E29" w:rsidRPr="005F0586" w:rsidRDefault="00116E29" w:rsidP="00967A11">
            <w:pPr>
              <w:autoSpaceDE w:val="0"/>
              <w:autoSpaceDN w:val="0"/>
              <w:adjustRightInd w:val="0"/>
              <w:rPr>
                <w:rFonts w:asciiTheme="minorHAnsi" w:hAnsiTheme="minorHAnsi" w:cstheme="minorHAnsi"/>
                <w:b/>
                <w:bCs/>
                <w:color w:val="000000"/>
                <w:sz w:val="22"/>
                <w:szCs w:val="22"/>
              </w:rPr>
            </w:pPr>
          </w:p>
          <w:p w14:paraId="05C6F72A" w14:textId="77777777" w:rsidR="00116E29" w:rsidRPr="005F0586" w:rsidRDefault="00116E29" w:rsidP="00967A11">
            <w:pPr>
              <w:autoSpaceDE w:val="0"/>
              <w:autoSpaceDN w:val="0"/>
              <w:adjustRightInd w:val="0"/>
              <w:rPr>
                <w:rFonts w:asciiTheme="minorHAnsi" w:hAnsiTheme="minorHAnsi" w:cstheme="minorHAnsi"/>
                <w:b/>
                <w:bCs/>
                <w:color w:val="000000"/>
                <w:sz w:val="22"/>
                <w:szCs w:val="22"/>
              </w:rPr>
            </w:pPr>
          </w:p>
          <w:p w14:paraId="3D04B444" w14:textId="77777777" w:rsidR="00116E29" w:rsidRPr="005F0586" w:rsidRDefault="00116E29" w:rsidP="00967A11">
            <w:pPr>
              <w:autoSpaceDE w:val="0"/>
              <w:autoSpaceDN w:val="0"/>
              <w:adjustRightInd w:val="0"/>
              <w:rPr>
                <w:rFonts w:asciiTheme="minorHAnsi" w:hAnsiTheme="minorHAnsi" w:cstheme="minorHAnsi"/>
                <w:b/>
                <w:bCs/>
                <w:color w:val="000000"/>
                <w:sz w:val="22"/>
                <w:szCs w:val="22"/>
              </w:rPr>
            </w:pPr>
          </w:p>
          <w:p w14:paraId="78845C68" w14:textId="77777777" w:rsidR="00116E29" w:rsidRPr="005F0586" w:rsidRDefault="00116E29" w:rsidP="00967A11">
            <w:pPr>
              <w:autoSpaceDE w:val="0"/>
              <w:autoSpaceDN w:val="0"/>
              <w:adjustRightInd w:val="0"/>
              <w:rPr>
                <w:rFonts w:asciiTheme="minorHAnsi" w:hAnsiTheme="minorHAnsi" w:cstheme="minorHAnsi"/>
                <w:b/>
                <w:bCs/>
                <w:color w:val="000000"/>
                <w:sz w:val="22"/>
                <w:szCs w:val="22"/>
              </w:rPr>
            </w:pPr>
            <w:r w:rsidRPr="005F0586">
              <w:rPr>
                <w:rFonts w:asciiTheme="minorHAnsi" w:hAnsiTheme="minorHAnsi" w:cstheme="minorHAnsi"/>
                <w:b/>
                <w:bCs/>
                <w:color w:val="000000"/>
                <w:sz w:val="22"/>
                <w:szCs w:val="22"/>
              </w:rPr>
              <w:t xml:space="preserve">Art. 7. </w:t>
            </w:r>
          </w:p>
          <w:p w14:paraId="08D9FB78"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r w:rsidRPr="005F0586">
              <w:rPr>
                <w:rFonts w:asciiTheme="minorHAnsi" w:hAnsiTheme="minorHAnsi" w:cstheme="minorHAnsi"/>
                <w:color w:val="000000"/>
                <w:sz w:val="22"/>
                <w:szCs w:val="22"/>
              </w:rPr>
              <w:t xml:space="preserve">1. W przypadku dokonania projektu wynalazczego </w:t>
            </w:r>
            <w:r w:rsidRPr="005F0586">
              <w:rPr>
                <w:rFonts w:asciiTheme="minorHAnsi" w:hAnsiTheme="minorHAnsi" w:cstheme="minorHAnsi"/>
                <w:b/>
                <w:bCs/>
                <w:color w:val="000000"/>
                <w:sz w:val="22"/>
                <w:szCs w:val="22"/>
              </w:rPr>
              <w:t>w wyniku</w:t>
            </w:r>
            <w:r w:rsidRPr="005F0586">
              <w:rPr>
                <w:rFonts w:asciiTheme="minorHAnsi" w:hAnsiTheme="minorHAnsi" w:cstheme="minorHAnsi"/>
                <w:color w:val="000000"/>
                <w:sz w:val="22"/>
                <w:szCs w:val="22"/>
              </w:rPr>
              <w:t xml:space="preserve"> </w:t>
            </w:r>
            <w:r w:rsidRPr="005F0586">
              <w:rPr>
                <w:rFonts w:asciiTheme="minorHAnsi" w:hAnsiTheme="minorHAnsi" w:cstheme="minorHAnsi"/>
                <w:color w:val="000000"/>
                <w:sz w:val="22"/>
                <w:szCs w:val="22"/>
                <w:shd w:val="clear" w:color="auto" w:fill="E2EFD9" w:themeFill="accent6" w:themeFillTint="33"/>
              </w:rPr>
              <w:t>wykonywania przez twórcę obowiązków ze stosunku pracy lub z realizacji innej umowy</w:t>
            </w:r>
            <w:r w:rsidRPr="005F0586">
              <w:rPr>
                <w:rFonts w:asciiTheme="minorHAnsi" w:hAnsiTheme="minorHAnsi" w:cstheme="minorHAnsi"/>
                <w:color w:val="000000"/>
                <w:sz w:val="22"/>
                <w:szCs w:val="22"/>
              </w:rPr>
              <w:t xml:space="preserve">, </w:t>
            </w:r>
            <w:r w:rsidRPr="005F0586">
              <w:rPr>
                <w:rFonts w:asciiTheme="minorHAnsi" w:hAnsiTheme="minorHAnsi" w:cstheme="minorHAnsi"/>
                <w:b/>
                <w:bCs/>
                <w:color w:val="000000"/>
                <w:sz w:val="22"/>
                <w:szCs w:val="22"/>
              </w:rPr>
              <w:t>prawo</w:t>
            </w:r>
            <w:r w:rsidRPr="005F0586">
              <w:rPr>
                <w:rFonts w:asciiTheme="minorHAnsi" w:hAnsiTheme="minorHAnsi" w:cstheme="minorHAnsi"/>
                <w:color w:val="000000"/>
                <w:sz w:val="22"/>
                <w:szCs w:val="22"/>
              </w:rPr>
              <w:t xml:space="preserve">, o którym mowa w art. 6 ust. 1 pkt 1, </w:t>
            </w:r>
            <w:r w:rsidRPr="005F0586">
              <w:rPr>
                <w:rFonts w:asciiTheme="minorHAnsi" w:hAnsiTheme="minorHAnsi" w:cstheme="minorHAnsi"/>
                <w:b/>
                <w:bCs/>
                <w:color w:val="000000"/>
                <w:sz w:val="22"/>
                <w:szCs w:val="22"/>
              </w:rPr>
              <w:t>przysługuje</w:t>
            </w:r>
            <w:r w:rsidRPr="005F0586">
              <w:rPr>
                <w:rFonts w:asciiTheme="minorHAnsi" w:hAnsiTheme="minorHAnsi" w:cstheme="minorHAnsi"/>
                <w:color w:val="000000"/>
                <w:sz w:val="22"/>
                <w:szCs w:val="22"/>
              </w:rPr>
              <w:t xml:space="preserve"> </w:t>
            </w:r>
            <w:r w:rsidRPr="005F0586">
              <w:rPr>
                <w:rFonts w:asciiTheme="minorHAnsi" w:hAnsiTheme="minorHAnsi" w:cstheme="minorHAnsi"/>
                <w:b/>
                <w:bCs/>
                <w:color w:val="000000"/>
                <w:sz w:val="22"/>
                <w:szCs w:val="22"/>
              </w:rPr>
              <w:t>pracodawcy</w:t>
            </w:r>
            <w:r w:rsidRPr="005F0586">
              <w:rPr>
                <w:rFonts w:asciiTheme="minorHAnsi" w:hAnsiTheme="minorHAnsi" w:cstheme="minorHAnsi"/>
                <w:color w:val="000000"/>
                <w:sz w:val="22"/>
                <w:szCs w:val="22"/>
              </w:rPr>
              <w:t xml:space="preserve"> lub </w:t>
            </w:r>
            <w:r w:rsidRPr="005F0586">
              <w:rPr>
                <w:rFonts w:asciiTheme="minorHAnsi" w:hAnsiTheme="minorHAnsi" w:cstheme="minorHAnsi"/>
                <w:b/>
                <w:bCs/>
                <w:color w:val="000000"/>
                <w:sz w:val="22"/>
                <w:szCs w:val="22"/>
              </w:rPr>
              <w:t>zamawiającemu</w:t>
            </w:r>
            <w:r w:rsidRPr="005F0586">
              <w:rPr>
                <w:rFonts w:asciiTheme="minorHAnsi" w:hAnsiTheme="minorHAnsi" w:cstheme="minorHAnsi"/>
                <w:color w:val="000000"/>
                <w:sz w:val="22"/>
                <w:szCs w:val="22"/>
              </w:rPr>
              <w:t xml:space="preserve">, chyba że strony ustaliły inaczej. </w:t>
            </w:r>
          </w:p>
          <w:p w14:paraId="2D90DD79"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p>
          <w:p w14:paraId="298D2B3F"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p>
          <w:p w14:paraId="27C0E3E2"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p>
          <w:p w14:paraId="2DF32055"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p>
          <w:p w14:paraId="632C1E70"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r w:rsidRPr="005F0586">
              <w:rPr>
                <w:rFonts w:asciiTheme="minorHAnsi" w:hAnsiTheme="minorHAnsi" w:cstheme="minorHAnsi"/>
                <w:color w:val="000000"/>
                <w:sz w:val="22"/>
                <w:szCs w:val="22"/>
              </w:rPr>
              <w:t xml:space="preserve">2. W umowie między przedsiębiorcami może być określony podmiot, któremu będzie przysługiwać prawo, o których mowa w art. 6 ust. 1 pkt 1, w przypadku dokonania projektu wynalazczego w związku z wykonywaniem tej umowy. </w:t>
            </w:r>
          </w:p>
          <w:p w14:paraId="2E98AC6B" w14:textId="77777777" w:rsidR="00116E29" w:rsidRPr="005F0586" w:rsidRDefault="00116E29" w:rsidP="00967A11">
            <w:pPr>
              <w:autoSpaceDE w:val="0"/>
              <w:autoSpaceDN w:val="0"/>
              <w:adjustRightInd w:val="0"/>
              <w:rPr>
                <w:rFonts w:asciiTheme="minorHAnsi" w:hAnsiTheme="minorHAnsi" w:cstheme="minorHAnsi"/>
                <w:color w:val="000000"/>
                <w:sz w:val="22"/>
                <w:szCs w:val="22"/>
              </w:rPr>
            </w:pPr>
          </w:p>
          <w:p w14:paraId="321B56C5"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eastAsiaTheme="minorHAnsi" w:hAnsiTheme="minorHAnsi" w:cstheme="minorHAnsi"/>
                <w:bCs w:val="0"/>
                <w:color w:val="000000"/>
                <w:sz w:val="22"/>
                <w:szCs w:val="22"/>
                <w:lang w:eastAsia="en-US"/>
              </w:rPr>
              <w:t xml:space="preserve">3. W przypadku dokonania projektu wynalazczego przez twórcę </w:t>
            </w:r>
            <w:r w:rsidRPr="005F0586">
              <w:rPr>
                <w:rFonts w:asciiTheme="minorHAnsi" w:eastAsiaTheme="minorHAnsi" w:hAnsiTheme="minorHAnsi" w:cstheme="minorHAnsi"/>
                <w:bCs w:val="0"/>
                <w:color w:val="000000"/>
                <w:sz w:val="22"/>
                <w:szCs w:val="22"/>
                <w:shd w:val="clear" w:color="auto" w:fill="D9E2F3" w:themeFill="accent1" w:themeFillTint="33"/>
                <w:lang w:eastAsia="en-US"/>
              </w:rPr>
              <w:t>przy pomocy przedsiębiorcy</w:t>
            </w:r>
            <w:r w:rsidRPr="005F0586">
              <w:rPr>
                <w:rFonts w:asciiTheme="minorHAnsi" w:eastAsiaTheme="minorHAnsi" w:hAnsiTheme="minorHAnsi" w:cstheme="minorHAnsi"/>
                <w:bCs w:val="0"/>
                <w:color w:val="000000"/>
                <w:sz w:val="22"/>
                <w:szCs w:val="22"/>
                <w:lang w:eastAsia="en-US"/>
              </w:rPr>
              <w:t xml:space="preserve">, </w:t>
            </w:r>
            <w:r w:rsidRPr="005F0586">
              <w:rPr>
                <w:rFonts w:asciiTheme="minorHAnsi" w:eastAsiaTheme="minorHAnsi" w:hAnsiTheme="minorHAnsi" w:cstheme="minorHAnsi"/>
                <w:bCs w:val="0"/>
                <w:color w:val="000000"/>
                <w:sz w:val="22"/>
                <w:szCs w:val="22"/>
                <w:shd w:val="clear" w:color="auto" w:fill="B4C6E7" w:themeFill="accent1" w:themeFillTint="66"/>
                <w:lang w:eastAsia="en-US"/>
              </w:rPr>
              <w:t>przedsiębiorca ten może korzystać z tego wynalazku</w:t>
            </w:r>
            <w:r w:rsidRPr="005F0586">
              <w:rPr>
                <w:rFonts w:asciiTheme="minorHAnsi" w:eastAsiaTheme="minorHAnsi" w:hAnsiTheme="minorHAnsi" w:cstheme="minorHAnsi"/>
                <w:bCs w:val="0"/>
                <w:color w:val="000000"/>
                <w:sz w:val="22"/>
                <w:szCs w:val="22"/>
                <w:lang w:eastAsia="en-US"/>
              </w:rPr>
              <w:t xml:space="preserve">, wzoru użytkowego, wzoru przemysłowego lub topografii we własnym zakresie. </w:t>
            </w:r>
            <w:r w:rsidRPr="005F0586">
              <w:rPr>
                <w:rFonts w:asciiTheme="minorHAnsi" w:eastAsiaTheme="minorHAnsi" w:hAnsiTheme="minorHAnsi" w:cstheme="minorHAnsi"/>
                <w:bCs w:val="0"/>
                <w:color w:val="000000"/>
                <w:sz w:val="22"/>
                <w:szCs w:val="22"/>
                <w:shd w:val="clear" w:color="auto" w:fill="D9E2F3" w:themeFill="accent1" w:themeFillTint="33"/>
                <w:lang w:eastAsia="en-US"/>
              </w:rPr>
              <w:t>W umowie o udzielenie pomocy</w:t>
            </w:r>
            <w:r w:rsidRPr="005F0586">
              <w:rPr>
                <w:rFonts w:asciiTheme="minorHAnsi" w:eastAsiaTheme="minorHAnsi" w:hAnsiTheme="minorHAnsi" w:cstheme="minorHAnsi"/>
                <w:bCs w:val="0"/>
                <w:color w:val="000000"/>
                <w:sz w:val="22"/>
                <w:szCs w:val="22"/>
                <w:lang w:eastAsia="en-US"/>
              </w:rPr>
              <w:t xml:space="preserve"> strony </w:t>
            </w:r>
            <w:r w:rsidRPr="005F0586">
              <w:rPr>
                <w:rFonts w:asciiTheme="minorHAnsi" w:eastAsiaTheme="minorHAnsi" w:hAnsiTheme="minorHAnsi" w:cstheme="minorHAnsi"/>
                <w:bCs w:val="0"/>
                <w:color w:val="000000"/>
                <w:sz w:val="22"/>
                <w:szCs w:val="22"/>
                <w:shd w:val="clear" w:color="auto" w:fill="D9E2F3" w:themeFill="accent1" w:themeFillTint="33"/>
                <w:lang w:eastAsia="en-US"/>
              </w:rPr>
              <w:t>mogą ustalić, że przedsiębiorcy przysługuje</w:t>
            </w:r>
            <w:r w:rsidRPr="005F0586">
              <w:rPr>
                <w:rFonts w:asciiTheme="minorHAnsi" w:eastAsiaTheme="minorHAnsi" w:hAnsiTheme="minorHAnsi" w:cstheme="minorHAnsi"/>
                <w:bCs w:val="0"/>
                <w:color w:val="000000"/>
                <w:sz w:val="22"/>
                <w:szCs w:val="22"/>
                <w:lang w:eastAsia="en-US"/>
              </w:rPr>
              <w:t xml:space="preserve"> w całości lub części prawo, o którym mowa w art. 6 ust. 1 pkt 1.</w:t>
            </w:r>
          </w:p>
        </w:tc>
      </w:tr>
      <w:tr w:rsidR="00116E29" w:rsidRPr="005F0586" w14:paraId="6D1D0FA9" w14:textId="77777777" w:rsidTr="00967A11">
        <w:tc>
          <w:tcPr>
            <w:tcW w:w="9056" w:type="dxa"/>
            <w:gridSpan w:val="2"/>
            <w:shd w:val="clear" w:color="auto" w:fill="E7E6E6" w:themeFill="background2"/>
          </w:tcPr>
          <w:p w14:paraId="70E06F5C" w14:textId="77777777" w:rsidR="00116E29" w:rsidRPr="00491ADF" w:rsidRDefault="00116E29" w:rsidP="00967A11">
            <w:pPr>
              <w:autoSpaceDE w:val="0"/>
              <w:autoSpaceDN w:val="0"/>
              <w:adjustRightInd w:val="0"/>
              <w:rPr>
                <w:rFonts w:asciiTheme="minorHAnsi" w:hAnsiTheme="minorHAnsi" w:cstheme="minorHAnsi"/>
                <w:b/>
                <w:bCs/>
                <w:color w:val="2E74B5" w:themeColor="accent5" w:themeShade="BF"/>
                <w:sz w:val="22"/>
                <w:szCs w:val="22"/>
              </w:rPr>
            </w:pPr>
            <w:r w:rsidRPr="00491ADF">
              <w:rPr>
                <w:rFonts w:asciiTheme="minorHAnsi" w:hAnsiTheme="minorHAnsi" w:cstheme="minorHAnsi"/>
                <w:b/>
                <w:color w:val="2E74B5" w:themeColor="accent5" w:themeShade="BF"/>
                <w:sz w:val="22"/>
                <w:szCs w:val="22"/>
              </w:rPr>
              <w:lastRenderedPageBreak/>
              <w:t>REMARKS:</w:t>
            </w:r>
          </w:p>
        </w:tc>
      </w:tr>
      <w:tr w:rsidR="00116E29" w:rsidRPr="004D64A0" w14:paraId="2B3857DC" w14:textId="77777777" w:rsidTr="00967A11">
        <w:tc>
          <w:tcPr>
            <w:tcW w:w="9056" w:type="dxa"/>
            <w:gridSpan w:val="2"/>
          </w:tcPr>
          <w:p w14:paraId="75A2573A"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22"/>
                <w:szCs w:val="22"/>
                <w:lang w:val="en-GB"/>
              </w:rPr>
            </w:pPr>
          </w:p>
          <w:p w14:paraId="6FF94B4C"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The REGULATORY IMPACT ASSESSMENT of </w:t>
            </w:r>
            <w:r w:rsidRPr="00491ADF">
              <w:rPr>
                <w:rFonts w:asciiTheme="minorHAnsi" w:hAnsiTheme="minorHAnsi" w:cstheme="minorHAnsi"/>
                <w:b/>
                <w:bCs/>
                <w:color w:val="2E74B5" w:themeColor="accent5" w:themeShade="BF"/>
                <w:sz w:val="22"/>
                <w:szCs w:val="22"/>
                <w:lang w:val="en-US"/>
              </w:rPr>
              <w:t>UD263</w:t>
            </w:r>
            <w:r w:rsidRPr="00491ADF">
              <w:rPr>
                <w:rFonts w:asciiTheme="minorHAnsi" w:hAnsiTheme="minorHAnsi" w:cstheme="minorHAnsi"/>
                <w:color w:val="2E74B5" w:themeColor="accent5" w:themeShade="BF"/>
                <w:sz w:val="22"/>
                <w:szCs w:val="22"/>
                <w:lang w:val="en-US"/>
              </w:rPr>
              <w:t xml:space="preserve"> draft of Act rightly suggests the need to: "</w:t>
            </w:r>
            <w:r w:rsidRPr="00491ADF">
              <w:rPr>
                <w:rFonts w:asciiTheme="minorHAnsi" w:hAnsiTheme="minorHAnsi" w:cstheme="minorHAnsi"/>
                <w:b/>
                <w:bCs/>
                <w:i/>
                <w:iCs/>
                <w:color w:val="2E74B5" w:themeColor="accent5" w:themeShade="BF"/>
                <w:sz w:val="22"/>
                <w:szCs w:val="22"/>
                <w:lang w:val="en-US"/>
              </w:rPr>
              <w:t>close emerging legal gaps</w:t>
            </w:r>
            <w:r w:rsidRPr="00491ADF">
              <w:rPr>
                <w:rFonts w:asciiTheme="minorHAnsi" w:hAnsiTheme="minorHAnsi" w:cstheme="minorHAnsi"/>
                <w:color w:val="2E74B5" w:themeColor="accent5" w:themeShade="BF"/>
                <w:sz w:val="22"/>
                <w:szCs w:val="22"/>
                <w:lang w:val="en-US"/>
              </w:rPr>
              <w:t>". However, the draft does not contain provisions that would lead to the closing of existing legal gaps.</w:t>
            </w:r>
          </w:p>
          <w:p w14:paraId="49CA8CEF" w14:textId="77777777" w:rsidR="00116E29" w:rsidRPr="00491ADF" w:rsidRDefault="00116E29" w:rsidP="00967A11">
            <w:pPr>
              <w:autoSpaceDE w:val="0"/>
              <w:autoSpaceDN w:val="0"/>
              <w:adjustRightInd w:val="0"/>
              <w:rPr>
                <w:rFonts w:asciiTheme="minorHAnsi" w:hAnsiTheme="minorHAnsi" w:cstheme="minorHAnsi"/>
                <w:color w:val="2E74B5" w:themeColor="accent5" w:themeShade="BF"/>
                <w:sz w:val="10"/>
                <w:szCs w:val="10"/>
                <w:lang w:val="en-US"/>
              </w:rPr>
            </w:pPr>
          </w:p>
          <w:p w14:paraId="7A8D7D12"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Still, for example, where an invention is being developed under:</w:t>
            </w:r>
          </w:p>
          <w:p w14:paraId="210409FC"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10"/>
                <w:szCs w:val="10"/>
                <w:lang w:val="en-US"/>
              </w:rPr>
            </w:pPr>
          </w:p>
          <w:p w14:paraId="32FFD87F" w14:textId="77777777" w:rsidR="00116E29" w:rsidRPr="00491ADF" w:rsidRDefault="00116E29" w:rsidP="001F6BE3">
            <w:pPr>
              <w:pStyle w:val="Akapitzlist"/>
              <w:numPr>
                <w:ilvl w:val="0"/>
                <w:numId w:val="29"/>
              </w:numPr>
              <w:tabs>
                <w:tab w:val="left" w:pos="557"/>
              </w:tabs>
              <w:autoSpaceDE w:val="0"/>
              <w:autoSpaceDN w:val="0"/>
              <w:adjustRightInd w:val="0"/>
              <w:ind w:left="553" w:hanging="259"/>
              <w:contextualSpacing/>
              <w:jc w:val="both"/>
              <w:rPr>
                <w:rFonts w:asciiTheme="minorHAnsi" w:hAnsiTheme="minorHAnsi" w:cstheme="minorHAnsi"/>
                <w:i/>
                <w:iCs/>
                <w:color w:val="2E74B5" w:themeColor="accent5" w:themeShade="BF"/>
                <w:sz w:val="22"/>
                <w:szCs w:val="22"/>
                <w:shd w:val="clear" w:color="auto" w:fill="E2EFD9" w:themeFill="accent6" w:themeFillTint="33"/>
                <w:lang w:val="en-US"/>
              </w:rPr>
            </w:pPr>
            <w:r w:rsidRPr="00491ADF">
              <w:rPr>
                <w:rFonts w:asciiTheme="minorHAnsi" w:hAnsiTheme="minorHAnsi" w:cstheme="minorHAnsi"/>
                <w:i/>
                <w:iCs/>
                <w:color w:val="2E74B5" w:themeColor="accent5" w:themeShade="BF"/>
                <w:sz w:val="22"/>
                <w:szCs w:val="22"/>
                <w:shd w:val="clear" w:color="auto" w:fill="E2EFD9" w:themeFill="accent6" w:themeFillTint="33"/>
                <w:lang w:val="en-US"/>
              </w:rPr>
              <w:t>"</w:t>
            </w:r>
            <w:proofErr w:type="gramStart"/>
            <w:r w:rsidRPr="00491ADF">
              <w:rPr>
                <w:rFonts w:asciiTheme="minorHAnsi" w:hAnsiTheme="minorHAnsi" w:cstheme="minorHAnsi"/>
                <w:i/>
                <w:iCs/>
                <w:color w:val="2E74B5" w:themeColor="accent5" w:themeShade="BF"/>
                <w:sz w:val="22"/>
                <w:szCs w:val="22"/>
                <w:shd w:val="clear" w:color="auto" w:fill="E2EFD9" w:themeFill="accent6" w:themeFillTint="33"/>
                <w:lang w:val="en-US"/>
              </w:rPr>
              <w:t>the</w:t>
            </w:r>
            <w:proofErr w:type="gramEnd"/>
            <w:r w:rsidRPr="00491ADF">
              <w:rPr>
                <w:rFonts w:asciiTheme="minorHAnsi" w:hAnsiTheme="minorHAnsi" w:cstheme="minorHAnsi"/>
                <w:i/>
                <w:iCs/>
                <w:color w:val="2E74B5" w:themeColor="accent5" w:themeShade="BF"/>
                <w:sz w:val="22"/>
                <w:szCs w:val="22"/>
                <w:shd w:val="clear" w:color="auto" w:fill="E2EFD9" w:themeFill="accent6" w:themeFillTint="33"/>
                <w:lang w:val="en-US"/>
              </w:rPr>
              <w:t xml:space="preserve"> performance by the inventor of duties resulting from an employment relationship or from the performance of another contract"</w:t>
            </w:r>
          </w:p>
          <w:p w14:paraId="1C2152B6" w14:textId="77777777" w:rsidR="00116E29" w:rsidRPr="00491ADF" w:rsidRDefault="00116E29" w:rsidP="00967A11">
            <w:pPr>
              <w:tabs>
                <w:tab w:val="left" w:pos="557"/>
              </w:tabs>
              <w:autoSpaceDE w:val="0"/>
              <w:autoSpaceDN w:val="0"/>
              <w:adjustRightInd w:val="0"/>
              <w:jc w:val="both"/>
              <w:rPr>
                <w:rFonts w:asciiTheme="minorHAnsi" w:hAnsiTheme="minorHAnsi" w:cstheme="minorHAnsi"/>
                <w:color w:val="2E74B5" w:themeColor="accent5" w:themeShade="BF"/>
                <w:sz w:val="22"/>
                <w:szCs w:val="22"/>
                <w:shd w:val="clear" w:color="auto" w:fill="E2EFD9" w:themeFill="accent6" w:themeFillTint="33"/>
                <w:lang w:val="en-US"/>
              </w:rPr>
            </w:pPr>
            <w:r w:rsidRPr="00491ADF">
              <w:rPr>
                <w:rFonts w:asciiTheme="minorHAnsi" w:hAnsiTheme="minorHAnsi" w:cstheme="minorHAnsi"/>
                <w:color w:val="2E74B5" w:themeColor="accent5" w:themeShade="BF"/>
                <w:sz w:val="22"/>
                <w:szCs w:val="22"/>
                <w:lang w:val="en-US"/>
              </w:rPr>
              <w:t>and similarly, where an invention is developed:</w:t>
            </w:r>
          </w:p>
          <w:p w14:paraId="4649A4C5" w14:textId="4C48228B" w:rsidR="00116E29" w:rsidRPr="00491ADF" w:rsidRDefault="00116E29" w:rsidP="00967A11">
            <w:pPr>
              <w:pStyle w:val="Akapitzlist"/>
              <w:numPr>
                <w:ilvl w:val="0"/>
                <w:numId w:val="29"/>
              </w:numPr>
              <w:tabs>
                <w:tab w:val="left" w:pos="557"/>
              </w:tabs>
              <w:autoSpaceDE w:val="0"/>
              <w:autoSpaceDN w:val="0"/>
              <w:adjustRightInd w:val="0"/>
              <w:ind w:left="553" w:hanging="259"/>
              <w:contextualSpacing/>
              <w:jc w:val="both"/>
              <w:rPr>
                <w:rFonts w:asciiTheme="minorHAnsi" w:hAnsiTheme="minorHAnsi" w:cstheme="minorHAnsi"/>
                <w:i/>
                <w:iCs/>
                <w:color w:val="2E74B5" w:themeColor="accent5" w:themeShade="BF"/>
                <w:sz w:val="22"/>
                <w:szCs w:val="22"/>
                <w:shd w:val="clear" w:color="auto" w:fill="D9E2F3" w:themeFill="accent1" w:themeFillTint="33"/>
                <w:lang w:val="en-US"/>
              </w:rPr>
            </w:pPr>
            <w:r w:rsidRPr="00491ADF">
              <w:rPr>
                <w:rFonts w:asciiTheme="minorHAnsi" w:hAnsiTheme="minorHAnsi" w:cstheme="minorHAnsi"/>
                <w:i/>
                <w:iCs/>
                <w:color w:val="2E74B5" w:themeColor="accent5" w:themeShade="BF"/>
                <w:sz w:val="22"/>
                <w:szCs w:val="22"/>
                <w:shd w:val="clear" w:color="auto" w:fill="D9E2F3" w:themeFill="accent1" w:themeFillTint="33"/>
                <w:lang w:val="en-US"/>
              </w:rPr>
              <w:t>"</w:t>
            </w:r>
            <w:proofErr w:type="gramStart"/>
            <w:r w:rsidRPr="00491ADF">
              <w:rPr>
                <w:rFonts w:asciiTheme="minorHAnsi" w:hAnsiTheme="minorHAnsi" w:cstheme="minorHAnsi"/>
                <w:i/>
                <w:iCs/>
                <w:color w:val="2E74B5" w:themeColor="accent5" w:themeShade="BF"/>
                <w:sz w:val="22"/>
                <w:szCs w:val="22"/>
                <w:shd w:val="clear" w:color="auto" w:fill="D9E2F3" w:themeFill="accent1" w:themeFillTint="33"/>
                <w:lang w:val="en-US"/>
              </w:rPr>
              <w:t>with</w:t>
            </w:r>
            <w:proofErr w:type="gramEnd"/>
            <w:r w:rsidRPr="00491ADF">
              <w:rPr>
                <w:rFonts w:asciiTheme="minorHAnsi" w:hAnsiTheme="minorHAnsi" w:cstheme="minorHAnsi"/>
                <w:i/>
                <w:iCs/>
                <w:color w:val="2E74B5" w:themeColor="accent5" w:themeShade="BF"/>
                <w:sz w:val="22"/>
                <w:szCs w:val="22"/>
                <w:shd w:val="clear" w:color="auto" w:fill="D9E2F3" w:themeFill="accent1" w:themeFillTint="33"/>
                <w:lang w:val="en-US"/>
              </w:rPr>
              <w:t xml:space="preserve"> the assistance of an entrepreneur"</w:t>
            </w:r>
          </w:p>
          <w:p w14:paraId="1242E9D1" w14:textId="77777777" w:rsidR="00116E29" w:rsidRPr="00491ADF" w:rsidRDefault="00116E29" w:rsidP="00967A11">
            <w:pPr>
              <w:tabs>
                <w:tab w:val="left" w:pos="557"/>
              </w:tabs>
              <w:autoSpaceDE w:val="0"/>
              <w:autoSpaceDN w:val="0"/>
              <w:adjustRightInd w:val="0"/>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 the remuneration of the inventor (as it is now) would be determined </w:t>
            </w:r>
            <w:proofErr w:type="gramStart"/>
            <w:r w:rsidRPr="00491ADF">
              <w:rPr>
                <w:rFonts w:asciiTheme="minorHAnsi" w:hAnsiTheme="minorHAnsi" w:cstheme="minorHAnsi"/>
                <w:color w:val="2E74B5" w:themeColor="accent5" w:themeShade="BF"/>
                <w:sz w:val="22"/>
                <w:szCs w:val="22"/>
                <w:lang w:val="en-US"/>
              </w:rPr>
              <w:t>on the basis of</w:t>
            </w:r>
            <w:proofErr w:type="gramEnd"/>
            <w:r w:rsidRPr="00491ADF">
              <w:rPr>
                <w:rFonts w:asciiTheme="minorHAnsi" w:hAnsiTheme="minorHAnsi" w:cstheme="minorHAnsi"/>
                <w:color w:val="2E74B5" w:themeColor="accent5" w:themeShade="BF"/>
                <w:sz w:val="22"/>
                <w:szCs w:val="22"/>
                <w:lang w:val="en-US"/>
              </w:rPr>
              <w:t xml:space="preserve"> a theoretical and ambiguous principle, the repetition of which is proposed in the present draft:</w:t>
            </w:r>
          </w:p>
          <w:p w14:paraId="2C10BF02" w14:textId="77777777" w:rsidR="00116E29" w:rsidRPr="00491ADF" w:rsidRDefault="00116E29" w:rsidP="001F6BE3">
            <w:pPr>
              <w:pStyle w:val="Akapitzlist"/>
              <w:numPr>
                <w:ilvl w:val="0"/>
                <w:numId w:val="29"/>
              </w:numPr>
              <w:tabs>
                <w:tab w:val="left" w:pos="557"/>
              </w:tabs>
              <w:autoSpaceDE w:val="0"/>
              <w:autoSpaceDN w:val="0"/>
              <w:adjustRightInd w:val="0"/>
              <w:ind w:left="553" w:hanging="259"/>
              <w:contextualSpacing/>
              <w:jc w:val="both"/>
              <w:rPr>
                <w:rFonts w:asciiTheme="minorHAnsi" w:hAnsiTheme="minorHAnsi" w:cstheme="minorHAnsi"/>
                <w:i/>
                <w:iCs/>
                <w:color w:val="2E74B5" w:themeColor="accent5" w:themeShade="BF"/>
                <w:sz w:val="22"/>
                <w:szCs w:val="22"/>
                <w:shd w:val="clear" w:color="auto" w:fill="FBE4D5" w:themeFill="accent2" w:themeFillTint="33"/>
                <w:lang w:val="en-US"/>
              </w:rPr>
            </w:pPr>
            <w:r w:rsidRPr="00491ADF">
              <w:rPr>
                <w:rFonts w:asciiTheme="minorHAnsi" w:hAnsiTheme="minorHAnsi" w:cstheme="minorHAnsi"/>
                <w:i/>
                <w:iCs/>
                <w:color w:val="2E74B5" w:themeColor="accent5" w:themeShade="BF"/>
                <w:sz w:val="22"/>
                <w:szCs w:val="22"/>
                <w:shd w:val="clear" w:color="auto" w:fill="FBE4D5" w:themeFill="accent2" w:themeFillTint="33"/>
                <w:lang w:val="en-US"/>
              </w:rPr>
              <w:t>"</w:t>
            </w:r>
            <w:proofErr w:type="gramStart"/>
            <w:r w:rsidRPr="00491ADF">
              <w:rPr>
                <w:rFonts w:asciiTheme="minorHAnsi" w:hAnsiTheme="minorHAnsi" w:cstheme="minorHAnsi"/>
                <w:i/>
                <w:iCs/>
                <w:color w:val="2E74B5" w:themeColor="accent5" w:themeShade="BF"/>
                <w:sz w:val="22"/>
                <w:szCs w:val="22"/>
                <w:shd w:val="clear" w:color="auto" w:fill="FBE4D5" w:themeFill="accent2" w:themeFillTint="33"/>
                <w:lang w:val="en-US"/>
              </w:rPr>
              <w:t>in</w:t>
            </w:r>
            <w:proofErr w:type="gramEnd"/>
            <w:r w:rsidRPr="00491ADF">
              <w:rPr>
                <w:rFonts w:asciiTheme="minorHAnsi" w:hAnsiTheme="minorHAnsi" w:cstheme="minorHAnsi"/>
                <w:i/>
                <w:iCs/>
                <w:color w:val="2E74B5" w:themeColor="accent5" w:themeShade="BF"/>
                <w:sz w:val="22"/>
                <w:szCs w:val="22"/>
                <w:shd w:val="clear" w:color="auto" w:fill="FBE4D5" w:themeFill="accent2" w:themeFillTint="33"/>
                <w:lang w:val="en-US"/>
              </w:rPr>
              <w:t xml:space="preserve"> fair proportion to the benefit of the entrepreneur".</w:t>
            </w:r>
          </w:p>
          <w:p w14:paraId="197C7F87"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10"/>
                <w:szCs w:val="10"/>
                <w:lang w:val="en-US"/>
              </w:rPr>
            </w:pPr>
          </w:p>
          <w:p w14:paraId="583522AD"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This would then lead to a situation, which has been going on for many years, in which the inventor: </w:t>
            </w:r>
          </w:p>
          <w:p w14:paraId="09802F60" w14:textId="77777777" w:rsidR="00116E29" w:rsidRPr="00491ADF" w:rsidRDefault="00116E29" w:rsidP="00967A11">
            <w:pPr>
              <w:autoSpaceDE w:val="0"/>
              <w:autoSpaceDN w:val="0"/>
              <w:adjustRightInd w:val="0"/>
              <w:jc w:val="both"/>
              <w:rPr>
                <w:rFonts w:asciiTheme="minorHAnsi" w:hAnsiTheme="minorHAnsi" w:cstheme="minorHAnsi"/>
                <w:color w:val="2E74B5" w:themeColor="accent5" w:themeShade="BF"/>
                <w:sz w:val="10"/>
                <w:szCs w:val="10"/>
                <w:lang w:val="en-US"/>
              </w:rPr>
            </w:pPr>
          </w:p>
          <w:p w14:paraId="15A63844" w14:textId="77777777" w:rsidR="00116E29" w:rsidRPr="00491ADF" w:rsidRDefault="00116E29" w:rsidP="00967A11">
            <w:pPr>
              <w:autoSpaceDE w:val="0"/>
              <w:autoSpaceDN w:val="0"/>
              <w:adjustRightInd w:val="0"/>
              <w:ind w:left="293"/>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a) is not properly remunerated or</w:t>
            </w:r>
          </w:p>
          <w:p w14:paraId="24C939A2" w14:textId="77777777" w:rsidR="00116E29" w:rsidRPr="00491ADF" w:rsidRDefault="00116E29" w:rsidP="00967A11">
            <w:pPr>
              <w:autoSpaceDE w:val="0"/>
              <w:autoSpaceDN w:val="0"/>
              <w:adjustRightInd w:val="0"/>
              <w:ind w:left="293"/>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b) is forced to add fictitious inventors and transfer rights to them or</w:t>
            </w:r>
          </w:p>
          <w:p w14:paraId="56B4C6C7" w14:textId="77777777" w:rsidR="00116E29" w:rsidRPr="00491ADF" w:rsidRDefault="00116E29" w:rsidP="00967A11">
            <w:pPr>
              <w:autoSpaceDE w:val="0"/>
              <w:autoSpaceDN w:val="0"/>
              <w:adjustRightInd w:val="0"/>
              <w:ind w:left="293"/>
              <w:jc w:val="both"/>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c) abandon the application for an invention and refrain from sharing knowledge about it.</w:t>
            </w:r>
          </w:p>
          <w:p w14:paraId="16E6B19B" w14:textId="77777777" w:rsidR="00116E29" w:rsidRPr="00491ADF" w:rsidRDefault="00116E29" w:rsidP="00967A11">
            <w:pPr>
              <w:autoSpaceDE w:val="0"/>
              <w:autoSpaceDN w:val="0"/>
              <w:adjustRightInd w:val="0"/>
              <w:jc w:val="both"/>
              <w:rPr>
                <w:rFonts w:asciiTheme="minorHAnsi" w:hAnsiTheme="minorHAnsi" w:cstheme="minorHAnsi"/>
                <w:b/>
                <w:bCs/>
                <w:color w:val="2E74B5" w:themeColor="accent5" w:themeShade="BF"/>
                <w:sz w:val="22"/>
                <w:szCs w:val="22"/>
                <w:lang w:val="en-US"/>
              </w:rPr>
            </w:pPr>
          </w:p>
        </w:tc>
      </w:tr>
    </w:tbl>
    <w:p w14:paraId="2B8F5084" w14:textId="77777777" w:rsidR="00116E29" w:rsidRPr="005F0586" w:rsidRDefault="00116E29" w:rsidP="00116E29">
      <w:pPr>
        <w:spacing w:after="0" w:line="240" w:lineRule="auto"/>
        <w:jc w:val="center"/>
        <w:rPr>
          <w:rFonts w:cstheme="minorHAnsi"/>
          <w:lang w:val="en-US"/>
        </w:rPr>
      </w:pPr>
    </w:p>
    <w:p w14:paraId="34109745" w14:textId="77777777" w:rsidR="00116E29" w:rsidRPr="005F0586" w:rsidRDefault="00116E29" w:rsidP="00116E29">
      <w:pPr>
        <w:spacing w:after="0" w:line="240" w:lineRule="auto"/>
        <w:jc w:val="center"/>
        <w:rPr>
          <w:rFonts w:cstheme="minorHAnsi"/>
        </w:rPr>
      </w:pPr>
      <w:r w:rsidRPr="005F0586">
        <w:rPr>
          <w:rFonts w:cstheme="minorHAnsi"/>
        </w:rPr>
        <w:t>+++</w:t>
      </w:r>
    </w:p>
    <w:p w14:paraId="7B87F832" w14:textId="77777777" w:rsidR="00116E29" w:rsidRPr="005F0586" w:rsidRDefault="00116E29" w:rsidP="00116E29">
      <w:pPr>
        <w:spacing w:after="0" w:line="240" w:lineRule="auto"/>
        <w:jc w:val="center"/>
        <w:rPr>
          <w:rFonts w:cstheme="minorHAnsi"/>
        </w:rPr>
      </w:pPr>
    </w:p>
    <w:tbl>
      <w:tblPr>
        <w:tblStyle w:val="Tabela-Siatka"/>
        <w:tblW w:w="0" w:type="auto"/>
        <w:tblLook w:val="04A0" w:firstRow="1" w:lastRow="0" w:firstColumn="1" w:lastColumn="0" w:noHBand="0" w:noVBand="1"/>
      </w:tblPr>
      <w:tblGrid>
        <w:gridCol w:w="4611"/>
        <w:gridCol w:w="4445"/>
      </w:tblGrid>
      <w:tr w:rsidR="00116E29" w:rsidRPr="004D64A0" w14:paraId="55F731AC" w14:textId="77777777" w:rsidTr="00967A11">
        <w:tc>
          <w:tcPr>
            <w:tcW w:w="4611" w:type="dxa"/>
            <w:shd w:val="clear" w:color="auto" w:fill="F2F2F2" w:themeFill="background1" w:themeFillShade="F2"/>
          </w:tcPr>
          <w:p w14:paraId="2A4996F8" w14:textId="7BFD44DB"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t>TODAY in the current Act o</w:t>
            </w:r>
            <w:r w:rsidR="00B0193F"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445" w:type="dxa"/>
            <w:shd w:val="clear" w:color="auto" w:fill="F2F2F2" w:themeFill="background1" w:themeFillShade="F2"/>
          </w:tcPr>
          <w:p w14:paraId="643164DC" w14:textId="58EEDB11"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B0193F"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5F0586" w14:paraId="53D680D9" w14:textId="77777777" w:rsidTr="00967A11">
        <w:tc>
          <w:tcPr>
            <w:tcW w:w="4611" w:type="dxa"/>
          </w:tcPr>
          <w:p w14:paraId="073986F4" w14:textId="77777777" w:rsidR="00116E29" w:rsidRPr="005F0586" w:rsidRDefault="00116E29" w:rsidP="00967A11">
            <w:pPr>
              <w:shd w:val="clear" w:color="auto" w:fill="FFFFFF"/>
              <w:rPr>
                <w:rFonts w:asciiTheme="minorHAnsi" w:hAnsiTheme="minorHAnsi" w:cstheme="minorHAnsi"/>
                <w:color w:val="333333"/>
                <w:sz w:val="22"/>
                <w:szCs w:val="22"/>
              </w:rPr>
            </w:pPr>
            <w:r w:rsidRPr="004D64A0">
              <w:rPr>
                <w:rFonts w:asciiTheme="minorHAnsi" w:hAnsiTheme="minorHAnsi" w:cstheme="minorHAnsi"/>
                <w:b/>
                <w:bCs/>
                <w:color w:val="333333"/>
                <w:sz w:val="22"/>
                <w:szCs w:val="22"/>
              </w:rPr>
              <w:br/>
            </w:r>
            <w:r w:rsidRPr="005F0586">
              <w:rPr>
                <w:rStyle w:val="articletitle"/>
                <w:rFonts w:asciiTheme="minorHAnsi" w:hAnsiTheme="minorHAnsi" w:cstheme="minorHAnsi"/>
                <w:b/>
                <w:bCs/>
                <w:color w:val="333333"/>
                <w:sz w:val="22"/>
                <w:szCs w:val="22"/>
              </w:rPr>
              <w:t>Art. 22 [Wynagrodzenie twórcy]</w:t>
            </w:r>
          </w:p>
          <w:p w14:paraId="44FAEE98" w14:textId="2FEE6CAB"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 xml:space="preserve">1. Jeżeli strony nie umówiły się inaczej, </w:t>
            </w:r>
            <w:r w:rsidRPr="005F0586">
              <w:rPr>
                <w:rFonts w:asciiTheme="minorHAnsi" w:hAnsiTheme="minorHAnsi" w:cstheme="minorHAnsi"/>
                <w:color w:val="333333"/>
                <w:sz w:val="22"/>
                <w:szCs w:val="22"/>
                <w:shd w:val="clear" w:color="auto" w:fill="E2EFD9" w:themeFill="accent6" w:themeFillTint="33"/>
              </w:rPr>
              <w:t xml:space="preserve">twórca wynalazku, wzoru użytkowego albo wzoru przemysłowego </w:t>
            </w:r>
            <w:r w:rsidRPr="005F0586">
              <w:rPr>
                <w:rFonts w:asciiTheme="minorHAnsi" w:hAnsiTheme="minorHAnsi" w:cstheme="minorHAnsi"/>
                <w:color w:val="333333"/>
                <w:sz w:val="22"/>
                <w:szCs w:val="22"/>
                <w:shd w:val="clear" w:color="auto" w:fill="D9E2F3" w:themeFill="accent1" w:themeFillTint="33"/>
              </w:rPr>
              <w:t xml:space="preserve">ma prawo do wynagrodzenia za </w:t>
            </w:r>
            <w:r w:rsidRPr="005F0586">
              <w:rPr>
                <w:rFonts w:asciiTheme="minorHAnsi" w:hAnsiTheme="minorHAnsi" w:cstheme="minorHAnsi"/>
                <w:color w:val="333333"/>
                <w:sz w:val="22"/>
                <w:szCs w:val="22"/>
                <w:shd w:val="clear" w:color="auto" w:fill="D9E2F3" w:themeFill="accent1" w:themeFillTint="33"/>
              </w:rPr>
              <w:lastRenderedPageBreak/>
              <w:t>korzystanie z tego wynalazku</w:t>
            </w:r>
            <w:r w:rsidRPr="005F0586">
              <w:rPr>
                <w:rFonts w:asciiTheme="minorHAnsi" w:hAnsiTheme="minorHAnsi" w:cstheme="minorHAnsi"/>
                <w:color w:val="333333"/>
                <w:sz w:val="22"/>
                <w:szCs w:val="22"/>
              </w:rPr>
              <w:t xml:space="preserve">, wzoru użytkowego albo wzoru przemysłowego </w:t>
            </w:r>
            <w:r w:rsidRPr="005F0586">
              <w:rPr>
                <w:rFonts w:asciiTheme="minorHAnsi" w:hAnsiTheme="minorHAnsi" w:cstheme="minorHAnsi"/>
                <w:b/>
                <w:bCs/>
                <w:color w:val="333333"/>
                <w:sz w:val="22"/>
                <w:szCs w:val="22"/>
              </w:rPr>
              <w:t>przez przedsiębiorcę,</w:t>
            </w:r>
            <w:r w:rsidRPr="005F0586">
              <w:rPr>
                <w:rFonts w:asciiTheme="minorHAnsi" w:hAnsiTheme="minorHAnsi" w:cstheme="minorHAnsi"/>
                <w:color w:val="333333"/>
                <w:sz w:val="22"/>
                <w:szCs w:val="22"/>
              </w:rPr>
              <w:t xml:space="preserve"> gdy prawo korzystania z niego bądź prawo do uzyskania patentu, prawa ochronnego lub prawa z rejestracji przysługuje przedsiębiorcy na podstawie </w:t>
            </w:r>
            <w:hyperlink r:id="rId154" w:history="1">
              <w:r w:rsidRPr="005F0586">
                <w:rPr>
                  <w:rStyle w:val="Hipercze"/>
                  <w:rFonts w:asciiTheme="minorHAnsi" w:hAnsiTheme="minorHAnsi" w:cstheme="minorHAnsi"/>
                  <w:sz w:val="22"/>
                  <w:szCs w:val="22"/>
                  <w:u w:val="none"/>
                  <w:shd w:val="clear" w:color="auto" w:fill="FFFFFF" w:themeFill="background1"/>
                </w:rPr>
                <w:t>art. 11 ust. 3</w:t>
              </w:r>
              <w:r w:rsidRPr="005F0586">
                <w:rPr>
                  <w:rStyle w:val="Hipercze"/>
                  <w:rFonts w:asciiTheme="minorHAnsi" w:hAnsiTheme="minorHAnsi" w:cstheme="minorHAnsi"/>
                  <w:color w:val="CC0000"/>
                  <w:sz w:val="22"/>
                  <w:szCs w:val="22"/>
                  <w:u w:val="none"/>
                  <w:shd w:val="clear" w:color="auto" w:fill="FFFFFF" w:themeFill="background1"/>
                </w:rPr>
                <w:t xml:space="preserve"> </w:t>
              </w:r>
              <w:r w:rsidR="0086648C" w:rsidRPr="005F0586">
                <w:rPr>
                  <w:rStyle w:val="Hipercze"/>
                  <w:rFonts w:asciiTheme="minorHAnsi" w:hAnsiTheme="minorHAnsi" w:cstheme="minorHAnsi"/>
                  <w:color w:val="CC0000"/>
                  <w:sz w:val="22"/>
                  <w:szCs w:val="22"/>
                  <w:u w:val="none"/>
                  <w:shd w:val="clear" w:color="auto" w:fill="FFFFFF" w:themeFill="background1"/>
                </w:rPr>
                <w:t xml:space="preserve"> </w:t>
              </w:r>
              <w:r w:rsidRPr="005F0586">
                <w:rPr>
                  <w:rStyle w:val="Hipercze"/>
                  <w:rFonts w:asciiTheme="minorHAnsi" w:hAnsiTheme="minorHAnsi" w:cstheme="minorHAnsi"/>
                  <w:color w:val="CC0000"/>
                  <w:sz w:val="22"/>
                  <w:szCs w:val="22"/>
                  <w:highlight w:val="yellow"/>
                  <w:u w:val="none"/>
                </w:rPr>
                <w:t xml:space="preserve">i   </w:t>
              </w:r>
            </w:hyperlink>
            <w:r w:rsidRPr="005F0586">
              <w:rPr>
                <w:rFonts w:asciiTheme="minorHAnsi" w:hAnsiTheme="minorHAnsi" w:cstheme="minorHAnsi"/>
                <w:color w:val="333333"/>
                <w:sz w:val="22"/>
                <w:szCs w:val="22"/>
              </w:rPr>
              <w:t xml:space="preserve"> 5 </w:t>
            </w:r>
            <w:r w:rsidRPr="005F0586">
              <w:rPr>
                <w:rFonts w:asciiTheme="minorHAnsi" w:hAnsiTheme="minorHAnsi" w:cstheme="minorHAnsi"/>
                <w:sz w:val="22"/>
                <w:szCs w:val="22"/>
              </w:rPr>
              <w:t>lub </w:t>
            </w:r>
            <w:hyperlink r:id="rId155" w:history="1">
              <w:r w:rsidRPr="005F0586">
                <w:rPr>
                  <w:rStyle w:val="Hipercze"/>
                  <w:rFonts w:asciiTheme="minorHAnsi" w:hAnsiTheme="minorHAnsi" w:cstheme="minorHAnsi"/>
                  <w:sz w:val="22"/>
                  <w:szCs w:val="22"/>
                  <w:u w:val="none"/>
                </w:rPr>
                <w:t>art. 21</w:t>
              </w:r>
            </w:hyperlink>
            <w:r w:rsidRPr="005F0586">
              <w:rPr>
                <w:rFonts w:asciiTheme="minorHAnsi" w:hAnsiTheme="minorHAnsi" w:cstheme="minorHAnsi"/>
                <w:sz w:val="22"/>
                <w:szCs w:val="22"/>
              </w:rPr>
              <w:t>.</w:t>
            </w:r>
          </w:p>
          <w:p w14:paraId="69A020A5"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tc>
        <w:tc>
          <w:tcPr>
            <w:tcW w:w="4445" w:type="dxa"/>
          </w:tcPr>
          <w:p w14:paraId="3F115B91" w14:textId="77777777" w:rsidR="00116E29" w:rsidRPr="005F0586" w:rsidRDefault="00116E29" w:rsidP="00967A11">
            <w:pPr>
              <w:pStyle w:val="USTustnpkodeksu"/>
              <w:spacing w:line="240" w:lineRule="auto"/>
              <w:ind w:firstLine="0"/>
              <w:rPr>
                <w:rFonts w:asciiTheme="minorHAnsi" w:hAnsiTheme="minorHAnsi" w:cstheme="minorHAnsi"/>
                <w:b/>
                <w:bCs w:val="0"/>
                <w:sz w:val="22"/>
                <w:szCs w:val="22"/>
              </w:rPr>
            </w:pPr>
          </w:p>
          <w:p w14:paraId="17F2ACA9"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b/>
                <w:bCs w:val="0"/>
                <w:sz w:val="22"/>
                <w:szCs w:val="22"/>
              </w:rPr>
              <w:t xml:space="preserve">Art. 10. </w:t>
            </w:r>
            <w:proofErr w:type="gramStart"/>
            <w:r w:rsidRPr="005F0586">
              <w:rPr>
                <w:rFonts w:asciiTheme="minorHAnsi" w:hAnsiTheme="minorHAnsi" w:cstheme="minorHAnsi"/>
                <w:sz w:val="22"/>
                <w:szCs w:val="22"/>
              </w:rPr>
              <w:t>1 .</w:t>
            </w:r>
            <w:proofErr w:type="gramEnd"/>
            <w:r w:rsidRPr="005F0586">
              <w:rPr>
                <w:rFonts w:asciiTheme="minorHAnsi" w:hAnsiTheme="minorHAnsi" w:cstheme="minorHAnsi"/>
                <w:sz w:val="22"/>
                <w:szCs w:val="22"/>
              </w:rPr>
              <w:t xml:space="preserve"> Jeżeli strony nie umówiły się inaczej, </w:t>
            </w:r>
            <w:r w:rsidRPr="005F0586">
              <w:rPr>
                <w:rFonts w:asciiTheme="minorHAnsi" w:hAnsiTheme="minorHAnsi" w:cstheme="minorHAnsi"/>
                <w:sz w:val="22"/>
                <w:szCs w:val="22"/>
                <w:shd w:val="clear" w:color="auto" w:fill="E2EFD9" w:themeFill="accent6" w:themeFillTint="33"/>
              </w:rPr>
              <w:t>twórca projektu wynalazczego</w:t>
            </w:r>
            <w:r w:rsidRPr="005F0586">
              <w:rPr>
                <w:rFonts w:asciiTheme="minorHAnsi" w:hAnsiTheme="minorHAnsi" w:cstheme="minorHAnsi"/>
                <w:sz w:val="22"/>
                <w:szCs w:val="22"/>
              </w:rPr>
              <w:t xml:space="preserve"> </w:t>
            </w:r>
            <w:r w:rsidRPr="005F0586">
              <w:rPr>
                <w:rFonts w:asciiTheme="minorHAnsi" w:hAnsiTheme="minorHAnsi" w:cstheme="minorHAnsi"/>
                <w:sz w:val="22"/>
                <w:szCs w:val="22"/>
                <w:shd w:val="clear" w:color="auto" w:fill="D9E2F3" w:themeFill="accent1" w:themeFillTint="33"/>
              </w:rPr>
              <w:t>ma prawo do wynagrodzenia za korzystanie z tego wynalazku</w:t>
            </w:r>
            <w:r w:rsidRPr="005F0586">
              <w:rPr>
                <w:rFonts w:asciiTheme="minorHAnsi" w:hAnsiTheme="minorHAnsi" w:cstheme="minorHAnsi"/>
                <w:sz w:val="22"/>
                <w:szCs w:val="22"/>
              </w:rPr>
              <w:t xml:space="preserve">, wzoru użytkowego, wzoru </w:t>
            </w:r>
            <w:r w:rsidRPr="005F0586">
              <w:rPr>
                <w:rFonts w:asciiTheme="minorHAnsi" w:hAnsiTheme="minorHAnsi" w:cstheme="minorHAnsi"/>
                <w:sz w:val="22"/>
                <w:szCs w:val="22"/>
              </w:rPr>
              <w:lastRenderedPageBreak/>
              <w:t xml:space="preserve">przemysłowego lub topografii </w:t>
            </w:r>
            <w:r w:rsidRPr="005F0586">
              <w:rPr>
                <w:rFonts w:asciiTheme="minorHAnsi" w:hAnsiTheme="minorHAnsi" w:cstheme="minorHAnsi"/>
                <w:b/>
                <w:bCs w:val="0"/>
                <w:sz w:val="22"/>
                <w:szCs w:val="22"/>
              </w:rPr>
              <w:t>przez przedsiębiorcę</w:t>
            </w:r>
            <w:r w:rsidRPr="005F0586">
              <w:rPr>
                <w:rFonts w:asciiTheme="minorHAnsi" w:hAnsiTheme="minorHAnsi" w:cstheme="minorHAnsi"/>
                <w:sz w:val="22"/>
                <w:szCs w:val="22"/>
              </w:rPr>
              <w:t xml:space="preserve">, gdy prawo korzystania z niego albo prawo do uzyskania patentu lub prawa z rejestracji przysługuje przedsiębiorcy na podstawie </w:t>
            </w:r>
            <w:r w:rsidRPr="005F0586">
              <w:rPr>
                <w:rFonts w:asciiTheme="minorHAnsi" w:hAnsiTheme="minorHAnsi" w:cstheme="minorHAnsi"/>
                <w:sz w:val="22"/>
                <w:szCs w:val="22"/>
                <w:shd w:val="clear" w:color="auto" w:fill="FFFFFF" w:themeFill="background1"/>
              </w:rPr>
              <w:t>art. 7 ust. 1</w:t>
            </w:r>
            <w:r w:rsidRPr="005F0586">
              <w:rPr>
                <w:rFonts w:asciiTheme="minorHAnsi" w:hAnsiTheme="minorHAnsi" w:cstheme="minorHAnsi"/>
                <w:sz w:val="22"/>
                <w:szCs w:val="22"/>
              </w:rPr>
              <w:t xml:space="preserve"> </w:t>
            </w:r>
            <w:proofErr w:type="gramStart"/>
            <w:r w:rsidRPr="005F0586">
              <w:rPr>
                <w:rFonts w:asciiTheme="minorHAnsi" w:hAnsiTheme="minorHAnsi" w:cstheme="minorHAnsi"/>
                <w:sz w:val="22"/>
                <w:szCs w:val="22"/>
                <w:highlight w:val="yellow"/>
              </w:rPr>
              <w:t xml:space="preserve">i </w:t>
            </w:r>
            <w:r w:rsidRPr="005F0586">
              <w:rPr>
                <w:rFonts w:asciiTheme="minorHAnsi" w:hAnsiTheme="minorHAnsi" w:cstheme="minorHAnsi"/>
                <w:sz w:val="22"/>
                <w:szCs w:val="22"/>
              </w:rPr>
              <w:t xml:space="preserve"> 3</w:t>
            </w:r>
            <w:proofErr w:type="gramEnd"/>
            <w:r w:rsidRPr="005F0586">
              <w:rPr>
                <w:rFonts w:asciiTheme="minorHAnsi" w:hAnsiTheme="minorHAnsi" w:cstheme="minorHAnsi"/>
                <w:sz w:val="22"/>
                <w:szCs w:val="22"/>
              </w:rPr>
              <w:t xml:space="preserve"> lub art. 9 ust. 2.</w:t>
            </w:r>
          </w:p>
        </w:tc>
      </w:tr>
      <w:tr w:rsidR="00116E29" w:rsidRPr="005F0586" w14:paraId="65D3C5EA" w14:textId="77777777" w:rsidTr="00967A11">
        <w:tc>
          <w:tcPr>
            <w:tcW w:w="9056" w:type="dxa"/>
            <w:gridSpan w:val="2"/>
            <w:shd w:val="clear" w:color="auto" w:fill="E7E6E6" w:themeFill="background2"/>
          </w:tcPr>
          <w:p w14:paraId="6719DA2C" w14:textId="77777777" w:rsidR="00116E29" w:rsidRPr="00491ADF" w:rsidRDefault="00116E29" w:rsidP="00967A11">
            <w:pPr>
              <w:pStyle w:val="USTustnpkodeksu"/>
              <w:spacing w:line="240" w:lineRule="auto"/>
              <w:ind w:firstLine="0"/>
              <w:rPr>
                <w:rFonts w:asciiTheme="minorHAnsi" w:hAnsiTheme="minorHAnsi" w:cstheme="minorHAnsi"/>
                <w:b/>
                <w:color w:val="2E74B5" w:themeColor="accent5" w:themeShade="BF"/>
                <w:sz w:val="22"/>
                <w:szCs w:val="22"/>
              </w:rPr>
            </w:pPr>
            <w:r w:rsidRPr="00491ADF">
              <w:rPr>
                <w:rFonts w:asciiTheme="minorHAnsi" w:hAnsiTheme="minorHAnsi" w:cstheme="minorHAnsi"/>
                <w:b/>
                <w:color w:val="2E74B5" w:themeColor="accent5" w:themeShade="BF"/>
                <w:sz w:val="22"/>
                <w:szCs w:val="22"/>
              </w:rPr>
              <w:lastRenderedPageBreak/>
              <w:t>REMARKS:</w:t>
            </w:r>
          </w:p>
        </w:tc>
      </w:tr>
      <w:tr w:rsidR="00116E29" w:rsidRPr="005F0586" w14:paraId="3C68C3E6" w14:textId="77777777" w:rsidTr="00967A11">
        <w:tc>
          <w:tcPr>
            <w:tcW w:w="9056" w:type="dxa"/>
            <w:gridSpan w:val="2"/>
            <w:shd w:val="clear" w:color="auto" w:fill="FFFFFF" w:themeFill="background1"/>
          </w:tcPr>
          <w:p w14:paraId="085C8C7C"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GB"/>
              </w:rPr>
            </w:pPr>
          </w:p>
          <w:p w14:paraId="618628CB"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Draft </w:t>
            </w:r>
            <w:r w:rsidRPr="00491ADF">
              <w:rPr>
                <w:rFonts w:asciiTheme="minorHAnsi" w:hAnsiTheme="minorHAnsi" w:cstheme="minorHAnsi"/>
                <w:b/>
                <w:bCs w:val="0"/>
                <w:color w:val="2E74B5" w:themeColor="accent5" w:themeShade="BF"/>
                <w:sz w:val="22"/>
                <w:szCs w:val="22"/>
                <w:lang w:val="en-US"/>
              </w:rPr>
              <w:t xml:space="preserve">UD263 </w:t>
            </w:r>
            <w:r w:rsidRPr="00491ADF">
              <w:rPr>
                <w:rFonts w:asciiTheme="minorHAnsi" w:hAnsiTheme="minorHAnsi" w:cstheme="minorHAnsi"/>
                <w:color w:val="2E74B5" w:themeColor="accent5" w:themeShade="BF"/>
                <w:sz w:val="22"/>
                <w:szCs w:val="22"/>
                <w:lang w:val="en-US"/>
              </w:rPr>
              <w:t xml:space="preserve">proposes to repeat the logical error introduced in Article 22 of the </w:t>
            </w:r>
            <w:r w:rsidRPr="00491ADF">
              <w:rPr>
                <w:rFonts w:asciiTheme="minorHAnsi" w:hAnsiTheme="minorHAnsi" w:cstheme="minorHAnsi"/>
                <w:b/>
                <w:bCs w:val="0"/>
                <w:color w:val="2E74B5" w:themeColor="accent5" w:themeShade="BF"/>
                <w:sz w:val="22"/>
                <w:szCs w:val="22"/>
                <w:lang w:val="en-US"/>
              </w:rPr>
              <w:t xml:space="preserve">current </w:t>
            </w:r>
            <w:r w:rsidRPr="00491ADF">
              <w:rPr>
                <w:rFonts w:asciiTheme="minorHAnsi" w:hAnsiTheme="minorHAnsi" w:cstheme="minorHAnsi"/>
                <w:color w:val="2E74B5" w:themeColor="accent5" w:themeShade="BF"/>
                <w:sz w:val="22"/>
                <w:szCs w:val="22"/>
                <w:lang w:val="en-US"/>
              </w:rPr>
              <w:t>Act of Industrial Property Law.</w:t>
            </w:r>
          </w:p>
          <w:p w14:paraId="72D7D2FA"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10"/>
                <w:szCs w:val="10"/>
                <w:lang w:val="en-US"/>
              </w:rPr>
            </w:pPr>
          </w:p>
          <w:p w14:paraId="5CC5BBDA"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Both in the currently binding Act and in the proposed Act, in indicating the basis for acquiring the right by an entrepreneur the conjunction </w:t>
            </w:r>
            <w:r w:rsidRPr="00491ADF">
              <w:rPr>
                <w:rFonts w:asciiTheme="minorHAnsi" w:hAnsiTheme="minorHAnsi" w:cstheme="minorHAnsi"/>
                <w:bCs w:val="0"/>
                <w:i/>
                <w:iCs/>
                <w:color w:val="FF0000"/>
                <w:sz w:val="22"/>
                <w:szCs w:val="22"/>
                <w:highlight w:val="yellow"/>
                <w:lang w:val="en-US"/>
              </w:rPr>
              <w:t>"and"</w:t>
            </w:r>
            <w:r w:rsidRPr="00491ADF">
              <w:rPr>
                <w:rFonts w:asciiTheme="minorHAnsi" w:hAnsiTheme="minorHAnsi" w:cstheme="minorHAnsi"/>
                <w:bCs w:val="0"/>
                <w:color w:val="FF0000"/>
                <w:sz w:val="22"/>
                <w:szCs w:val="22"/>
                <w:lang w:val="en-US"/>
              </w:rPr>
              <w:t xml:space="preserve"> </w:t>
            </w:r>
            <w:r w:rsidRPr="00491ADF">
              <w:rPr>
                <w:rFonts w:asciiTheme="minorHAnsi" w:hAnsiTheme="minorHAnsi" w:cstheme="minorHAnsi"/>
                <w:bCs w:val="0"/>
                <w:color w:val="2E74B5" w:themeColor="accent5" w:themeShade="BF"/>
                <w:sz w:val="22"/>
                <w:szCs w:val="22"/>
                <w:lang w:val="en-US"/>
              </w:rPr>
              <w:t>has been used, indicating:</w:t>
            </w:r>
          </w:p>
          <w:p w14:paraId="28C47DED"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Article 11, paragraph 3 and 5 of the </w:t>
            </w:r>
            <w:r w:rsidRPr="00491ADF">
              <w:rPr>
                <w:rFonts w:asciiTheme="minorHAnsi" w:hAnsiTheme="minorHAnsi" w:cstheme="minorHAnsi"/>
                <w:b/>
                <w:color w:val="2E74B5" w:themeColor="accent5" w:themeShade="BF"/>
                <w:sz w:val="22"/>
                <w:szCs w:val="22"/>
                <w:lang w:val="en-US"/>
              </w:rPr>
              <w:t xml:space="preserve">currently </w:t>
            </w:r>
            <w:r w:rsidRPr="00491ADF">
              <w:rPr>
                <w:rFonts w:asciiTheme="minorHAnsi" w:hAnsiTheme="minorHAnsi" w:cstheme="minorHAnsi"/>
                <w:bCs w:val="0"/>
                <w:color w:val="2E74B5" w:themeColor="accent5" w:themeShade="BF"/>
                <w:sz w:val="22"/>
                <w:szCs w:val="22"/>
                <w:lang w:val="en-US"/>
              </w:rPr>
              <w:t xml:space="preserve">binding Act on Industrial Property Law and Article 7, paragraph 1 and 3 of the draft </w:t>
            </w:r>
            <w:r w:rsidRPr="00491ADF">
              <w:rPr>
                <w:rFonts w:asciiTheme="minorHAnsi" w:hAnsiTheme="minorHAnsi" w:cstheme="minorHAnsi"/>
                <w:b/>
                <w:color w:val="2E74B5" w:themeColor="accent5" w:themeShade="BF"/>
                <w:sz w:val="22"/>
                <w:szCs w:val="22"/>
                <w:lang w:val="en-US"/>
              </w:rPr>
              <w:t xml:space="preserve">UD263 </w:t>
            </w:r>
            <w:r w:rsidRPr="00491ADF">
              <w:rPr>
                <w:rFonts w:asciiTheme="minorHAnsi" w:hAnsiTheme="minorHAnsi" w:cstheme="minorHAnsi"/>
                <w:bCs w:val="0"/>
                <w:color w:val="2E74B5" w:themeColor="accent5" w:themeShade="BF"/>
                <w:sz w:val="22"/>
                <w:szCs w:val="22"/>
                <w:lang w:val="en-US"/>
              </w:rPr>
              <w:t>respectively.</w:t>
            </w:r>
          </w:p>
          <w:p w14:paraId="151FBDE0"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10"/>
                <w:szCs w:val="10"/>
                <w:lang w:val="en-US"/>
              </w:rPr>
            </w:pPr>
          </w:p>
          <w:p w14:paraId="7DC3E681" w14:textId="6AEDC614"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However, it is apparent from the wording of the provisions referred to (Article 11(3) </w:t>
            </w:r>
            <w:r w:rsidRPr="00491ADF">
              <w:rPr>
                <w:rFonts w:asciiTheme="minorHAnsi" w:hAnsiTheme="minorHAnsi" w:cstheme="minorHAnsi"/>
                <w:bCs w:val="0"/>
                <w:color w:val="FF0000"/>
                <w:sz w:val="22"/>
                <w:szCs w:val="22"/>
                <w:highlight w:val="yellow"/>
                <w:lang w:val="en-US"/>
              </w:rPr>
              <w:t>“</w:t>
            </w:r>
            <w:r w:rsidRPr="00491ADF">
              <w:rPr>
                <w:rFonts w:asciiTheme="minorHAnsi" w:hAnsiTheme="minorHAnsi" w:cstheme="minorHAnsi"/>
                <w:bCs w:val="0"/>
                <w:i/>
                <w:iCs/>
                <w:color w:val="FF0000"/>
                <w:sz w:val="22"/>
                <w:szCs w:val="22"/>
                <w:highlight w:val="yellow"/>
                <w:lang w:val="en-US"/>
              </w:rPr>
              <w:t>and</w:t>
            </w:r>
            <w:r w:rsidRPr="00491ADF">
              <w:rPr>
                <w:rFonts w:asciiTheme="minorHAnsi" w:hAnsiTheme="minorHAnsi" w:cstheme="minorHAnsi"/>
                <w:bCs w:val="0"/>
                <w:color w:val="FF0000"/>
                <w:sz w:val="22"/>
                <w:szCs w:val="22"/>
                <w:highlight w:val="yellow"/>
                <w:lang w:val="en-US"/>
              </w:rPr>
              <w:t>”</w:t>
            </w:r>
            <w:r w:rsidRPr="00491ADF">
              <w:rPr>
                <w:rFonts w:asciiTheme="minorHAnsi" w:hAnsiTheme="minorHAnsi" w:cstheme="minorHAnsi"/>
                <w:bCs w:val="0"/>
                <w:color w:val="FF0000"/>
                <w:sz w:val="22"/>
                <w:szCs w:val="22"/>
                <w:lang w:val="en-US"/>
              </w:rPr>
              <w:t xml:space="preserve"> </w:t>
            </w:r>
            <w:r w:rsidRPr="00491ADF">
              <w:rPr>
                <w:rFonts w:asciiTheme="minorHAnsi" w:hAnsiTheme="minorHAnsi" w:cstheme="minorHAnsi"/>
                <w:bCs w:val="0"/>
                <w:color w:val="2E74B5" w:themeColor="accent5" w:themeShade="BF"/>
                <w:sz w:val="22"/>
                <w:szCs w:val="22"/>
                <w:lang w:val="en-US"/>
              </w:rPr>
              <w:t xml:space="preserve">Article 11(5)) </w:t>
            </w:r>
            <w:r w:rsidRPr="00491ADF">
              <w:rPr>
                <w:rFonts w:asciiTheme="minorHAnsi" w:hAnsiTheme="minorHAnsi" w:cstheme="minorHAnsi"/>
                <w:b/>
                <w:color w:val="2E74B5" w:themeColor="accent5" w:themeShade="BF"/>
                <w:sz w:val="22"/>
                <w:szCs w:val="22"/>
                <w:lang w:val="en-US"/>
              </w:rPr>
              <w:t>that they establish different grounds for acquiring the right to obtain a patent</w:t>
            </w:r>
            <w:r w:rsidRPr="00491ADF">
              <w:rPr>
                <w:rFonts w:asciiTheme="minorHAnsi" w:hAnsiTheme="minorHAnsi" w:cstheme="minorHAnsi"/>
                <w:bCs w:val="0"/>
                <w:color w:val="2E74B5" w:themeColor="accent5" w:themeShade="BF"/>
                <w:sz w:val="22"/>
                <w:szCs w:val="22"/>
                <w:lang w:val="en-US"/>
              </w:rPr>
              <w:t xml:space="preserve">. Thus, both the first </w:t>
            </w:r>
            <w:r w:rsidRPr="00491ADF">
              <w:rPr>
                <w:rFonts w:asciiTheme="minorHAnsi" w:hAnsiTheme="minorHAnsi" w:cstheme="minorHAnsi"/>
                <w:bCs w:val="0"/>
                <w:color w:val="FF0000"/>
                <w:sz w:val="22"/>
                <w:szCs w:val="22"/>
                <w:highlight w:val="yellow"/>
                <w:lang w:val="en-US"/>
              </w:rPr>
              <w:t>“</w:t>
            </w:r>
            <w:r w:rsidRPr="00491ADF">
              <w:rPr>
                <w:rFonts w:asciiTheme="minorHAnsi" w:hAnsiTheme="minorHAnsi" w:cstheme="minorHAnsi"/>
                <w:bCs w:val="0"/>
                <w:i/>
                <w:iCs/>
                <w:color w:val="FF0000"/>
                <w:sz w:val="22"/>
                <w:szCs w:val="22"/>
                <w:highlight w:val="yellow"/>
                <w:lang w:val="en-US"/>
              </w:rPr>
              <w:t>and</w:t>
            </w:r>
            <w:r w:rsidRPr="00491ADF">
              <w:rPr>
                <w:rFonts w:asciiTheme="minorHAnsi" w:hAnsiTheme="minorHAnsi" w:cstheme="minorHAnsi"/>
                <w:bCs w:val="0"/>
                <w:color w:val="FF0000"/>
                <w:sz w:val="22"/>
                <w:szCs w:val="22"/>
                <w:highlight w:val="yellow"/>
                <w:lang w:val="en-US"/>
              </w:rPr>
              <w:t>”</w:t>
            </w:r>
            <w:r w:rsidRPr="00491ADF">
              <w:rPr>
                <w:rFonts w:asciiTheme="minorHAnsi" w:hAnsiTheme="minorHAnsi" w:cstheme="minorHAnsi"/>
                <w:bCs w:val="0"/>
                <w:color w:val="FF0000"/>
                <w:sz w:val="22"/>
                <w:szCs w:val="22"/>
                <w:lang w:val="en-US"/>
              </w:rPr>
              <w:t xml:space="preserve"> </w:t>
            </w:r>
            <w:r w:rsidRPr="00491ADF">
              <w:rPr>
                <w:rFonts w:asciiTheme="minorHAnsi" w:hAnsiTheme="minorHAnsi" w:cstheme="minorHAnsi"/>
                <w:bCs w:val="0"/>
                <w:color w:val="2E74B5" w:themeColor="accent5" w:themeShade="BF"/>
                <w:sz w:val="22"/>
                <w:szCs w:val="22"/>
                <w:lang w:val="en-US"/>
              </w:rPr>
              <w:t>the second will never cumulatively occur.</w:t>
            </w:r>
          </w:p>
          <w:p w14:paraId="5F6EE28A"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10"/>
                <w:szCs w:val="10"/>
                <w:lang w:val="en-US"/>
              </w:rPr>
            </w:pPr>
          </w:p>
          <w:p w14:paraId="3BF5B5C1"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Thus, the provisions under comment could not have been about conjunction in terms of the grounds of entitlement, but about indicating the cases in which the provision would apply. The current provision and the proposed provision - both understood literally - </w:t>
            </w:r>
            <w:r w:rsidRPr="00491ADF">
              <w:rPr>
                <w:rFonts w:asciiTheme="minorHAnsi" w:hAnsiTheme="minorHAnsi" w:cstheme="minorHAnsi"/>
                <w:b/>
                <w:color w:val="2E74B5" w:themeColor="accent5" w:themeShade="BF"/>
                <w:sz w:val="22"/>
                <w:szCs w:val="22"/>
                <w:lang w:val="en-US"/>
              </w:rPr>
              <w:t>exclude the inventor's right to remuneration</w:t>
            </w:r>
            <w:r w:rsidRPr="00491ADF">
              <w:rPr>
                <w:rFonts w:asciiTheme="minorHAnsi" w:hAnsiTheme="minorHAnsi" w:cstheme="minorHAnsi"/>
                <w:bCs w:val="0"/>
                <w:color w:val="2E74B5" w:themeColor="accent5" w:themeShade="BF"/>
                <w:sz w:val="22"/>
                <w:szCs w:val="22"/>
                <w:lang w:val="en-US"/>
              </w:rPr>
              <w:t>, since in practice it will not happen that it arises from all the indicated grounds simultaneously, and only then would the inventor be entitled to remuneration.</w:t>
            </w:r>
          </w:p>
          <w:p w14:paraId="5C4A7CFC"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For the sake of simplicity and example, let us assume that the prizes in a lottery can be, for example: a car, </w:t>
            </w:r>
            <w:proofErr w:type="spellStart"/>
            <w:r w:rsidRPr="00491ADF">
              <w:rPr>
                <w:rFonts w:asciiTheme="minorHAnsi" w:hAnsiTheme="minorHAnsi" w:cstheme="minorHAnsi"/>
                <w:bCs w:val="0"/>
                <w:color w:val="2E74B5" w:themeColor="accent5" w:themeShade="BF"/>
                <w:sz w:val="22"/>
                <w:szCs w:val="22"/>
                <w:lang w:val="en-US"/>
              </w:rPr>
              <w:t>jewellery</w:t>
            </w:r>
            <w:proofErr w:type="spellEnd"/>
            <w:r w:rsidRPr="00491ADF">
              <w:rPr>
                <w:rFonts w:asciiTheme="minorHAnsi" w:hAnsiTheme="minorHAnsi" w:cstheme="minorHAnsi"/>
                <w:bCs w:val="0"/>
                <w:color w:val="2E74B5" w:themeColor="accent5" w:themeShade="BF"/>
                <w:sz w:val="22"/>
                <w:szCs w:val="22"/>
                <w:lang w:val="en-US"/>
              </w:rPr>
              <w:t xml:space="preserve"> and a theatre ticket. Then, rightly in the case where we list the prizes that the </w:t>
            </w:r>
            <w:proofErr w:type="spellStart"/>
            <w:r w:rsidRPr="00491ADF">
              <w:rPr>
                <w:rFonts w:asciiTheme="minorHAnsi" w:hAnsiTheme="minorHAnsi" w:cstheme="minorHAnsi"/>
                <w:bCs w:val="0"/>
                <w:color w:val="2E74B5" w:themeColor="accent5" w:themeShade="BF"/>
                <w:sz w:val="22"/>
                <w:szCs w:val="22"/>
                <w:lang w:val="en-US"/>
              </w:rPr>
              <w:t>organiser</w:t>
            </w:r>
            <w:proofErr w:type="spellEnd"/>
            <w:r w:rsidRPr="00491ADF">
              <w:rPr>
                <w:rFonts w:asciiTheme="minorHAnsi" w:hAnsiTheme="minorHAnsi" w:cstheme="minorHAnsi"/>
                <w:bCs w:val="0"/>
                <w:color w:val="2E74B5" w:themeColor="accent5" w:themeShade="BF"/>
                <w:sz w:val="22"/>
                <w:szCs w:val="22"/>
                <w:lang w:val="en-US"/>
              </w:rPr>
              <w:t xml:space="preserve"> has prepared, we will use the word </w:t>
            </w:r>
            <w:r w:rsidRPr="00491ADF">
              <w:rPr>
                <w:rFonts w:asciiTheme="minorHAnsi" w:hAnsiTheme="minorHAnsi" w:cstheme="minorHAnsi"/>
                <w:bCs w:val="0"/>
                <w:i/>
                <w:iCs/>
                <w:color w:val="2E74B5" w:themeColor="accent5" w:themeShade="BF"/>
                <w:sz w:val="22"/>
                <w:szCs w:val="22"/>
                <w:lang w:val="en-US"/>
              </w:rPr>
              <w:t>"and"</w:t>
            </w:r>
            <w:r w:rsidRPr="00491ADF">
              <w:rPr>
                <w:rFonts w:asciiTheme="minorHAnsi" w:hAnsiTheme="minorHAnsi" w:cstheme="minorHAnsi"/>
                <w:bCs w:val="0"/>
                <w:color w:val="2E74B5" w:themeColor="accent5" w:themeShade="BF"/>
                <w:sz w:val="22"/>
                <w:szCs w:val="22"/>
                <w:lang w:val="en-US"/>
              </w:rPr>
              <w:t xml:space="preserve"> - a conjunction.</w:t>
            </w:r>
          </w:p>
          <w:p w14:paraId="30A9C184"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On the other hand, when we list prizes from the point of view of a lottery participant who has one ticket (one right to remuneration) - it is necessary to use the disjunctive alternative </w:t>
            </w:r>
            <w:r w:rsidRPr="00491ADF">
              <w:rPr>
                <w:rFonts w:asciiTheme="minorHAnsi" w:hAnsiTheme="minorHAnsi" w:cstheme="minorHAnsi"/>
                <w:bCs w:val="0"/>
                <w:i/>
                <w:iCs/>
                <w:color w:val="2E74B5" w:themeColor="accent5" w:themeShade="BF"/>
                <w:sz w:val="22"/>
                <w:szCs w:val="22"/>
                <w:lang w:val="en-US"/>
              </w:rPr>
              <w:t>"or"</w:t>
            </w:r>
            <w:r w:rsidRPr="00491ADF">
              <w:rPr>
                <w:rFonts w:asciiTheme="minorHAnsi" w:hAnsiTheme="minorHAnsi" w:cstheme="minorHAnsi"/>
                <w:bCs w:val="0"/>
                <w:color w:val="2E74B5" w:themeColor="accent5" w:themeShade="BF"/>
                <w:sz w:val="22"/>
                <w:szCs w:val="22"/>
                <w:lang w:val="en-US"/>
              </w:rPr>
              <w:t>, as he can only win one of the three prizes listed (first or second or third prize).</w:t>
            </w:r>
          </w:p>
          <w:p w14:paraId="7B71A2FE"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The provision is formulated from the position of the inventor's entitlement (</w:t>
            </w:r>
            <w:r w:rsidRPr="00491ADF">
              <w:rPr>
                <w:rFonts w:asciiTheme="minorHAnsi" w:hAnsiTheme="minorHAnsi" w:cstheme="minorHAnsi"/>
                <w:i/>
                <w:iCs/>
                <w:color w:val="2E74B5" w:themeColor="accent5" w:themeShade="BF"/>
                <w:sz w:val="22"/>
                <w:szCs w:val="22"/>
                <w:lang w:val="en-US"/>
              </w:rPr>
              <w:t>vide</w:t>
            </w:r>
            <w:r w:rsidRPr="00491ADF">
              <w:rPr>
                <w:rFonts w:asciiTheme="minorHAnsi" w:hAnsiTheme="minorHAnsi" w:cstheme="minorHAnsi"/>
                <w:color w:val="2E74B5" w:themeColor="accent5" w:themeShade="BF"/>
                <w:sz w:val="22"/>
                <w:szCs w:val="22"/>
                <w:lang w:val="en-US"/>
              </w:rPr>
              <w:t xml:space="preserve"> - lottery participant): </w:t>
            </w:r>
            <w:r w:rsidRPr="00491ADF">
              <w:rPr>
                <w:rFonts w:asciiTheme="minorHAnsi" w:hAnsiTheme="minorHAnsi" w:cstheme="minorHAnsi"/>
                <w:i/>
                <w:iCs/>
                <w:color w:val="2E74B5" w:themeColor="accent5" w:themeShade="BF"/>
                <w:sz w:val="22"/>
                <w:szCs w:val="22"/>
                <w:lang w:val="en-US"/>
              </w:rPr>
              <w:t>"</w:t>
            </w:r>
            <w:r w:rsidRPr="00491ADF">
              <w:rPr>
                <w:rFonts w:asciiTheme="minorHAnsi" w:hAnsiTheme="minorHAnsi" w:cstheme="minorHAnsi"/>
                <w:i/>
                <w:iCs/>
                <w:color w:val="2E74B5" w:themeColor="accent5" w:themeShade="BF"/>
                <w:sz w:val="22"/>
                <w:szCs w:val="22"/>
                <w:shd w:val="clear" w:color="auto" w:fill="E2EFD9" w:themeFill="accent6" w:themeFillTint="33"/>
                <w:lang w:val="en-US"/>
              </w:rPr>
              <w:t>the inventor of an inventive design</w:t>
            </w:r>
            <w:r w:rsidRPr="00491ADF">
              <w:rPr>
                <w:rFonts w:asciiTheme="minorHAnsi" w:hAnsiTheme="minorHAnsi" w:cstheme="minorHAnsi"/>
                <w:i/>
                <w:iCs/>
                <w:color w:val="2E74B5" w:themeColor="accent5" w:themeShade="BF"/>
                <w:sz w:val="22"/>
                <w:szCs w:val="22"/>
                <w:lang w:val="en-US"/>
              </w:rPr>
              <w:t xml:space="preserve"> </w:t>
            </w:r>
            <w:r w:rsidRPr="00491ADF">
              <w:rPr>
                <w:rFonts w:asciiTheme="minorHAnsi" w:hAnsiTheme="minorHAnsi" w:cstheme="minorHAnsi"/>
                <w:i/>
                <w:iCs/>
                <w:color w:val="2E74B5" w:themeColor="accent5" w:themeShade="BF"/>
                <w:sz w:val="22"/>
                <w:szCs w:val="22"/>
                <w:shd w:val="clear" w:color="auto" w:fill="D9E2F3" w:themeFill="accent1" w:themeFillTint="33"/>
                <w:lang w:val="en-US"/>
              </w:rPr>
              <w:t>is entitled to remuneration for the use of that invention</w:t>
            </w:r>
            <w:r w:rsidRPr="00491ADF">
              <w:rPr>
                <w:rFonts w:asciiTheme="minorHAnsi" w:hAnsiTheme="minorHAnsi" w:cstheme="minorHAnsi"/>
                <w:i/>
                <w:iCs/>
                <w:color w:val="2E74B5" w:themeColor="accent5" w:themeShade="BF"/>
                <w:sz w:val="22"/>
                <w:szCs w:val="22"/>
                <w:lang w:val="en-US"/>
              </w:rPr>
              <w:t>"</w:t>
            </w:r>
            <w:r w:rsidRPr="00491ADF">
              <w:rPr>
                <w:rFonts w:asciiTheme="minorHAnsi" w:hAnsiTheme="minorHAnsi" w:cstheme="minorHAnsi"/>
                <w:color w:val="2E74B5" w:themeColor="accent5" w:themeShade="BF"/>
                <w:sz w:val="22"/>
                <w:szCs w:val="22"/>
                <w:lang w:val="en-US"/>
              </w:rPr>
              <w:t xml:space="preserve">, so that remuneration is due to him in one of the three situations listed. Instead, the provision is worded as if the remuneration is due to the inventor only on condition and only if each of the listed situations, the first </w:t>
            </w:r>
            <w:r w:rsidRPr="00491ADF">
              <w:rPr>
                <w:rFonts w:asciiTheme="minorHAnsi" w:hAnsiTheme="minorHAnsi" w:cstheme="minorHAnsi"/>
                <w:color w:val="FF0000"/>
                <w:sz w:val="22"/>
                <w:szCs w:val="22"/>
                <w:highlight w:val="yellow"/>
                <w:lang w:val="en-US"/>
              </w:rPr>
              <w:t>“</w:t>
            </w:r>
            <w:r w:rsidRPr="00491ADF">
              <w:rPr>
                <w:rFonts w:asciiTheme="minorHAnsi" w:hAnsiTheme="minorHAnsi" w:cstheme="minorHAnsi"/>
                <w:i/>
                <w:iCs/>
                <w:color w:val="FF0000"/>
                <w:sz w:val="22"/>
                <w:szCs w:val="22"/>
                <w:highlight w:val="yellow"/>
                <w:lang w:val="en-US"/>
              </w:rPr>
              <w:t>and</w:t>
            </w:r>
            <w:r w:rsidRPr="00491ADF">
              <w:rPr>
                <w:rFonts w:asciiTheme="minorHAnsi" w:hAnsiTheme="minorHAnsi" w:cstheme="minorHAnsi"/>
                <w:color w:val="FF0000"/>
                <w:sz w:val="22"/>
                <w:szCs w:val="22"/>
                <w:highlight w:val="yellow"/>
                <w:lang w:val="en-US"/>
              </w:rPr>
              <w:t>”</w:t>
            </w:r>
            <w:r w:rsidRPr="00491ADF">
              <w:rPr>
                <w:rFonts w:asciiTheme="minorHAnsi" w:hAnsiTheme="minorHAnsi" w:cstheme="minorHAnsi"/>
                <w:color w:val="FF0000"/>
                <w:sz w:val="22"/>
                <w:szCs w:val="22"/>
                <w:lang w:val="en-US"/>
              </w:rPr>
              <w:t xml:space="preserve"> </w:t>
            </w:r>
            <w:r w:rsidRPr="00491ADF">
              <w:rPr>
                <w:rFonts w:asciiTheme="minorHAnsi" w:hAnsiTheme="minorHAnsi" w:cstheme="minorHAnsi"/>
                <w:color w:val="2E74B5" w:themeColor="accent5" w:themeShade="BF"/>
                <w:sz w:val="22"/>
                <w:szCs w:val="22"/>
                <w:lang w:val="en-US"/>
              </w:rPr>
              <w:t xml:space="preserve">the second, occurs. The use of the conjunction </w:t>
            </w:r>
            <w:r w:rsidRPr="00491ADF">
              <w:rPr>
                <w:rFonts w:asciiTheme="minorHAnsi" w:hAnsiTheme="minorHAnsi" w:cstheme="minorHAnsi"/>
                <w:i/>
                <w:iCs/>
                <w:color w:val="2E74B5" w:themeColor="accent5" w:themeShade="BF"/>
                <w:sz w:val="22"/>
                <w:szCs w:val="22"/>
                <w:lang w:val="en-US"/>
              </w:rPr>
              <w:t>"and"</w:t>
            </w:r>
            <w:r w:rsidRPr="00491ADF">
              <w:rPr>
                <w:rFonts w:asciiTheme="minorHAnsi" w:hAnsiTheme="minorHAnsi" w:cstheme="minorHAnsi"/>
                <w:color w:val="2E74B5" w:themeColor="accent5" w:themeShade="BF"/>
                <w:sz w:val="22"/>
                <w:szCs w:val="22"/>
                <w:lang w:val="en-US"/>
              </w:rPr>
              <w:t xml:space="preserve"> is therefore </w:t>
            </w:r>
            <w:proofErr w:type="spellStart"/>
            <w:r w:rsidRPr="00491ADF">
              <w:rPr>
                <w:rFonts w:asciiTheme="minorHAnsi" w:hAnsiTheme="minorHAnsi" w:cstheme="minorHAnsi"/>
                <w:color w:val="2E74B5" w:themeColor="accent5" w:themeShade="BF"/>
                <w:sz w:val="22"/>
                <w:szCs w:val="22"/>
                <w:lang w:val="en-US"/>
              </w:rPr>
              <w:t>unauthorised</w:t>
            </w:r>
            <w:proofErr w:type="spellEnd"/>
            <w:r w:rsidRPr="00491ADF">
              <w:rPr>
                <w:rFonts w:asciiTheme="minorHAnsi" w:hAnsiTheme="minorHAnsi" w:cstheme="minorHAnsi"/>
                <w:color w:val="2E74B5" w:themeColor="accent5" w:themeShade="BF"/>
                <w:sz w:val="22"/>
                <w:szCs w:val="22"/>
                <w:lang w:val="en-US"/>
              </w:rPr>
              <w:t>.</w:t>
            </w:r>
          </w:p>
          <w:p w14:paraId="7D7BED4D" w14:textId="6E556BF4" w:rsidR="009719DA" w:rsidRPr="00491ADF" w:rsidRDefault="009719DA"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5186D366" w14:textId="77777777" w:rsidR="00116E29" w:rsidRPr="00491ADF" w:rsidRDefault="00116E29" w:rsidP="00967A11">
            <w:pPr>
              <w:pStyle w:val="USTustnpkodeksu"/>
              <w:spacing w:line="240" w:lineRule="auto"/>
              <w:ind w:firstLine="0"/>
              <w:rPr>
                <w:rFonts w:asciiTheme="minorHAnsi" w:hAnsiTheme="minorHAnsi" w:cstheme="minorHAnsi"/>
                <w:b/>
                <w:color w:val="2E74B5" w:themeColor="accent5" w:themeShade="BF"/>
                <w:sz w:val="10"/>
                <w:szCs w:val="10"/>
                <w:lang w:val="en-US"/>
              </w:rPr>
            </w:pPr>
          </w:p>
        </w:tc>
      </w:tr>
    </w:tbl>
    <w:p w14:paraId="1A303236" w14:textId="77777777" w:rsidR="00116E29" w:rsidRPr="005F0586" w:rsidRDefault="00116E29" w:rsidP="00116E29">
      <w:pPr>
        <w:spacing w:after="0" w:line="240" w:lineRule="auto"/>
        <w:jc w:val="center"/>
        <w:rPr>
          <w:rFonts w:cstheme="minorHAnsi"/>
          <w:lang w:val="en-US"/>
        </w:rPr>
      </w:pPr>
    </w:p>
    <w:p w14:paraId="46030B6C" w14:textId="77777777" w:rsidR="00116E29" w:rsidRPr="005F0586" w:rsidRDefault="00116E29" w:rsidP="00116E29">
      <w:pPr>
        <w:spacing w:after="0" w:line="240" w:lineRule="auto"/>
        <w:jc w:val="center"/>
        <w:rPr>
          <w:rFonts w:cstheme="minorHAnsi"/>
        </w:rPr>
      </w:pPr>
      <w:r w:rsidRPr="005F0586">
        <w:rPr>
          <w:rFonts w:cstheme="minorHAnsi"/>
        </w:rPr>
        <w:t>+++</w:t>
      </w:r>
    </w:p>
    <w:p w14:paraId="7DDA04D9" w14:textId="77777777" w:rsidR="00116E29" w:rsidRPr="005F0586" w:rsidRDefault="00116E29" w:rsidP="00116E29">
      <w:pPr>
        <w:autoSpaceDE w:val="0"/>
        <w:autoSpaceDN w:val="0"/>
        <w:adjustRightInd w:val="0"/>
        <w:spacing w:after="0" w:line="240" w:lineRule="auto"/>
        <w:jc w:val="both"/>
        <w:rPr>
          <w:rFonts w:cstheme="minorHAnsi"/>
          <w:color w:val="0070C0"/>
          <w:sz w:val="24"/>
          <w:szCs w:val="24"/>
          <w:lang w:val="en-US"/>
        </w:rPr>
      </w:pPr>
    </w:p>
    <w:tbl>
      <w:tblPr>
        <w:tblStyle w:val="Tabela-Siatka"/>
        <w:tblW w:w="0" w:type="auto"/>
        <w:tblLook w:val="04A0" w:firstRow="1" w:lastRow="0" w:firstColumn="1" w:lastColumn="0" w:noHBand="0" w:noVBand="1"/>
      </w:tblPr>
      <w:tblGrid>
        <w:gridCol w:w="4611"/>
        <w:gridCol w:w="4445"/>
      </w:tblGrid>
      <w:tr w:rsidR="00116E29" w:rsidRPr="004D64A0" w14:paraId="1F98A320" w14:textId="77777777" w:rsidTr="00967A11">
        <w:tc>
          <w:tcPr>
            <w:tcW w:w="4611" w:type="dxa"/>
            <w:shd w:val="clear" w:color="auto" w:fill="F2F2F2" w:themeFill="background1" w:themeFillShade="F2"/>
          </w:tcPr>
          <w:p w14:paraId="2FF8F823" w14:textId="4D43DB1C"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t>TODAY in the current Act o</w:t>
            </w:r>
            <w:r w:rsidR="00B0193F"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445" w:type="dxa"/>
            <w:shd w:val="clear" w:color="auto" w:fill="F2F2F2" w:themeFill="background1" w:themeFillShade="F2"/>
          </w:tcPr>
          <w:p w14:paraId="7D542191" w14:textId="2191E187"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B0193F"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5F0586" w14:paraId="5C3B5D4A" w14:textId="77777777" w:rsidTr="00967A11">
        <w:tc>
          <w:tcPr>
            <w:tcW w:w="4611" w:type="dxa"/>
          </w:tcPr>
          <w:p w14:paraId="3DB6C862" w14:textId="77777777" w:rsidR="00116E29" w:rsidRPr="005F0586" w:rsidRDefault="00116E29" w:rsidP="00967A11">
            <w:pPr>
              <w:shd w:val="clear" w:color="auto" w:fill="FFFFFF"/>
              <w:rPr>
                <w:rFonts w:asciiTheme="minorHAnsi" w:hAnsiTheme="minorHAnsi" w:cstheme="minorHAnsi"/>
                <w:b/>
                <w:bCs/>
                <w:color w:val="333333"/>
                <w:sz w:val="22"/>
                <w:szCs w:val="22"/>
              </w:rPr>
            </w:pPr>
            <w:r w:rsidRPr="004D64A0">
              <w:rPr>
                <w:rFonts w:asciiTheme="minorHAnsi" w:hAnsiTheme="minorHAnsi" w:cstheme="minorHAnsi"/>
                <w:b/>
                <w:bCs/>
                <w:color w:val="333333"/>
                <w:sz w:val="22"/>
                <w:szCs w:val="22"/>
              </w:rPr>
              <w:br/>
            </w:r>
            <w:r w:rsidRPr="005F0586">
              <w:rPr>
                <w:rFonts w:asciiTheme="minorHAnsi" w:hAnsiTheme="minorHAnsi" w:cstheme="minorHAnsi"/>
                <w:b/>
                <w:bCs/>
                <w:color w:val="333333"/>
                <w:sz w:val="22"/>
                <w:szCs w:val="22"/>
              </w:rPr>
              <w:t>Art. 12 [Zbywalność praw]</w:t>
            </w:r>
          </w:p>
          <w:p w14:paraId="28323590"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 xml:space="preserve">1. </w:t>
            </w:r>
            <w:r w:rsidRPr="005F0586">
              <w:rPr>
                <w:rFonts w:asciiTheme="minorHAnsi" w:hAnsiTheme="minorHAnsi" w:cstheme="minorHAnsi"/>
                <w:color w:val="333333"/>
                <w:sz w:val="22"/>
                <w:szCs w:val="22"/>
                <w:shd w:val="clear" w:color="auto" w:fill="D9E2F3" w:themeFill="accent1" w:themeFillTint="33"/>
              </w:rPr>
              <w:t>Prawo do uzyskania patentu</w:t>
            </w:r>
            <w:r w:rsidRPr="005F0586">
              <w:rPr>
                <w:rFonts w:asciiTheme="minorHAnsi" w:hAnsiTheme="minorHAnsi" w:cstheme="minorHAnsi"/>
                <w:color w:val="333333"/>
                <w:sz w:val="22"/>
                <w:szCs w:val="22"/>
              </w:rPr>
              <w:t xml:space="preserve"> na wynalazek, prawa ochronnego na wzór użytkowy albo prawa z rejestracji wzoru przemysłowego jest </w:t>
            </w:r>
            <w:r w:rsidRPr="005F0586">
              <w:rPr>
                <w:rFonts w:asciiTheme="minorHAnsi" w:hAnsiTheme="minorHAnsi" w:cstheme="minorHAnsi"/>
                <w:color w:val="333333"/>
                <w:sz w:val="22"/>
                <w:szCs w:val="22"/>
                <w:shd w:val="clear" w:color="auto" w:fill="D9E2F3" w:themeFill="accent1" w:themeFillTint="33"/>
              </w:rPr>
              <w:t>zbywalne i podlega dziedziczeniu.</w:t>
            </w:r>
          </w:p>
          <w:p w14:paraId="293DA69D"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lastRenderedPageBreak/>
              <w:t>2. Umowa o przeniesienie prawa, o którym mowa w ust. 1, wymaga, pod rygorem nieważności, zachowania formy pisemnej.</w:t>
            </w:r>
          </w:p>
          <w:p w14:paraId="3D2D8B95" w14:textId="77777777" w:rsidR="00116E29" w:rsidRPr="005F0586" w:rsidRDefault="00116E29" w:rsidP="00967A11">
            <w:pPr>
              <w:shd w:val="clear" w:color="auto" w:fill="FFFFFF"/>
              <w:rPr>
                <w:rFonts w:asciiTheme="minorHAnsi" w:hAnsiTheme="minorHAnsi" w:cstheme="minorHAnsi"/>
                <w:color w:val="333333"/>
                <w:sz w:val="22"/>
                <w:szCs w:val="22"/>
              </w:rPr>
            </w:pPr>
          </w:p>
          <w:p w14:paraId="1750B5F6"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Style w:val="articletitle"/>
                <w:rFonts w:asciiTheme="minorHAnsi" w:hAnsiTheme="minorHAnsi" w:cstheme="minorHAnsi"/>
                <w:b/>
                <w:bCs/>
                <w:color w:val="333333"/>
                <w:sz w:val="22"/>
                <w:szCs w:val="22"/>
                <w:shd w:val="clear" w:color="auto" w:fill="FFFFFF"/>
              </w:rPr>
              <w:t>Art. 20 [Zbycie i przekazanie prawa] </w:t>
            </w:r>
            <w:r w:rsidRPr="005F0586">
              <w:rPr>
                <w:rFonts w:asciiTheme="minorHAnsi" w:hAnsiTheme="minorHAnsi" w:cstheme="minorHAnsi"/>
                <w:color w:val="333333"/>
                <w:sz w:val="22"/>
                <w:szCs w:val="22"/>
                <w:shd w:val="clear" w:color="auto" w:fill="FFFFFF"/>
              </w:rPr>
              <w:t xml:space="preserve">Twórca wynalazku, wzoru użytkowego albo wzoru przemysłowego uprawniony do uzyskania patentu, prawa ochronnego lub prawa z rejestracji </w:t>
            </w:r>
            <w:r w:rsidRPr="005F0586">
              <w:rPr>
                <w:rFonts w:asciiTheme="minorHAnsi" w:hAnsiTheme="minorHAnsi" w:cstheme="minorHAnsi"/>
                <w:color w:val="333333"/>
                <w:sz w:val="22"/>
                <w:szCs w:val="22"/>
                <w:shd w:val="clear" w:color="auto" w:fill="D9E2F3" w:themeFill="accent1" w:themeFillTint="33"/>
              </w:rPr>
              <w:t>może przenieść to prawo</w:t>
            </w:r>
            <w:r w:rsidRPr="005F0586">
              <w:rPr>
                <w:rFonts w:asciiTheme="minorHAnsi" w:hAnsiTheme="minorHAnsi" w:cstheme="minorHAnsi"/>
                <w:color w:val="333333"/>
                <w:sz w:val="22"/>
                <w:szCs w:val="22"/>
                <w:shd w:val="clear" w:color="auto" w:fill="FFFFFF"/>
              </w:rPr>
              <w:t xml:space="preserve"> nieodpłatnie lub za uzgodnioną zapłatą na rzecz przedsiębiorcy albo przekazać mu wynalazek, wzór użytkowy albo wzór przemysłowy do korzystania.</w:t>
            </w:r>
          </w:p>
          <w:p w14:paraId="0E616840"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tc>
        <w:tc>
          <w:tcPr>
            <w:tcW w:w="4445" w:type="dxa"/>
          </w:tcPr>
          <w:p w14:paraId="49E91679" w14:textId="77777777" w:rsidR="00116E29" w:rsidRPr="005F0586" w:rsidRDefault="00116E29" w:rsidP="00967A11">
            <w:pPr>
              <w:pStyle w:val="Default"/>
              <w:rPr>
                <w:rFonts w:asciiTheme="minorHAnsi" w:hAnsiTheme="minorHAnsi" w:cstheme="minorHAnsi"/>
                <w:b/>
                <w:bCs/>
                <w:sz w:val="22"/>
                <w:szCs w:val="22"/>
              </w:rPr>
            </w:pPr>
          </w:p>
          <w:p w14:paraId="0E0FF4C7" w14:textId="77777777" w:rsidR="00116E29" w:rsidRPr="005F0586" w:rsidRDefault="00116E29" w:rsidP="00967A11">
            <w:pPr>
              <w:pStyle w:val="Default"/>
              <w:rPr>
                <w:rFonts w:asciiTheme="minorHAnsi" w:hAnsiTheme="minorHAnsi" w:cstheme="minorHAnsi"/>
                <w:b/>
                <w:bCs/>
                <w:sz w:val="22"/>
                <w:szCs w:val="22"/>
              </w:rPr>
            </w:pPr>
            <w:r w:rsidRPr="005F0586">
              <w:rPr>
                <w:rFonts w:asciiTheme="minorHAnsi" w:hAnsiTheme="minorHAnsi" w:cstheme="minorHAnsi"/>
                <w:b/>
                <w:bCs/>
                <w:sz w:val="22"/>
                <w:szCs w:val="22"/>
              </w:rPr>
              <w:t xml:space="preserve">Art. 8. </w:t>
            </w:r>
          </w:p>
          <w:p w14:paraId="152E4173"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rPr>
              <w:t xml:space="preserve">1. </w:t>
            </w:r>
            <w:r w:rsidRPr="005F0586">
              <w:rPr>
                <w:rFonts w:asciiTheme="minorHAnsi" w:hAnsiTheme="minorHAnsi" w:cstheme="minorHAnsi"/>
                <w:sz w:val="22"/>
                <w:szCs w:val="22"/>
                <w:shd w:val="clear" w:color="auto" w:fill="D9E2F3" w:themeFill="accent1" w:themeFillTint="33"/>
              </w:rPr>
              <w:t>Prawa do uzyskania patentu</w:t>
            </w:r>
            <w:r w:rsidRPr="005F0586">
              <w:rPr>
                <w:rFonts w:asciiTheme="minorHAnsi" w:hAnsiTheme="minorHAnsi" w:cstheme="minorHAnsi"/>
                <w:sz w:val="22"/>
                <w:szCs w:val="22"/>
              </w:rPr>
              <w:t xml:space="preserve">, dodatkowego prawa ochronnego, prawa ochronnego oraz prawa z rejestracji są </w:t>
            </w:r>
          </w:p>
          <w:p w14:paraId="2A91935F"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shd w:val="clear" w:color="auto" w:fill="D9E2F3" w:themeFill="accent1" w:themeFillTint="33"/>
              </w:rPr>
              <w:t>zbywalne i podlegają dziedziczeniu</w:t>
            </w:r>
            <w:r w:rsidRPr="005F0586">
              <w:rPr>
                <w:rFonts w:asciiTheme="minorHAnsi" w:hAnsiTheme="minorHAnsi" w:cstheme="minorHAnsi"/>
                <w:sz w:val="22"/>
                <w:szCs w:val="22"/>
              </w:rPr>
              <w:t xml:space="preserve">. </w:t>
            </w:r>
          </w:p>
          <w:p w14:paraId="2DCF7F00"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rPr>
              <w:lastRenderedPageBreak/>
              <w:t xml:space="preserve">2. Umowa o przeniesienie prawa, o którym mowa w ust. 1, wymaga, pod rygorem nieważności, zachowania formy pisemnej. </w:t>
            </w:r>
          </w:p>
          <w:p w14:paraId="0C47F487" w14:textId="77777777" w:rsidR="00116E29" w:rsidRPr="005F0586" w:rsidRDefault="00116E29" w:rsidP="00967A11">
            <w:pPr>
              <w:pStyle w:val="Default"/>
              <w:rPr>
                <w:rFonts w:asciiTheme="minorHAnsi" w:hAnsiTheme="minorHAnsi" w:cstheme="minorHAnsi"/>
                <w:b/>
                <w:bCs/>
                <w:sz w:val="22"/>
                <w:szCs w:val="22"/>
              </w:rPr>
            </w:pPr>
          </w:p>
          <w:p w14:paraId="3F7C8422"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b/>
                <w:bCs/>
                <w:sz w:val="22"/>
                <w:szCs w:val="22"/>
              </w:rPr>
              <w:t xml:space="preserve">Art. 9. </w:t>
            </w:r>
            <w:r w:rsidRPr="005F0586">
              <w:rPr>
                <w:rFonts w:asciiTheme="minorHAnsi" w:hAnsiTheme="minorHAnsi" w:cstheme="minorHAnsi"/>
                <w:sz w:val="22"/>
                <w:szCs w:val="22"/>
              </w:rPr>
              <w:t xml:space="preserve">1. Twórca projektu wynalazczego uprawniony do uzyskania patentu lub prawa z rejestracji </w:t>
            </w:r>
            <w:r w:rsidRPr="005F0586">
              <w:rPr>
                <w:rFonts w:asciiTheme="minorHAnsi" w:hAnsiTheme="minorHAnsi" w:cstheme="minorHAnsi"/>
                <w:sz w:val="22"/>
                <w:szCs w:val="22"/>
                <w:shd w:val="clear" w:color="auto" w:fill="D9E2F3" w:themeFill="accent1" w:themeFillTint="33"/>
              </w:rPr>
              <w:t>może</w:t>
            </w:r>
            <w:r w:rsidRPr="005F0586">
              <w:rPr>
                <w:rFonts w:asciiTheme="minorHAnsi" w:hAnsiTheme="minorHAnsi" w:cstheme="minorHAnsi"/>
                <w:sz w:val="22"/>
                <w:szCs w:val="22"/>
              </w:rPr>
              <w:t xml:space="preserve"> nieodpłatnie albo za uzgodnioną zapłatą </w:t>
            </w:r>
            <w:r w:rsidRPr="005F0586">
              <w:rPr>
                <w:rFonts w:asciiTheme="minorHAnsi" w:hAnsiTheme="minorHAnsi" w:cstheme="minorHAnsi"/>
                <w:sz w:val="22"/>
                <w:szCs w:val="22"/>
                <w:shd w:val="clear" w:color="auto" w:fill="D9E2F3" w:themeFill="accent1" w:themeFillTint="33"/>
              </w:rPr>
              <w:t>przenieść to prawo</w:t>
            </w:r>
            <w:r w:rsidRPr="005F0586">
              <w:rPr>
                <w:rFonts w:asciiTheme="minorHAnsi" w:hAnsiTheme="minorHAnsi" w:cstheme="minorHAnsi"/>
                <w:sz w:val="22"/>
                <w:szCs w:val="22"/>
              </w:rPr>
              <w:t xml:space="preserve"> na rzecz przedsiębiorcy albo przekazać mu wynalazek, wzór użytkowy, wzór przemysłowy albo topografię do korzystania. </w:t>
            </w:r>
          </w:p>
          <w:p w14:paraId="26E5E2D2" w14:textId="77777777" w:rsidR="00116E29" w:rsidRPr="005F0586" w:rsidRDefault="00116E29" w:rsidP="00967A11">
            <w:pPr>
              <w:rPr>
                <w:rFonts w:asciiTheme="minorHAnsi" w:hAnsiTheme="minorHAnsi" w:cstheme="minorHAnsi"/>
                <w:sz w:val="22"/>
                <w:szCs w:val="22"/>
              </w:rPr>
            </w:pPr>
            <w:r w:rsidRPr="005F0586">
              <w:rPr>
                <w:rFonts w:asciiTheme="minorHAnsi" w:hAnsiTheme="minorHAnsi" w:cstheme="minorHAnsi"/>
                <w:sz w:val="22"/>
                <w:szCs w:val="22"/>
              </w:rPr>
              <w:t>2. W przypadku, o którym mowa w ust. 1, z dniem przedstawienia projektu wynalazczego na piśmie następuje przejście na przedsiębiorcę prawa do uzyskania patentu lub prawa z rejestracji, pod warunkiem przyjęcia projektu wynalazczego przez przedsiębiorcę do korzystania i zawiadomienia o tym twórcy w terminie miesiąca, chyba że strony ustalą inny termin.</w:t>
            </w:r>
          </w:p>
        </w:tc>
      </w:tr>
      <w:tr w:rsidR="00116E29" w:rsidRPr="005F0586" w14:paraId="2679E96F" w14:textId="77777777" w:rsidTr="00967A11">
        <w:tc>
          <w:tcPr>
            <w:tcW w:w="9056" w:type="dxa"/>
            <w:gridSpan w:val="2"/>
            <w:shd w:val="clear" w:color="auto" w:fill="E7E6E6" w:themeFill="background2"/>
          </w:tcPr>
          <w:p w14:paraId="6C76D944" w14:textId="77777777" w:rsidR="00116E29" w:rsidRPr="00491ADF" w:rsidRDefault="00116E29" w:rsidP="00967A11">
            <w:pPr>
              <w:pStyle w:val="USTustnpkodeksu"/>
              <w:spacing w:line="240" w:lineRule="auto"/>
              <w:ind w:firstLine="0"/>
              <w:rPr>
                <w:rFonts w:asciiTheme="minorHAnsi" w:hAnsiTheme="minorHAnsi" w:cstheme="minorHAnsi"/>
                <w:b/>
                <w:color w:val="2E74B5" w:themeColor="accent5" w:themeShade="BF"/>
                <w:sz w:val="22"/>
                <w:szCs w:val="22"/>
              </w:rPr>
            </w:pPr>
            <w:r w:rsidRPr="00491ADF">
              <w:rPr>
                <w:rFonts w:asciiTheme="minorHAnsi" w:hAnsiTheme="minorHAnsi" w:cstheme="minorHAnsi"/>
                <w:b/>
                <w:color w:val="2E74B5" w:themeColor="accent5" w:themeShade="BF"/>
                <w:sz w:val="22"/>
                <w:szCs w:val="22"/>
              </w:rPr>
              <w:lastRenderedPageBreak/>
              <w:t>REMARKS:</w:t>
            </w:r>
          </w:p>
        </w:tc>
      </w:tr>
      <w:tr w:rsidR="00116E29" w:rsidRPr="004D64A0" w14:paraId="61952972" w14:textId="77777777" w:rsidTr="00967A11">
        <w:tc>
          <w:tcPr>
            <w:tcW w:w="9056" w:type="dxa"/>
            <w:gridSpan w:val="2"/>
            <w:shd w:val="clear" w:color="auto" w:fill="FFFFFF" w:themeFill="background1"/>
          </w:tcPr>
          <w:p w14:paraId="2DFD182C" w14:textId="77777777"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Amendments to the drafting units have been proposed and, at the same time, the redundant, so to speak</w:t>
            </w:r>
            <w:r w:rsidRPr="00491ADF">
              <w:rPr>
                <w:rFonts w:asciiTheme="minorHAnsi" w:hAnsiTheme="minorHAnsi" w:cstheme="minorHAnsi"/>
                <w:i/>
                <w:iCs/>
                <w:color w:val="2E74B5" w:themeColor="accent5" w:themeShade="BF"/>
                <w:sz w:val="22"/>
                <w:szCs w:val="22"/>
                <w:lang w:val="en-US"/>
              </w:rPr>
              <w:t xml:space="preserve"> „double”</w:t>
            </w:r>
            <w:r w:rsidRPr="00491ADF">
              <w:rPr>
                <w:rFonts w:asciiTheme="minorHAnsi" w:hAnsiTheme="minorHAnsi" w:cstheme="minorHAnsi"/>
                <w:color w:val="2E74B5" w:themeColor="accent5" w:themeShade="BF"/>
                <w:sz w:val="22"/>
                <w:szCs w:val="22"/>
                <w:lang w:val="en-US"/>
              </w:rPr>
              <w:t xml:space="preserve"> regulation of the possibility and rules for the transfer by the inventor of the right to obtain a patent has been repeated in draft </w:t>
            </w:r>
            <w:r w:rsidRPr="00491ADF">
              <w:rPr>
                <w:rFonts w:asciiTheme="minorHAnsi" w:hAnsiTheme="minorHAnsi" w:cstheme="minorHAnsi"/>
                <w:b/>
                <w:bCs w:val="0"/>
                <w:color w:val="2E74B5" w:themeColor="accent5" w:themeShade="BF"/>
                <w:sz w:val="22"/>
                <w:szCs w:val="22"/>
                <w:lang w:val="en-US"/>
              </w:rPr>
              <w:t>UD263</w:t>
            </w:r>
            <w:r w:rsidRPr="00491ADF">
              <w:rPr>
                <w:rFonts w:asciiTheme="minorHAnsi" w:hAnsiTheme="minorHAnsi" w:cstheme="minorHAnsi"/>
                <w:color w:val="2E74B5" w:themeColor="accent5" w:themeShade="BF"/>
                <w:sz w:val="22"/>
                <w:szCs w:val="22"/>
                <w:lang w:val="en-US"/>
              </w:rPr>
              <w:t>.</w:t>
            </w:r>
          </w:p>
        </w:tc>
      </w:tr>
    </w:tbl>
    <w:p w14:paraId="3263F5F9" w14:textId="77777777" w:rsidR="00116E29" w:rsidRPr="005F0586" w:rsidRDefault="00116E29" w:rsidP="00116E29">
      <w:pPr>
        <w:spacing w:after="0" w:line="240" w:lineRule="auto"/>
        <w:jc w:val="center"/>
        <w:rPr>
          <w:rFonts w:cstheme="minorHAnsi"/>
          <w:lang w:val="en-US"/>
        </w:rPr>
      </w:pPr>
    </w:p>
    <w:p w14:paraId="3FE01917" w14:textId="77777777" w:rsidR="00116E29" w:rsidRPr="005F0586" w:rsidRDefault="00116E29" w:rsidP="00116E29">
      <w:pPr>
        <w:spacing w:after="0" w:line="240" w:lineRule="auto"/>
        <w:jc w:val="center"/>
        <w:rPr>
          <w:rFonts w:cstheme="minorHAnsi"/>
        </w:rPr>
      </w:pPr>
      <w:r w:rsidRPr="005F0586">
        <w:rPr>
          <w:rFonts w:cstheme="minorHAnsi"/>
        </w:rPr>
        <w:t>+++</w:t>
      </w:r>
    </w:p>
    <w:p w14:paraId="132F53B6" w14:textId="77777777" w:rsidR="00116E29" w:rsidRPr="005F0586" w:rsidRDefault="00116E29" w:rsidP="00116E29">
      <w:pPr>
        <w:rPr>
          <w:lang w:val="en-US"/>
        </w:rPr>
      </w:pPr>
    </w:p>
    <w:tbl>
      <w:tblPr>
        <w:tblStyle w:val="Tabela-Siatka"/>
        <w:tblW w:w="0" w:type="auto"/>
        <w:tblLook w:val="04A0" w:firstRow="1" w:lastRow="0" w:firstColumn="1" w:lastColumn="0" w:noHBand="0" w:noVBand="1"/>
      </w:tblPr>
      <w:tblGrid>
        <w:gridCol w:w="4611"/>
        <w:gridCol w:w="4445"/>
      </w:tblGrid>
      <w:tr w:rsidR="00116E29" w:rsidRPr="004D64A0" w14:paraId="5C96CD14" w14:textId="77777777" w:rsidTr="00967A11">
        <w:tc>
          <w:tcPr>
            <w:tcW w:w="4611" w:type="dxa"/>
            <w:shd w:val="clear" w:color="auto" w:fill="F2F2F2" w:themeFill="background1" w:themeFillShade="F2"/>
          </w:tcPr>
          <w:p w14:paraId="19AB241E" w14:textId="601FAF14"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t>TODAY in the current Act o</w:t>
            </w:r>
            <w:r w:rsidR="00B0193F"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445" w:type="dxa"/>
            <w:shd w:val="clear" w:color="auto" w:fill="F2F2F2" w:themeFill="background1" w:themeFillShade="F2"/>
          </w:tcPr>
          <w:p w14:paraId="559552D0" w14:textId="3ACDFA71"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B0193F"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5F0586" w14:paraId="2FE98143" w14:textId="77777777" w:rsidTr="00967A11">
        <w:tc>
          <w:tcPr>
            <w:tcW w:w="4611" w:type="dxa"/>
          </w:tcPr>
          <w:p w14:paraId="2046581A" w14:textId="77777777" w:rsidR="00116E29" w:rsidRPr="005F0586" w:rsidRDefault="00116E29" w:rsidP="00967A11">
            <w:pPr>
              <w:jc w:val="both"/>
              <w:rPr>
                <w:rFonts w:asciiTheme="minorHAnsi" w:hAnsiTheme="minorHAnsi" w:cstheme="minorHAnsi"/>
                <w:sz w:val="22"/>
                <w:szCs w:val="22"/>
              </w:rPr>
            </w:pPr>
            <w:r w:rsidRPr="004D64A0">
              <w:rPr>
                <w:rFonts w:asciiTheme="minorHAnsi" w:hAnsiTheme="minorHAnsi" w:cstheme="minorHAnsi"/>
                <w:b/>
                <w:bCs/>
                <w:color w:val="333333"/>
                <w:sz w:val="22"/>
                <w:szCs w:val="22"/>
                <w:shd w:val="clear" w:color="auto" w:fill="FFFFFF"/>
              </w:rPr>
              <w:br/>
            </w:r>
            <w:r w:rsidRPr="005F0586">
              <w:rPr>
                <w:rStyle w:val="articletitle"/>
                <w:rFonts w:asciiTheme="minorHAnsi" w:hAnsiTheme="minorHAnsi" w:cstheme="minorHAnsi"/>
                <w:b/>
                <w:bCs/>
                <w:color w:val="333333"/>
                <w:sz w:val="22"/>
                <w:szCs w:val="22"/>
                <w:shd w:val="clear" w:color="auto" w:fill="FFFFFF"/>
              </w:rPr>
              <w:t xml:space="preserve">Art. 23 [Podwyższenie wynagrodzenia] </w:t>
            </w:r>
            <w:r w:rsidRPr="005F0586">
              <w:rPr>
                <w:rFonts w:asciiTheme="minorHAnsi" w:hAnsiTheme="minorHAnsi" w:cstheme="minorHAnsi"/>
                <w:color w:val="333333"/>
                <w:sz w:val="22"/>
                <w:szCs w:val="22"/>
                <w:shd w:val="clear" w:color="auto" w:fill="FFFFFF"/>
              </w:rPr>
              <w:t>Wynagrodzenie twórcy wynalazku, wzoru użytkowego albo wzoru przemysłowego, określone i wypłacone na podstawie przepisów </w:t>
            </w:r>
            <w:hyperlink r:id="rId156" w:history="1">
              <w:r w:rsidRPr="005F0586">
                <w:rPr>
                  <w:rStyle w:val="Hipercze"/>
                  <w:rFonts w:asciiTheme="minorHAnsi" w:hAnsiTheme="minorHAnsi" w:cstheme="minorHAnsi"/>
                  <w:color w:val="CC0000"/>
                  <w:sz w:val="22"/>
                  <w:szCs w:val="22"/>
                  <w:u w:val="none"/>
                  <w:shd w:val="clear" w:color="auto" w:fill="FFFFFF"/>
                </w:rPr>
                <w:t>art. 22 ust. 2 i 3</w:t>
              </w:r>
            </w:hyperlink>
            <w:r w:rsidRPr="005F0586">
              <w:rPr>
                <w:rFonts w:asciiTheme="minorHAnsi" w:hAnsiTheme="minorHAnsi" w:cstheme="minorHAnsi"/>
                <w:color w:val="333333"/>
                <w:sz w:val="22"/>
                <w:szCs w:val="22"/>
                <w:shd w:val="clear" w:color="auto" w:fill="FFFFFF"/>
              </w:rPr>
              <w:t xml:space="preserve">, powinno być podwyższone, jeżeli korzyści osiągnięte przez przedsiębiorcę </w:t>
            </w:r>
            <w:r w:rsidRPr="005F0586">
              <w:rPr>
                <w:rFonts w:asciiTheme="minorHAnsi" w:hAnsiTheme="minorHAnsi" w:cstheme="minorHAnsi"/>
                <w:color w:val="333333"/>
                <w:sz w:val="22"/>
                <w:szCs w:val="22"/>
                <w:shd w:val="clear" w:color="auto" w:fill="E2EFD9" w:themeFill="accent6" w:themeFillTint="33"/>
              </w:rPr>
              <w:t>okażą się znacząco wyższe od korzyści przyjętych za podstawę do ustalenia wypłaconego wynagrodzenia</w:t>
            </w:r>
            <w:r w:rsidRPr="005F0586">
              <w:rPr>
                <w:rFonts w:asciiTheme="minorHAnsi" w:hAnsiTheme="minorHAnsi" w:cstheme="minorHAnsi"/>
                <w:color w:val="333333"/>
                <w:sz w:val="22"/>
                <w:szCs w:val="22"/>
                <w:shd w:val="clear" w:color="auto" w:fill="FFFFFF"/>
              </w:rPr>
              <w:t>.</w:t>
            </w:r>
          </w:p>
          <w:p w14:paraId="45AE9D22" w14:textId="77777777" w:rsidR="00116E29" w:rsidRPr="005F0586" w:rsidRDefault="00116E29" w:rsidP="00967A11">
            <w:pPr>
              <w:pStyle w:val="USTustnpkodeksu"/>
              <w:spacing w:line="240" w:lineRule="auto"/>
              <w:ind w:firstLine="0"/>
              <w:jc w:val="left"/>
              <w:rPr>
                <w:rFonts w:asciiTheme="minorHAnsi" w:hAnsiTheme="minorHAnsi" w:cstheme="minorHAnsi"/>
                <w:sz w:val="22"/>
                <w:szCs w:val="22"/>
              </w:rPr>
            </w:pPr>
          </w:p>
        </w:tc>
        <w:tc>
          <w:tcPr>
            <w:tcW w:w="4445" w:type="dxa"/>
          </w:tcPr>
          <w:p w14:paraId="56CF0A53"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p w14:paraId="5FCBFE59"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b/>
                <w:bCs w:val="0"/>
                <w:sz w:val="22"/>
                <w:szCs w:val="22"/>
              </w:rPr>
              <w:t xml:space="preserve">Art. 11. </w:t>
            </w:r>
            <w:r w:rsidRPr="005F0586">
              <w:rPr>
                <w:rFonts w:asciiTheme="minorHAnsi" w:hAnsiTheme="minorHAnsi" w:cstheme="minorHAnsi"/>
                <w:sz w:val="22"/>
                <w:szCs w:val="22"/>
              </w:rPr>
              <w:t xml:space="preserve">Wynagrodzenie twórcy projektu wynalazczego podwyższa się, jeżeli korzyści osiągnięte przez przedsiębiorcę </w:t>
            </w:r>
            <w:r w:rsidRPr="005F0586">
              <w:rPr>
                <w:rFonts w:asciiTheme="minorHAnsi" w:hAnsiTheme="minorHAnsi" w:cstheme="minorHAnsi"/>
                <w:sz w:val="22"/>
                <w:szCs w:val="22"/>
                <w:shd w:val="clear" w:color="auto" w:fill="E2EFD9" w:themeFill="accent6" w:themeFillTint="33"/>
              </w:rPr>
              <w:t>okażą się znacząco wyższe od korzyści przyjętych za podstawę do ustalenia wypłaconego wynagrodzenia.</w:t>
            </w:r>
          </w:p>
        </w:tc>
      </w:tr>
      <w:tr w:rsidR="00116E29" w:rsidRPr="005F0586" w14:paraId="17EA093E" w14:textId="77777777" w:rsidTr="00967A11">
        <w:tc>
          <w:tcPr>
            <w:tcW w:w="9056" w:type="dxa"/>
            <w:gridSpan w:val="2"/>
            <w:shd w:val="clear" w:color="auto" w:fill="E7E6E6" w:themeFill="background2"/>
          </w:tcPr>
          <w:p w14:paraId="2C10B484"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rPr>
            </w:pPr>
            <w:r w:rsidRPr="00491ADF">
              <w:rPr>
                <w:rFonts w:asciiTheme="minorHAnsi" w:hAnsiTheme="minorHAnsi" w:cstheme="minorHAnsi"/>
                <w:b/>
                <w:color w:val="2E74B5" w:themeColor="accent5" w:themeShade="BF"/>
                <w:sz w:val="22"/>
                <w:szCs w:val="22"/>
              </w:rPr>
              <w:t>REMARKS:</w:t>
            </w:r>
          </w:p>
        </w:tc>
      </w:tr>
      <w:tr w:rsidR="00116E29" w:rsidRPr="004D64A0" w14:paraId="7CF5FF3A" w14:textId="77777777" w:rsidTr="00967A11">
        <w:tc>
          <w:tcPr>
            <w:tcW w:w="9056" w:type="dxa"/>
            <w:gridSpan w:val="2"/>
            <w:shd w:val="clear" w:color="auto" w:fill="FFFFFF" w:themeFill="background1"/>
          </w:tcPr>
          <w:p w14:paraId="59BECFE8" w14:textId="77777777" w:rsidR="009719DA" w:rsidRPr="00491ADF" w:rsidRDefault="009719DA"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55D3E8A5"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The draft </w:t>
            </w:r>
            <w:r w:rsidRPr="00491ADF">
              <w:rPr>
                <w:rFonts w:asciiTheme="minorHAnsi" w:hAnsiTheme="minorHAnsi" w:cstheme="minorHAnsi"/>
                <w:b/>
                <w:bCs w:val="0"/>
                <w:color w:val="2E74B5" w:themeColor="accent5" w:themeShade="BF"/>
                <w:sz w:val="22"/>
                <w:szCs w:val="22"/>
                <w:lang w:val="en-US"/>
              </w:rPr>
              <w:t>UD263</w:t>
            </w:r>
            <w:r w:rsidRPr="00491ADF">
              <w:rPr>
                <w:rFonts w:asciiTheme="minorHAnsi" w:hAnsiTheme="minorHAnsi" w:cstheme="minorHAnsi"/>
                <w:color w:val="2E74B5" w:themeColor="accent5" w:themeShade="BF"/>
                <w:sz w:val="22"/>
                <w:szCs w:val="22"/>
                <w:lang w:val="en-US"/>
              </w:rPr>
              <w:t xml:space="preserve"> only proposes to move the provision (setting out the rules for remuneration of the inventor of an invention) to another editorial unit, while no attempt has been made to regulate these rules in a way that would encourage creativity on the part of inventors.</w:t>
            </w:r>
          </w:p>
          <w:p w14:paraId="08714879" w14:textId="5E1B55FE" w:rsidR="009719DA" w:rsidRPr="00491ADF" w:rsidRDefault="009719DA" w:rsidP="00967A11">
            <w:pPr>
              <w:pStyle w:val="USTustnpkodeksu"/>
              <w:spacing w:line="240" w:lineRule="auto"/>
              <w:ind w:firstLine="0"/>
              <w:rPr>
                <w:rFonts w:asciiTheme="minorHAnsi" w:hAnsiTheme="minorHAnsi" w:cstheme="minorHAnsi"/>
                <w:b/>
                <w:color w:val="2E74B5" w:themeColor="accent5" w:themeShade="BF"/>
                <w:sz w:val="10"/>
                <w:szCs w:val="10"/>
                <w:lang w:val="en-US"/>
              </w:rPr>
            </w:pPr>
          </w:p>
        </w:tc>
      </w:tr>
    </w:tbl>
    <w:p w14:paraId="044D59E5" w14:textId="77777777" w:rsidR="00116E29" w:rsidRPr="005F0586" w:rsidRDefault="00116E29" w:rsidP="00116E29">
      <w:pPr>
        <w:spacing w:after="0" w:line="240" w:lineRule="auto"/>
        <w:jc w:val="center"/>
        <w:rPr>
          <w:rFonts w:cstheme="minorHAnsi"/>
          <w:lang w:val="en-US"/>
        </w:rPr>
      </w:pPr>
    </w:p>
    <w:p w14:paraId="267E698E" w14:textId="77777777" w:rsidR="00116E29" w:rsidRPr="005F0586" w:rsidRDefault="00116E29" w:rsidP="00116E29">
      <w:pPr>
        <w:spacing w:after="0" w:line="240" w:lineRule="auto"/>
        <w:jc w:val="center"/>
        <w:rPr>
          <w:rFonts w:cstheme="minorHAnsi"/>
        </w:rPr>
      </w:pPr>
      <w:r w:rsidRPr="005F0586">
        <w:rPr>
          <w:rFonts w:cstheme="minorHAnsi"/>
        </w:rPr>
        <w:t>+++</w:t>
      </w:r>
    </w:p>
    <w:p w14:paraId="5AA42B60" w14:textId="77777777" w:rsidR="00116E29" w:rsidRPr="005F0586" w:rsidRDefault="00116E29" w:rsidP="00116E29">
      <w:pPr>
        <w:rPr>
          <w:lang w:val="en-US"/>
        </w:rPr>
      </w:pPr>
    </w:p>
    <w:tbl>
      <w:tblPr>
        <w:tblStyle w:val="Tabela-Siatka"/>
        <w:tblW w:w="0" w:type="auto"/>
        <w:tblLook w:val="04A0" w:firstRow="1" w:lastRow="0" w:firstColumn="1" w:lastColumn="0" w:noHBand="0" w:noVBand="1"/>
      </w:tblPr>
      <w:tblGrid>
        <w:gridCol w:w="4611"/>
        <w:gridCol w:w="4445"/>
      </w:tblGrid>
      <w:tr w:rsidR="00116E29" w:rsidRPr="004D64A0" w14:paraId="73A1AA87" w14:textId="77777777" w:rsidTr="00967A11">
        <w:tc>
          <w:tcPr>
            <w:tcW w:w="4611" w:type="dxa"/>
            <w:shd w:val="clear" w:color="auto" w:fill="F2F2F2" w:themeFill="background1" w:themeFillShade="F2"/>
          </w:tcPr>
          <w:p w14:paraId="6720E3F4" w14:textId="157BD774"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lastRenderedPageBreak/>
              <w:t>TODAY in the current Act o</w:t>
            </w:r>
            <w:r w:rsidR="000479F6"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445" w:type="dxa"/>
            <w:shd w:val="clear" w:color="auto" w:fill="F2F2F2" w:themeFill="background1" w:themeFillShade="F2"/>
          </w:tcPr>
          <w:p w14:paraId="73D5FEEC" w14:textId="4DED550C"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0479F6"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5F0586" w14:paraId="54EBA316" w14:textId="77777777" w:rsidTr="00967A11">
        <w:tc>
          <w:tcPr>
            <w:tcW w:w="4611" w:type="dxa"/>
          </w:tcPr>
          <w:p w14:paraId="1C17F48E" w14:textId="77777777" w:rsidR="00116E29" w:rsidRPr="005F0586" w:rsidRDefault="00116E29" w:rsidP="00967A11">
            <w:pPr>
              <w:shd w:val="clear" w:color="auto" w:fill="FFFFFF"/>
              <w:textAlignment w:val="center"/>
              <w:rPr>
                <w:rFonts w:asciiTheme="minorHAnsi" w:hAnsiTheme="minorHAnsi" w:cstheme="minorHAnsi"/>
                <w:color w:val="000000"/>
                <w:sz w:val="22"/>
                <w:szCs w:val="22"/>
              </w:rPr>
            </w:pPr>
            <w:r w:rsidRPr="005F0586">
              <w:rPr>
                <w:rStyle w:val="articletitle"/>
                <w:rFonts w:asciiTheme="minorHAnsi" w:hAnsiTheme="minorHAnsi" w:cstheme="minorHAnsi"/>
                <w:b/>
                <w:bCs/>
                <w:color w:val="333333"/>
                <w:sz w:val="22"/>
                <w:szCs w:val="22"/>
              </w:rPr>
              <w:t>Art. 13 [Data pierwszeństwa]</w:t>
            </w:r>
          </w:p>
          <w:p w14:paraId="5E0DBAA2"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1. Pierwszeństwo do uzyskania patentu, prawa ochronnego albo prawa z rejestracji oznacza się, z uwzględnieniem </w:t>
            </w:r>
            <w:hyperlink r:id="rId157" w:history="1">
              <w:r w:rsidRPr="005F0586">
                <w:rPr>
                  <w:rStyle w:val="Hipercze"/>
                  <w:rFonts w:asciiTheme="minorHAnsi" w:hAnsiTheme="minorHAnsi" w:cstheme="minorHAnsi"/>
                  <w:color w:val="CC0000"/>
                  <w:sz w:val="22"/>
                  <w:szCs w:val="22"/>
                  <w:u w:val="none"/>
                </w:rPr>
                <w:t>art. 14</w:t>
              </w:r>
            </w:hyperlink>
            <w:r w:rsidRPr="005F0586">
              <w:rPr>
                <w:rFonts w:asciiTheme="minorHAnsi" w:hAnsiTheme="minorHAnsi" w:cstheme="minorHAnsi"/>
                <w:color w:val="333333"/>
                <w:sz w:val="22"/>
                <w:szCs w:val="22"/>
              </w:rPr>
              <w:t> i </w:t>
            </w:r>
            <w:hyperlink r:id="rId158" w:history="1">
              <w:r w:rsidRPr="005F0586">
                <w:rPr>
                  <w:rStyle w:val="Hipercze"/>
                  <w:rFonts w:asciiTheme="minorHAnsi" w:hAnsiTheme="minorHAnsi" w:cstheme="minorHAnsi"/>
                  <w:color w:val="CC0000"/>
                  <w:sz w:val="22"/>
                  <w:szCs w:val="22"/>
                  <w:u w:val="none"/>
                </w:rPr>
                <w:t>art. 151,</w:t>
              </w:r>
            </w:hyperlink>
            <w:r w:rsidRPr="005F0586">
              <w:rPr>
                <w:rFonts w:asciiTheme="minorHAnsi" w:hAnsiTheme="minorHAnsi" w:cstheme="minorHAnsi"/>
                <w:color w:val="333333"/>
                <w:sz w:val="22"/>
                <w:szCs w:val="22"/>
              </w:rPr>
              <w:t> według daty zgłoszenia wynalazku, wzoru użytkowego albo wzoru przemysłowego w Urzędzie Patentowym.</w:t>
            </w:r>
          </w:p>
          <w:p w14:paraId="4FBDCAE4" w14:textId="77777777" w:rsidR="00116E29" w:rsidRPr="005F0586" w:rsidRDefault="00116E29" w:rsidP="00967A11">
            <w:pPr>
              <w:shd w:val="clear" w:color="auto" w:fill="FFFFFF"/>
              <w:rPr>
                <w:rFonts w:asciiTheme="minorHAnsi" w:hAnsiTheme="minorHAnsi" w:cstheme="minorHAnsi"/>
                <w:color w:val="333333"/>
                <w:sz w:val="22"/>
                <w:szCs w:val="22"/>
              </w:rPr>
            </w:pPr>
            <w:r w:rsidRPr="005F0586">
              <w:rPr>
                <w:rFonts w:asciiTheme="minorHAnsi" w:hAnsiTheme="minorHAnsi" w:cstheme="minorHAnsi"/>
                <w:color w:val="333333"/>
                <w:sz w:val="22"/>
                <w:szCs w:val="22"/>
              </w:rPr>
              <w:t xml:space="preserve">2. Zgłoszenie </w:t>
            </w:r>
            <w:r w:rsidRPr="005F0586">
              <w:rPr>
                <w:rFonts w:asciiTheme="minorHAnsi" w:hAnsiTheme="minorHAnsi" w:cstheme="minorHAnsi"/>
                <w:b/>
                <w:bCs/>
                <w:color w:val="333333"/>
                <w:sz w:val="22"/>
                <w:szCs w:val="22"/>
              </w:rPr>
              <w:t>uważa się za dokonane</w:t>
            </w:r>
            <w:r w:rsidRPr="005F0586">
              <w:rPr>
                <w:rFonts w:asciiTheme="minorHAnsi" w:hAnsiTheme="minorHAnsi" w:cstheme="minorHAnsi"/>
                <w:color w:val="333333"/>
                <w:sz w:val="22"/>
                <w:szCs w:val="22"/>
              </w:rPr>
              <w:t>, z zastrzeżeniem </w:t>
            </w:r>
            <w:hyperlink r:id="rId159" w:history="1">
              <w:r w:rsidRPr="005F0586">
                <w:rPr>
                  <w:rStyle w:val="Hipercze"/>
                  <w:rFonts w:asciiTheme="minorHAnsi" w:hAnsiTheme="minorHAnsi" w:cstheme="minorHAnsi"/>
                  <w:color w:val="CC0000"/>
                  <w:sz w:val="22"/>
                  <w:szCs w:val="22"/>
                  <w:u w:val="none"/>
                </w:rPr>
                <w:t xml:space="preserve">art. 31 ust. 4, </w:t>
              </w:r>
            </w:hyperlink>
            <w:r w:rsidRPr="005F0586">
              <w:rPr>
                <w:rFonts w:asciiTheme="minorHAnsi" w:hAnsiTheme="minorHAnsi" w:cstheme="minorHAnsi"/>
                <w:color w:val="333333"/>
                <w:sz w:val="22"/>
                <w:szCs w:val="22"/>
                <w:shd w:val="clear" w:color="auto" w:fill="E2EFD9" w:themeFill="accent6" w:themeFillTint="33"/>
              </w:rPr>
              <w:t>w dniu, w którym wpłynęło ono do Urzędu Patentowego</w:t>
            </w:r>
            <w:r w:rsidRPr="005F0586">
              <w:rPr>
                <w:rFonts w:asciiTheme="minorHAnsi" w:hAnsiTheme="minorHAnsi" w:cstheme="minorHAnsi"/>
                <w:color w:val="333333"/>
                <w:sz w:val="22"/>
                <w:szCs w:val="22"/>
              </w:rPr>
              <w:t xml:space="preserve"> </w:t>
            </w:r>
            <w:r w:rsidRPr="005F0586">
              <w:rPr>
                <w:rFonts w:asciiTheme="minorHAnsi" w:hAnsiTheme="minorHAnsi" w:cstheme="minorHAnsi"/>
                <w:b/>
                <w:bCs/>
                <w:color w:val="333333"/>
                <w:sz w:val="22"/>
                <w:szCs w:val="22"/>
              </w:rPr>
              <w:t>z zachowaniem formy pisemnej</w:t>
            </w:r>
            <w:r w:rsidRPr="005F0586">
              <w:rPr>
                <w:rFonts w:asciiTheme="minorHAnsi" w:hAnsiTheme="minorHAnsi" w:cstheme="minorHAnsi"/>
                <w:color w:val="333333"/>
                <w:sz w:val="22"/>
                <w:szCs w:val="22"/>
              </w:rPr>
              <w:t xml:space="preserve"> również za pomocą </w:t>
            </w:r>
            <w:r w:rsidRPr="005F0586">
              <w:rPr>
                <w:rFonts w:asciiTheme="minorHAnsi" w:hAnsiTheme="minorHAnsi" w:cstheme="minorHAnsi"/>
                <w:color w:val="333333"/>
                <w:sz w:val="22"/>
                <w:szCs w:val="22"/>
                <w:highlight w:val="yellow"/>
              </w:rPr>
              <w:t>telefaksu</w:t>
            </w:r>
            <w:r w:rsidRPr="005F0586">
              <w:rPr>
                <w:rFonts w:asciiTheme="minorHAnsi" w:hAnsiTheme="minorHAnsi" w:cstheme="minorHAnsi"/>
                <w:color w:val="333333"/>
                <w:sz w:val="22"/>
                <w:szCs w:val="22"/>
              </w:rPr>
              <w:t xml:space="preserve"> lub </w:t>
            </w:r>
            <w:r w:rsidRPr="005F0586">
              <w:rPr>
                <w:rFonts w:asciiTheme="minorHAnsi" w:hAnsiTheme="minorHAnsi" w:cstheme="minorHAnsi"/>
                <w:color w:val="333333"/>
                <w:sz w:val="22"/>
                <w:szCs w:val="22"/>
                <w:shd w:val="clear" w:color="auto" w:fill="D9E2F3" w:themeFill="accent1" w:themeFillTint="33"/>
              </w:rPr>
              <w:t>w postaci elektronicznej</w:t>
            </w:r>
            <w:r w:rsidRPr="005F0586">
              <w:rPr>
                <w:rFonts w:asciiTheme="minorHAnsi" w:hAnsiTheme="minorHAnsi" w:cstheme="minorHAnsi"/>
                <w:color w:val="333333"/>
                <w:sz w:val="22"/>
                <w:szCs w:val="22"/>
              </w:rPr>
              <w:t>.</w:t>
            </w:r>
          </w:p>
          <w:p w14:paraId="3F1D7833" w14:textId="77777777" w:rsidR="00116E29" w:rsidRPr="005F0586" w:rsidRDefault="00116E29" w:rsidP="00967A11">
            <w:pPr>
              <w:rPr>
                <w:rFonts w:asciiTheme="minorHAnsi" w:hAnsiTheme="minorHAnsi" w:cstheme="minorHAnsi"/>
                <w:sz w:val="22"/>
                <w:szCs w:val="22"/>
              </w:rPr>
            </w:pPr>
          </w:p>
        </w:tc>
        <w:tc>
          <w:tcPr>
            <w:tcW w:w="4445" w:type="dxa"/>
          </w:tcPr>
          <w:p w14:paraId="68992187"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b/>
                <w:bCs/>
                <w:sz w:val="22"/>
                <w:szCs w:val="22"/>
              </w:rPr>
              <w:t>Art. 15. (…)</w:t>
            </w:r>
          </w:p>
          <w:p w14:paraId="55A8328D"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rPr>
              <w:t xml:space="preserve">3. </w:t>
            </w:r>
            <w:r w:rsidRPr="005F0586">
              <w:rPr>
                <w:rFonts w:asciiTheme="minorHAnsi" w:hAnsiTheme="minorHAnsi" w:cstheme="minorHAnsi"/>
                <w:b/>
                <w:bCs/>
                <w:sz w:val="22"/>
                <w:szCs w:val="22"/>
              </w:rPr>
              <w:t>Zgłoszenie uważa się za dokonane</w:t>
            </w:r>
            <w:r w:rsidRPr="005F0586">
              <w:rPr>
                <w:rFonts w:asciiTheme="minorHAnsi" w:hAnsiTheme="minorHAnsi" w:cstheme="minorHAnsi"/>
                <w:sz w:val="22"/>
                <w:szCs w:val="22"/>
              </w:rPr>
              <w:t xml:space="preserve"> w </w:t>
            </w:r>
            <w:r w:rsidRPr="005F0586">
              <w:rPr>
                <w:rFonts w:asciiTheme="minorHAnsi" w:hAnsiTheme="minorHAnsi" w:cstheme="minorHAnsi"/>
                <w:sz w:val="22"/>
                <w:szCs w:val="22"/>
                <w:shd w:val="clear" w:color="auto" w:fill="E2EFD9" w:themeFill="accent6" w:themeFillTint="33"/>
              </w:rPr>
              <w:t xml:space="preserve">dniu, w którym wpłynęło do Urzędu Patentowego </w:t>
            </w:r>
            <w:r w:rsidRPr="005F0586">
              <w:rPr>
                <w:rFonts w:asciiTheme="minorHAnsi" w:hAnsiTheme="minorHAnsi" w:cstheme="minorHAnsi"/>
                <w:b/>
                <w:bCs/>
                <w:sz w:val="22"/>
                <w:szCs w:val="22"/>
              </w:rPr>
              <w:t xml:space="preserve">na piśmie utrwalonym w </w:t>
            </w:r>
            <w:r w:rsidRPr="005F0586">
              <w:rPr>
                <w:rFonts w:asciiTheme="minorHAnsi" w:hAnsiTheme="minorHAnsi" w:cstheme="minorHAnsi"/>
                <w:b/>
                <w:bCs/>
                <w:sz w:val="22"/>
                <w:szCs w:val="22"/>
                <w:shd w:val="clear" w:color="auto" w:fill="D9E2F3" w:themeFill="accent1" w:themeFillTint="33"/>
              </w:rPr>
              <w:t>postaci</w:t>
            </w:r>
            <w:r w:rsidRPr="005F0586">
              <w:rPr>
                <w:rFonts w:asciiTheme="minorHAnsi" w:hAnsiTheme="minorHAnsi" w:cstheme="minorHAnsi"/>
                <w:b/>
                <w:bCs/>
                <w:sz w:val="22"/>
                <w:szCs w:val="22"/>
              </w:rPr>
              <w:t xml:space="preserve"> papierowej</w:t>
            </w:r>
            <w:r w:rsidRPr="005F0586">
              <w:rPr>
                <w:rFonts w:asciiTheme="minorHAnsi" w:hAnsiTheme="minorHAnsi" w:cstheme="minorHAnsi"/>
                <w:sz w:val="22"/>
                <w:szCs w:val="22"/>
              </w:rPr>
              <w:t xml:space="preserve"> </w:t>
            </w:r>
            <w:r w:rsidRPr="005F0586">
              <w:rPr>
                <w:rFonts w:asciiTheme="minorHAnsi" w:hAnsiTheme="minorHAnsi" w:cstheme="minorHAnsi"/>
                <w:color w:val="auto"/>
                <w:sz w:val="22"/>
                <w:szCs w:val="22"/>
                <w:shd w:val="clear" w:color="auto" w:fill="FFFFFF" w:themeFill="background1"/>
              </w:rPr>
              <w:t xml:space="preserve">albo </w:t>
            </w:r>
            <w:r w:rsidRPr="005F0586">
              <w:rPr>
                <w:rFonts w:asciiTheme="minorHAnsi" w:hAnsiTheme="minorHAnsi" w:cstheme="minorHAnsi"/>
                <w:color w:val="auto"/>
                <w:sz w:val="22"/>
                <w:szCs w:val="22"/>
                <w:shd w:val="clear" w:color="auto" w:fill="D9E2F3" w:themeFill="accent1" w:themeFillTint="33"/>
              </w:rPr>
              <w:t>elektronicznej</w:t>
            </w:r>
            <w:r w:rsidRPr="005F0586">
              <w:rPr>
                <w:rFonts w:asciiTheme="minorHAnsi" w:hAnsiTheme="minorHAnsi" w:cstheme="minorHAnsi"/>
                <w:sz w:val="22"/>
                <w:szCs w:val="22"/>
                <w:shd w:val="clear" w:color="auto" w:fill="D9E2F3" w:themeFill="accent1" w:themeFillTint="33"/>
              </w:rPr>
              <w:t>,</w:t>
            </w:r>
            <w:r w:rsidRPr="005F0586">
              <w:rPr>
                <w:rFonts w:asciiTheme="minorHAnsi" w:hAnsiTheme="minorHAnsi" w:cstheme="minorHAnsi"/>
                <w:sz w:val="22"/>
                <w:szCs w:val="22"/>
              </w:rPr>
              <w:t xml:space="preserve"> o ile zawiera wszystkie części dające podstawę do uznania zgłoszenia za dokonane. </w:t>
            </w:r>
          </w:p>
          <w:p w14:paraId="30A82463"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rPr>
              <w:t xml:space="preserve">4. W przypadku, gdy zgłoszenie zawiera szkodliwe oprogramowanie lub jest nieczytelne, skutek, o którym mowa w ust. 1 i ust. 2, nie powstaje. </w:t>
            </w:r>
          </w:p>
          <w:p w14:paraId="3D88C9A6" w14:textId="77777777" w:rsidR="00116E29" w:rsidRPr="005F0586" w:rsidRDefault="00116E29" w:rsidP="00967A11">
            <w:pPr>
              <w:rPr>
                <w:rFonts w:asciiTheme="minorHAnsi" w:hAnsiTheme="minorHAnsi" w:cstheme="minorHAnsi"/>
                <w:sz w:val="22"/>
                <w:szCs w:val="22"/>
              </w:rPr>
            </w:pPr>
            <w:r w:rsidRPr="005F0586">
              <w:rPr>
                <w:rFonts w:asciiTheme="minorHAnsi" w:hAnsiTheme="minorHAnsi" w:cstheme="minorHAnsi"/>
                <w:sz w:val="22"/>
                <w:szCs w:val="22"/>
              </w:rPr>
              <w:t>(…).</w:t>
            </w:r>
          </w:p>
          <w:p w14:paraId="43ACBD6C"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tc>
      </w:tr>
      <w:tr w:rsidR="00116E29" w:rsidRPr="005F0586" w14:paraId="1985AAA9" w14:textId="77777777" w:rsidTr="00967A11">
        <w:tc>
          <w:tcPr>
            <w:tcW w:w="9056" w:type="dxa"/>
            <w:gridSpan w:val="2"/>
            <w:shd w:val="clear" w:color="auto" w:fill="E7E6E6" w:themeFill="background2"/>
          </w:tcPr>
          <w:p w14:paraId="6EDC6E70"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rPr>
            </w:pPr>
            <w:r w:rsidRPr="00491ADF">
              <w:rPr>
                <w:rFonts w:asciiTheme="minorHAnsi" w:hAnsiTheme="minorHAnsi" w:cstheme="minorHAnsi"/>
                <w:b/>
                <w:color w:val="2E74B5" w:themeColor="accent5" w:themeShade="BF"/>
                <w:sz w:val="22"/>
                <w:szCs w:val="22"/>
              </w:rPr>
              <w:t>REMARKS:</w:t>
            </w:r>
          </w:p>
        </w:tc>
      </w:tr>
      <w:tr w:rsidR="00116E29" w:rsidRPr="004D64A0" w14:paraId="2FA0F348" w14:textId="77777777" w:rsidTr="00967A11">
        <w:tc>
          <w:tcPr>
            <w:tcW w:w="9056" w:type="dxa"/>
            <w:gridSpan w:val="2"/>
            <w:shd w:val="clear" w:color="auto" w:fill="FFFFFF" w:themeFill="background1"/>
          </w:tcPr>
          <w:p w14:paraId="6E444081" w14:textId="77777777" w:rsidR="009719DA" w:rsidRPr="00491ADF" w:rsidRDefault="009719DA"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40E6040A"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Draft </w:t>
            </w:r>
            <w:r w:rsidRPr="00491ADF">
              <w:rPr>
                <w:rFonts w:asciiTheme="minorHAnsi" w:hAnsiTheme="minorHAnsi" w:cstheme="minorHAnsi"/>
                <w:b/>
                <w:bCs w:val="0"/>
                <w:color w:val="2E74B5" w:themeColor="accent5" w:themeShade="BF"/>
                <w:sz w:val="22"/>
                <w:szCs w:val="22"/>
                <w:lang w:val="en-US"/>
              </w:rPr>
              <w:t xml:space="preserve">UD263 </w:t>
            </w:r>
            <w:r w:rsidRPr="00491ADF">
              <w:rPr>
                <w:rFonts w:asciiTheme="minorHAnsi" w:hAnsiTheme="minorHAnsi" w:cstheme="minorHAnsi"/>
                <w:color w:val="2E74B5" w:themeColor="accent5" w:themeShade="BF"/>
                <w:sz w:val="22"/>
                <w:szCs w:val="22"/>
                <w:lang w:val="en-US"/>
              </w:rPr>
              <w:t xml:space="preserve">proposes to remove the possibility to make submissions </w:t>
            </w:r>
            <w:r w:rsidRPr="00491ADF">
              <w:rPr>
                <w:rFonts w:asciiTheme="minorHAnsi" w:hAnsiTheme="minorHAnsi" w:cstheme="minorHAnsi"/>
                <w:color w:val="2E74B5" w:themeColor="accent5" w:themeShade="BF"/>
                <w:sz w:val="22"/>
                <w:szCs w:val="22"/>
                <w:highlight w:val="yellow"/>
                <w:lang w:val="en-US"/>
              </w:rPr>
              <w:t>„</w:t>
            </w:r>
            <w:r w:rsidRPr="00491ADF">
              <w:rPr>
                <w:rFonts w:asciiTheme="minorHAnsi" w:hAnsiTheme="minorHAnsi" w:cstheme="minorHAnsi"/>
                <w:i/>
                <w:iCs/>
                <w:color w:val="2E74B5" w:themeColor="accent5" w:themeShade="BF"/>
                <w:sz w:val="22"/>
                <w:szCs w:val="22"/>
                <w:highlight w:val="yellow"/>
                <w:lang w:val="en-US"/>
              </w:rPr>
              <w:t>by fax</w:t>
            </w:r>
            <w:r w:rsidRPr="00491ADF">
              <w:rPr>
                <w:rFonts w:asciiTheme="minorHAnsi" w:hAnsiTheme="minorHAnsi" w:cstheme="minorHAnsi"/>
                <w:color w:val="2E74B5" w:themeColor="accent5" w:themeShade="BF"/>
                <w:sz w:val="22"/>
                <w:szCs w:val="22"/>
                <w:highlight w:val="yellow"/>
                <w:lang w:val="en-US"/>
              </w:rPr>
              <w:t>”</w:t>
            </w:r>
            <w:r w:rsidRPr="00491ADF">
              <w:rPr>
                <w:rFonts w:asciiTheme="minorHAnsi" w:hAnsiTheme="minorHAnsi" w:cstheme="minorHAnsi"/>
                <w:color w:val="2E74B5" w:themeColor="accent5" w:themeShade="BF"/>
                <w:sz w:val="22"/>
                <w:szCs w:val="22"/>
                <w:lang w:val="en-US"/>
              </w:rPr>
              <w:t xml:space="preserve"> and move the provision to another drafting unit. It does not specify or provide for secure methods of communication.</w:t>
            </w:r>
          </w:p>
          <w:p w14:paraId="37F0E57E" w14:textId="0EB5C49C" w:rsidR="007633ED" w:rsidRPr="00491ADF" w:rsidRDefault="007633ED" w:rsidP="00967A11">
            <w:pPr>
              <w:pStyle w:val="USTustnpkodeksu"/>
              <w:spacing w:line="240" w:lineRule="auto"/>
              <w:ind w:firstLine="0"/>
              <w:rPr>
                <w:rFonts w:asciiTheme="minorHAnsi" w:hAnsiTheme="minorHAnsi" w:cstheme="minorHAnsi"/>
                <w:bCs w:val="0"/>
                <w:color w:val="2E74B5" w:themeColor="accent5" w:themeShade="BF"/>
                <w:sz w:val="10"/>
                <w:szCs w:val="10"/>
                <w:lang w:val="en-US"/>
              </w:rPr>
            </w:pPr>
          </w:p>
        </w:tc>
      </w:tr>
    </w:tbl>
    <w:p w14:paraId="4CA1E932" w14:textId="77777777" w:rsidR="00116E29" w:rsidRPr="005F0586" w:rsidRDefault="00116E29" w:rsidP="00116E29">
      <w:pPr>
        <w:spacing w:after="0" w:line="240" w:lineRule="auto"/>
        <w:rPr>
          <w:rFonts w:cstheme="minorHAnsi"/>
          <w:lang w:val="en-US"/>
        </w:rPr>
      </w:pPr>
    </w:p>
    <w:p w14:paraId="7A7C0D69" w14:textId="77777777" w:rsidR="00116E29" w:rsidRPr="005F0586" w:rsidRDefault="00116E29" w:rsidP="00116E29">
      <w:pPr>
        <w:spacing w:after="0" w:line="240" w:lineRule="auto"/>
        <w:jc w:val="center"/>
        <w:rPr>
          <w:rFonts w:cstheme="minorHAnsi"/>
        </w:rPr>
      </w:pPr>
      <w:r w:rsidRPr="005F0586">
        <w:rPr>
          <w:rFonts w:cstheme="minorHAnsi"/>
        </w:rPr>
        <w:t>+++</w:t>
      </w:r>
    </w:p>
    <w:p w14:paraId="041B64B7" w14:textId="77777777" w:rsidR="00116E29" w:rsidRPr="005F0586" w:rsidRDefault="00116E29" w:rsidP="00116E29">
      <w:pPr>
        <w:rPr>
          <w:lang w:val="en-US"/>
        </w:rPr>
      </w:pPr>
    </w:p>
    <w:tbl>
      <w:tblPr>
        <w:tblStyle w:val="Tabela-Siatka"/>
        <w:tblW w:w="0" w:type="auto"/>
        <w:tblLook w:val="04A0" w:firstRow="1" w:lastRow="0" w:firstColumn="1" w:lastColumn="0" w:noHBand="0" w:noVBand="1"/>
      </w:tblPr>
      <w:tblGrid>
        <w:gridCol w:w="4611"/>
        <w:gridCol w:w="4445"/>
      </w:tblGrid>
      <w:tr w:rsidR="00116E29" w:rsidRPr="004D64A0" w14:paraId="54D7EB37" w14:textId="77777777" w:rsidTr="00967A11">
        <w:tc>
          <w:tcPr>
            <w:tcW w:w="4611" w:type="dxa"/>
            <w:shd w:val="clear" w:color="auto" w:fill="F2F2F2" w:themeFill="background1" w:themeFillShade="F2"/>
          </w:tcPr>
          <w:p w14:paraId="29F385CA" w14:textId="6CDEAFD0"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t>TODAY in the current Act o</w:t>
            </w:r>
            <w:r w:rsidR="000479F6"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445" w:type="dxa"/>
            <w:shd w:val="clear" w:color="auto" w:fill="F2F2F2" w:themeFill="background1" w:themeFillShade="F2"/>
          </w:tcPr>
          <w:p w14:paraId="7E6070E5" w14:textId="769D50AE"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0479F6"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5F0586" w14:paraId="61784491" w14:textId="77777777" w:rsidTr="00967A11">
        <w:tc>
          <w:tcPr>
            <w:tcW w:w="4611" w:type="dxa"/>
          </w:tcPr>
          <w:p w14:paraId="7A6777B7" w14:textId="77777777" w:rsidR="00116E29" w:rsidRPr="005F0586" w:rsidRDefault="00116E29" w:rsidP="00967A11">
            <w:pPr>
              <w:pStyle w:val="USTustnpkodeksu"/>
              <w:spacing w:line="240" w:lineRule="auto"/>
              <w:ind w:firstLine="0"/>
              <w:rPr>
                <w:rFonts w:asciiTheme="minorHAnsi" w:hAnsiTheme="minorHAnsi" w:cstheme="minorHAnsi"/>
                <w:b/>
                <w:bCs w:val="0"/>
                <w:sz w:val="22"/>
                <w:szCs w:val="22"/>
                <w:lang w:val="en-US"/>
              </w:rPr>
            </w:pPr>
          </w:p>
          <w:p w14:paraId="6E68A668" w14:textId="77777777" w:rsidR="00116E29" w:rsidRPr="005F0586" w:rsidRDefault="00116E29" w:rsidP="00967A11">
            <w:pPr>
              <w:pStyle w:val="USTustnpkodeksu"/>
              <w:spacing w:line="240" w:lineRule="auto"/>
              <w:ind w:firstLine="0"/>
              <w:rPr>
                <w:rFonts w:asciiTheme="minorHAnsi" w:hAnsiTheme="minorHAnsi" w:cstheme="minorHAnsi"/>
                <w:b/>
                <w:bCs w:val="0"/>
                <w:sz w:val="22"/>
                <w:szCs w:val="22"/>
              </w:rPr>
            </w:pPr>
            <w:r w:rsidRPr="005F0586">
              <w:rPr>
                <w:rFonts w:asciiTheme="minorHAnsi" w:hAnsiTheme="minorHAnsi" w:cstheme="minorHAnsi"/>
                <w:b/>
                <w:bCs w:val="0"/>
                <w:sz w:val="22"/>
                <w:szCs w:val="22"/>
              </w:rPr>
              <w:t>Art. 3 [Słowniczek]</w:t>
            </w:r>
          </w:p>
          <w:p w14:paraId="3FC4D898"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sz w:val="22"/>
                <w:szCs w:val="22"/>
              </w:rPr>
              <w:t>1. Ilekroć w ustawie jest mowa o: (…),</w:t>
            </w:r>
          </w:p>
          <w:p w14:paraId="7DB61FF3"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sz w:val="22"/>
                <w:szCs w:val="22"/>
              </w:rPr>
              <w:t xml:space="preserve">6) </w:t>
            </w:r>
            <w:r w:rsidRPr="005F0586">
              <w:rPr>
                <w:rFonts w:asciiTheme="minorHAnsi" w:hAnsiTheme="minorHAnsi" w:cstheme="minorHAnsi"/>
                <w:b/>
                <w:bCs w:val="0"/>
                <w:sz w:val="22"/>
                <w:szCs w:val="22"/>
              </w:rPr>
              <w:t>projektach wynalazczych</w:t>
            </w:r>
            <w:r w:rsidRPr="005F0586">
              <w:rPr>
                <w:rFonts w:asciiTheme="minorHAnsi" w:hAnsiTheme="minorHAnsi" w:cstheme="minorHAnsi"/>
                <w:sz w:val="22"/>
                <w:szCs w:val="22"/>
              </w:rPr>
              <w:t xml:space="preserve"> - rozumie się przez to wynalazki, wzory użytkowe, wzory przemysłowe, topografie układów scalonych i </w:t>
            </w:r>
            <w:r w:rsidRPr="005F0586">
              <w:rPr>
                <w:rFonts w:asciiTheme="minorHAnsi" w:hAnsiTheme="minorHAnsi" w:cstheme="minorHAnsi"/>
                <w:sz w:val="22"/>
                <w:szCs w:val="22"/>
                <w:shd w:val="clear" w:color="auto" w:fill="E2EFD9" w:themeFill="accent6" w:themeFillTint="33"/>
              </w:rPr>
              <w:t>projekty racjonalizatorskie</w:t>
            </w:r>
            <w:r w:rsidRPr="005F0586">
              <w:rPr>
                <w:rFonts w:asciiTheme="minorHAnsi" w:hAnsiTheme="minorHAnsi" w:cstheme="minorHAnsi"/>
                <w:sz w:val="22"/>
                <w:szCs w:val="22"/>
              </w:rPr>
              <w:t>; (…).</w:t>
            </w:r>
          </w:p>
        </w:tc>
        <w:tc>
          <w:tcPr>
            <w:tcW w:w="4445" w:type="dxa"/>
          </w:tcPr>
          <w:p w14:paraId="4EF49A39"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p w14:paraId="18CD5ABF" w14:textId="77777777" w:rsidR="00116E29" w:rsidRPr="005F0586" w:rsidRDefault="00116E29" w:rsidP="00967A11">
            <w:pPr>
              <w:pStyle w:val="Default"/>
              <w:rPr>
                <w:rFonts w:asciiTheme="minorHAnsi" w:hAnsiTheme="minorHAnsi" w:cstheme="minorHAnsi"/>
                <w:b/>
                <w:bCs/>
                <w:sz w:val="22"/>
                <w:szCs w:val="22"/>
              </w:rPr>
            </w:pPr>
            <w:r w:rsidRPr="005F0586">
              <w:rPr>
                <w:rFonts w:asciiTheme="minorHAnsi" w:hAnsiTheme="minorHAnsi" w:cstheme="minorHAnsi"/>
                <w:b/>
                <w:bCs/>
                <w:sz w:val="22"/>
                <w:szCs w:val="22"/>
              </w:rPr>
              <w:t xml:space="preserve">Art. 2. </w:t>
            </w:r>
          </w:p>
          <w:p w14:paraId="191F034B"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rPr>
              <w:t>1. Użyte w ustawie skróty oznaczają: (…).</w:t>
            </w:r>
          </w:p>
          <w:p w14:paraId="55CE06AC" w14:textId="77777777" w:rsidR="00116E29" w:rsidRPr="005F0586" w:rsidRDefault="00116E29" w:rsidP="00967A11">
            <w:pPr>
              <w:pStyle w:val="Default"/>
              <w:rPr>
                <w:rFonts w:asciiTheme="minorHAnsi" w:hAnsiTheme="minorHAnsi" w:cstheme="minorHAnsi"/>
                <w:sz w:val="22"/>
                <w:szCs w:val="22"/>
              </w:rPr>
            </w:pPr>
            <w:r w:rsidRPr="005F0586">
              <w:rPr>
                <w:rFonts w:asciiTheme="minorHAnsi" w:hAnsiTheme="minorHAnsi" w:cstheme="minorHAnsi"/>
                <w:sz w:val="22"/>
                <w:szCs w:val="22"/>
              </w:rPr>
              <w:t xml:space="preserve">2. Ilekroć w ustawie jest mowa o: </w:t>
            </w:r>
          </w:p>
          <w:p w14:paraId="5BE2D7B0" w14:textId="77777777" w:rsidR="00116E29" w:rsidRPr="005F0586" w:rsidRDefault="00116E29" w:rsidP="00967A11">
            <w:pPr>
              <w:pStyle w:val="Default"/>
              <w:rPr>
                <w:rFonts w:asciiTheme="minorHAnsi" w:hAnsiTheme="minorHAnsi" w:cstheme="minorHAnsi"/>
                <w:sz w:val="22"/>
                <w:szCs w:val="22"/>
              </w:rPr>
            </w:pPr>
          </w:p>
          <w:p w14:paraId="287967A9" w14:textId="77777777" w:rsidR="00116E29" w:rsidRPr="005F0586" w:rsidRDefault="00116E29" w:rsidP="00967A11">
            <w:pPr>
              <w:rPr>
                <w:rFonts w:asciiTheme="minorHAnsi" w:hAnsiTheme="minorHAnsi" w:cstheme="minorHAnsi"/>
                <w:sz w:val="22"/>
                <w:szCs w:val="22"/>
              </w:rPr>
            </w:pPr>
            <w:r w:rsidRPr="005F0586">
              <w:rPr>
                <w:rFonts w:asciiTheme="minorHAnsi" w:hAnsiTheme="minorHAnsi" w:cstheme="minorHAnsi"/>
                <w:sz w:val="22"/>
                <w:szCs w:val="22"/>
              </w:rPr>
              <w:t xml:space="preserve">11) </w:t>
            </w:r>
            <w:r w:rsidRPr="005F0586">
              <w:rPr>
                <w:rFonts w:asciiTheme="minorHAnsi" w:hAnsiTheme="minorHAnsi" w:cstheme="minorHAnsi"/>
                <w:b/>
                <w:bCs/>
                <w:sz w:val="22"/>
                <w:szCs w:val="22"/>
              </w:rPr>
              <w:t>projekcie wynalazczym</w:t>
            </w:r>
            <w:r w:rsidRPr="005F0586">
              <w:rPr>
                <w:rFonts w:asciiTheme="minorHAnsi" w:hAnsiTheme="minorHAnsi" w:cstheme="minorHAnsi"/>
                <w:sz w:val="22"/>
                <w:szCs w:val="22"/>
              </w:rPr>
              <w:t xml:space="preserve"> – rozumie się przez to wynalazki, wzory użytkowe, wzory przemysłowe i topografie; (…).</w:t>
            </w:r>
          </w:p>
          <w:p w14:paraId="548A8760" w14:textId="77777777" w:rsidR="00116E29" w:rsidRPr="00E6739D" w:rsidRDefault="00116E29" w:rsidP="00967A11">
            <w:pPr>
              <w:pStyle w:val="USTustnpkodeksu"/>
              <w:spacing w:line="240" w:lineRule="auto"/>
              <w:ind w:firstLine="0"/>
              <w:rPr>
                <w:rFonts w:asciiTheme="minorHAnsi" w:hAnsiTheme="minorHAnsi" w:cstheme="minorHAnsi"/>
                <w:sz w:val="10"/>
                <w:szCs w:val="10"/>
              </w:rPr>
            </w:pPr>
          </w:p>
        </w:tc>
      </w:tr>
      <w:tr w:rsidR="00116E29" w:rsidRPr="005F0586" w14:paraId="27329727" w14:textId="77777777" w:rsidTr="00967A11">
        <w:tc>
          <w:tcPr>
            <w:tcW w:w="9056" w:type="dxa"/>
            <w:gridSpan w:val="2"/>
            <w:shd w:val="clear" w:color="auto" w:fill="E7E6E6" w:themeFill="background2"/>
          </w:tcPr>
          <w:p w14:paraId="5DEB4E95"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rPr>
            </w:pPr>
            <w:r w:rsidRPr="00491ADF">
              <w:rPr>
                <w:rFonts w:asciiTheme="minorHAnsi" w:hAnsiTheme="minorHAnsi" w:cstheme="minorHAnsi"/>
                <w:b/>
                <w:color w:val="2E74B5" w:themeColor="accent5" w:themeShade="BF"/>
                <w:sz w:val="22"/>
                <w:szCs w:val="22"/>
              </w:rPr>
              <w:t>REMARKS:</w:t>
            </w:r>
          </w:p>
        </w:tc>
      </w:tr>
      <w:tr w:rsidR="00116E29" w:rsidRPr="004D64A0" w14:paraId="7C5E2699" w14:textId="77777777" w:rsidTr="00967A11">
        <w:tc>
          <w:tcPr>
            <w:tcW w:w="9056" w:type="dxa"/>
            <w:gridSpan w:val="2"/>
            <w:shd w:val="clear" w:color="auto" w:fill="FFFFFF" w:themeFill="background1"/>
          </w:tcPr>
          <w:p w14:paraId="11683F62" w14:textId="77777777" w:rsidR="009719DA" w:rsidRPr="00491ADF" w:rsidRDefault="009719DA" w:rsidP="00967A11">
            <w:pPr>
              <w:pStyle w:val="USTustnpkodeksu"/>
              <w:spacing w:line="240" w:lineRule="auto"/>
              <w:ind w:firstLine="0"/>
              <w:rPr>
                <w:rFonts w:asciiTheme="minorHAnsi" w:hAnsiTheme="minorHAnsi" w:cstheme="minorHAnsi"/>
                <w:bCs w:val="0"/>
                <w:color w:val="2E74B5" w:themeColor="accent5" w:themeShade="BF"/>
                <w:sz w:val="10"/>
                <w:szCs w:val="10"/>
                <w:lang w:val="en-US"/>
              </w:rPr>
            </w:pPr>
          </w:p>
          <w:p w14:paraId="3613B978" w14:textId="1611307E" w:rsidR="00116E29" w:rsidRPr="00491ADF" w:rsidRDefault="00116E29" w:rsidP="00967A11">
            <w:pPr>
              <w:pStyle w:val="USTustnpkodeksu"/>
              <w:spacing w:line="240" w:lineRule="auto"/>
              <w:ind w:firstLine="0"/>
              <w:rPr>
                <w:rFonts w:asciiTheme="minorHAnsi" w:hAnsiTheme="minorHAnsi" w:cstheme="minorHAnsi"/>
                <w:bCs w:val="0"/>
                <w:color w:val="2E74B5" w:themeColor="accent5" w:themeShade="BF"/>
                <w:sz w:val="22"/>
                <w:szCs w:val="22"/>
                <w:lang w:val="en-US"/>
              </w:rPr>
            </w:pPr>
            <w:r w:rsidRPr="00491ADF">
              <w:rPr>
                <w:rFonts w:asciiTheme="minorHAnsi" w:hAnsiTheme="minorHAnsi" w:cstheme="minorHAnsi"/>
                <w:bCs w:val="0"/>
                <w:color w:val="2E74B5" w:themeColor="accent5" w:themeShade="BF"/>
                <w:sz w:val="22"/>
                <w:szCs w:val="22"/>
                <w:lang w:val="en-US"/>
              </w:rPr>
              <w:t xml:space="preserve">Draft </w:t>
            </w:r>
            <w:r w:rsidRPr="00491ADF">
              <w:rPr>
                <w:rFonts w:asciiTheme="minorHAnsi" w:hAnsiTheme="minorHAnsi" w:cstheme="minorHAnsi"/>
                <w:b/>
                <w:color w:val="2E74B5" w:themeColor="accent5" w:themeShade="BF"/>
                <w:sz w:val="22"/>
                <w:szCs w:val="22"/>
                <w:lang w:val="en-US"/>
              </w:rPr>
              <w:t>UD263</w:t>
            </w:r>
            <w:r w:rsidRPr="00491ADF">
              <w:rPr>
                <w:rFonts w:asciiTheme="minorHAnsi" w:hAnsiTheme="minorHAnsi" w:cstheme="minorHAnsi"/>
                <w:bCs w:val="0"/>
                <w:color w:val="2E74B5" w:themeColor="accent5" w:themeShade="BF"/>
                <w:sz w:val="22"/>
                <w:szCs w:val="22"/>
                <w:lang w:val="en-US"/>
              </w:rPr>
              <w:t xml:space="preserve"> proposes to </w:t>
            </w:r>
            <w:r w:rsidRPr="00491ADF">
              <w:rPr>
                <w:rFonts w:asciiTheme="minorHAnsi" w:hAnsiTheme="minorHAnsi" w:cstheme="minorHAnsi"/>
                <w:b/>
                <w:color w:val="2E74B5" w:themeColor="accent5" w:themeShade="BF"/>
                <w:sz w:val="22"/>
                <w:szCs w:val="22"/>
                <w:lang w:val="en-US"/>
              </w:rPr>
              <w:t>remove</w:t>
            </w:r>
            <w:r w:rsidRPr="00491ADF">
              <w:rPr>
                <w:rFonts w:asciiTheme="minorHAnsi" w:hAnsiTheme="minorHAnsi" w:cstheme="minorHAnsi"/>
                <w:bCs w:val="0"/>
                <w:color w:val="2E74B5" w:themeColor="accent5" w:themeShade="BF"/>
                <w:sz w:val="22"/>
                <w:szCs w:val="22"/>
                <w:lang w:val="en-US"/>
              </w:rPr>
              <w:t xml:space="preserve"> </w:t>
            </w:r>
            <w:r w:rsidRPr="00491ADF">
              <w:rPr>
                <w:rFonts w:asciiTheme="minorHAnsi" w:hAnsiTheme="minorHAnsi" w:cstheme="minorHAnsi"/>
                <w:b/>
                <w:color w:val="2E74B5" w:themeColor="accent5" w:themeShade="BF"/>
                <w:sz w:val="22"/>
                <w:szCs w:val="22"/>
                <w:lang w:val="en-US"/>
              </w:rPr>
              <w:t xml:space="preserve">the issue of </w:t>
            </w:r>
            <w:proofErr w:type="spellStart"/>
            <w:r w:rsidRPr="00491ADF">
              <w:rPr>
                <w:rFonts w:asciiTheme="minorHAnsi" w:hAnsiTheme="minorHAnsi" w:cstheme="minorHAnsi"/>
                <w:b/>
                <w:color w:val="2E74B5" w:themeColor="accent5" w:themeShade="BF"/>
                <w:sz w:val="22"/>
                <w:szCs w:val="22"/>
                <w:lang w:val="en-US"/>
              </w:rPr>
              <w:t>rationalisation</w:t>
            </w:r>
            <w:proofErr w:type="spellEnd"/>
            <w:r w:rsidRPr="00491ADF">
              <w:rPr>
                <w:rFonts w:asciiTheme="minorHAnsi" w:hAnsiTheme="minorHAnsi" w:cstheme="minorHAnsi"/>
                <w:b/>
                <w:color w:val="2E74B5" w:themeColor="accent5" w:themeShade="BF"/>
                <w:sz w:val="22"/>
                <w:szCs w:val="22"/>
                <w:lang w:val="en-US"/>
              </w:rPr>
              <w:t xml:space="preserve"> from the Act and, in addition, </w:t>
            </w:r>
            <w:r w:rsidRPr="00491ADF">
              <w:rPr>
                <w:rFonts w:asciiTheme="minorHAnsi" w:hAnsiTheme="minorHAnsi" w:cstheme="minorHAnsi"/>
                <w:bCs w:val="0"/>
                <w:color w:val="2E74B5" w:themeColor="accent5" w:themeShade="BF"/>
                <w:sz w:val="22"/>
                <w:szCs w:val="22"/>
                <w:lang w:val="en-US"/>
              </w:rPr>
              <w:t>to remove the term</w:t>
            </w:r>
            <w:r w:rsidRPr="00491ADF">
              <w:rPr>
                <w:rFonts w:asciiTheme="minorHAnsi" w:hAnsiTheme="minorHAnsi" w:cstheme="minorHAnsi"/>
                <w:b/>
                <w:color w:val="2E74B5" w:themeColor="accent5" w:themeShade="BF"/>
                <w:sz w:val="22"/>
                <w:szCs w:val="22"/>
                <w:lang w:val="en-US"/>
              </w:rPr>
              <w:t xml:space="preserve"> </w:t>
            </w:r>
            <w:r w:rsidRPr="00491ADF">
              <w:rPr>
                <w:rFonts w:asciiTheme="minorHAnsi" w:hAnsiTheme="minorHAnsi" w:cstheme="minorHAnsi"/>
                <w:i/>
                <w:iCs/>
                <w:color w:val="2E74B5" w:themeColor="accent5" w:themeShade="BF"/>
                <w:sz w:val="22"/>
                <w:szCs w:val="22"/>
                <w:shd w:val="clear" w:color="auto" w:fill="E2EFD9" w:themeFill="accent6" w:themeFillTint="33"/>
                <w:lang w:val="en-US"/>
              </w:rPr>
              <w:t>"rationalization design"</w:t>
            </w:r>
            <w:r w:rsidRPr="00491ADF">
              <w:rPr>
                <w:rFonts w:asciiTheme="minorHAnsi" w:hAnsiTheme="minorHAnsi" w:cstheme="minorHAnsi"/>
                <w:bCs w:val="0"/>
                <w:color w:val="2E74B5" w:themeColor="accent5" w:themeShade="BF"/>
                <w:sz w:val="22"/>
                <w:szCs w:val="22"/>
                <w:lang w:val="en-US"/>
              </w:rPr>
              <w:t xml:space="preserve"> </w:t>
            </w:r>
            <w:r w:rsidRPr="00491ADF">
              <w:rPr>
                <w:rFonts w:asciiTheme="minorHAnsi" w:hAnsiTheme="minorHAnsi" w:cstheme="minorHAnsi"/>
                <w:b/>
                <w:color w:val="2E74B5" w:themeColor="accent5" w:themeShade="BF"/>
                <w:sz w:val="22"/>
                <w:szCs w:val="22"/>
                <w:lang w:val="en-US"/>
              </w:rPr>
              <w:t xml:space="preserve">from the definition of </w:t>
            </w:r>
            <w:r w:rsidRPr="00491ADF">
              <w:rPr>
                <w:rFonts w:asciiTheme="minorHAnsi" w:hAnsiTheme="minorHAnsi" w:cstheme="minorHAnsi"/>
                <w:b/>
                <w:i/>
                <w:iCs/>
                <w:color w:val="2E74B5" w:themeColor="accent5" w:themeShade="BF"/>
                <w:sz w:val="22"/>
                <w:szCs w:val="22"/>
                <w:lang w:val="en-US"/>
              </w:rPr>
              <w:t>"inventive designs"</w:t>
            </w:r>
            <w:r w:rsidRPr="00491ADF">
              <w:rPr>
                <w:rFonts w:asciiTheme="minorHAnsi" w:hAnsiTheme="minorHAnsi" w:cstheme="minorHAnsi"/>
                <w:bCs w:val="0"/>
                <w:color w:val="2E74B5" w:themeColor="accent5" w:themeShade="BF"/>
                <w:sz w:val="22"/>
                <w:szCs w:val="22"/>
                <w:lang w:val="en-US"/>
              </w:rPr>
              <w:t xml:space="preserve"> - which would be a step backwards in terms of </w:t>
            </w:r>
            <w:proofErr w:type="spellStart"/>
            <w:r w:rsidRPr="00491ADF">
              <w:rPr>
                <w:rFonts w:asciiTheme="minorHAnsi" w:hAnsiTheme="minorHAnsi" w:cstheme="minorHAnsi"/>
                <w:bCs w:val="0"/>
                <w:color w:val="2E74B5" w:themeColor="accent5" w:themeShade="BF"/>
                <w:sz w:val="22"/>
                <w:szCs w:val="22"/>
                <w:lang w:val="en-US"/>
              </w:rPr>
              <w:t>popularising</w:t>
            </w:r>
            <w:proofErr w:type="spellEnd"/>
            <w:r w:rsidRPr="00491ADF">
              <w:rPr>
                <w:rFonts w:asciiTheme="minorHAnsi" w:hAnsiTheme="minorHAnsi" w:cstheme="minorHAnsi"/>
                <w:bCs w:val="0"/>
                <w:color w:val="2E74B5" w:themeColor="accent5" w:themeShade="BF"/>
                <w:sz w:val="22"/>
                <w:szCs w:val="22"/>
                <w:lang w:val="en-US"/>
              </w:rPr>
              <w:t xml:space="preserve"> the idea of innovation among employees and </w:t>
            </w:r>
            <w:r w:rsidR="009719DA" w:rsidRPr="00491ADF">
              <w:rPr>
                <w:rFonts w:asciiTheme="minorHAnsi" w:hAnsiTheme="minorHAnsi" w:cstheme="minorHAnsi"/>
                <w:bCs w:val="0"/>
                <w:color w:val="2E74B5" w:themeColor="accent5" w:themeShade="BF"/>
                <w:sz w:val="22"/>
                <w:szCs w:val="22"/>
                <w:lang w:val="en-US"/>
              </w:rPr>
              <w:t xml:space="preserve">therefore </w:t>
            </w:r>
            <w:r w:rsidRPr="00491ADF">
              <w:rPr>
                <w:rFonts w:asciiTheme="minorHAnsi" w:hAnsiTheme="minorHAnsi" w:cstheme="minorHAnsi"/>
                <w:bCs w:val="0"/>
                <w:color w:val="2E74B5" w:themeColor="accent5" w:themeShade="BF"/>
                <w:sz w:val="22"/>
                <w:szCs w:val="22"/>
                <w:lang w:val="en-US"/>
              </w:rPr>
              <w:t>we believe would be detrimental to the national economy.</w:t>
            </w:r>
          </w:p>
          <w:p w14:paraId="5ADD71A8" w14:textId="77777777" w:rsidR="009719DA" w:rsidRPr="00491ADF" w:rsidRDefault="009719DA" w:rsidP="00967A11">
            <w:pPr>
              <w:pStyle w:val="USTustnpkodeksu"/>
              <w:spacing w:line="240" w:lineRule="auto"/>
              <w:ind w:firstLine="0"/>
              <w:rPr>
                <w:rFonts w:asciiTheme="minorHAnsi" w:hAnsiTheme="minorHAnsi" w:cstheme="minorHAnsi"/>
                <w:bCs w:val="0"/>
                <w:color w:val="2E74B5" w:themeColor="accent5" w:themeShade="BF"/>
                <w:sz w:val="10"/>
                <w:szCs w:val="10"/>
                <w:lang w:val="en-US"/>
              </w:rPr>
            </w:pPr>
          </w:p>
        </w:tc>
      </w:tr>
    </w:tbl>
    <w:p w14:paraId="42FBC35A" w14:textId="77777777" w:rsidR="00116E29" w:rsidRPr="005F0586" w:rsidRDefault="00116E29" w:rsidP="00116E29">
      <w:pPr>
        <w:spacing w:after="0" w:line="240" w:lineRule="auto"/>
        <w:rPr>
          <w:rFonts w:cstheme="minorHAnsi"/>
          <w:lang w:val="en-US"/>
        </w:rPr>
      </w:pPr>
    </w:p>
    <w:p w14:paraId="4F8232A1" w14:textId="77777777" w:rsidR="00116E29" w:rsidRPr="005F0586" w:rsidRDefault="00116E29" w:rsidP="00116E29">
      <w:pPr>
        <w:spacing w:after="0" w:line="240" w:lineRule="auto"/>
        <w:jc w:val="center"/>
        <w:rPr>
          <w:rFonts w:cstheme="minorHAnsi"/>
        </w:rPr>
      </w:pPr>
      <w:r w:rsidRPr="005F0586">
        <w:rPr>
          <w:rFonts w:cstheme="minorHAnsi"/>
        </w:rPr>
        <w:t>+++</w:t>
      </w:r>
    </w:p>
    <w:p w14:paraId="50DD29A6" w14:textId="77777777" w:rsidR="00116E29" w:rsidRPr="005F0586" w:rsidRDefault="00116E29" w:rsidP="00116E29">
      <w:pPr>
        <w:spacing w:after="0" w:line="240" w:lineRule="auto"/>
        <w:rPr>
          <w:rFonts w:cstheme="minorHAnsi"/>
        </w:rPr>
      </w:pPr>
    </w:p>
    <w:tbl>
      <w:tblPr>
        <w:tblStyle w:val="Tabela-Siatka"/>
        <w:tblW w:w="0" w:type="auto"/>
        <w:tblLook w:val="04A0" w:firstRow="1" w:lastRow="0" w:firstColumn="1" w:lastColumn="0" w:noHBand="0" w:noVBand="1"/>
      </w:tblPr>
      <w:tblGrid>
        <w:gridCol w:w="4611"/>
        <w:gridCol w:w="4445"/>
      </w:tblGrid>
      <w:tr w:rsidR="00116E29" w:rsidRPr="004D64A0" w14:paraId="7A46CFA2" w14:textId="77777777" w:rsidTr="00967A11">
        <w:tc>
          <w:tcPr>
            <w:tcW w:w="4611" w:type="dxa"/>
            <w:shd w:val="clear" w:color="auto" w:fill="F2F2F2" w:themeFill="background1" w:themeFillShade="F2"/>
          </w:tcPr>
          <w:p w14:paraId="4F939301" w14:textId="3ABD0AF1"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color w:val="2E74B5" w:themeColor="accent5" w:themeShade="BF"/>
                <w:sz w:val="22"/>
                <w:szCs w:val="22"/>
                <w:lang w:val="en-US"/>
              </w:rPr>
              <w:t>TODAY in the current Act o</w:t>
            </w:r>
            <w:r w:rsidR="000479F6" w:rsidRPr="00491ADF">
              <w:rPr>
                <w:rFonts w:asciiTheme="minorHAnsi" w:hAnsiTheme="minorHAnsi" w:cstheme="minorHAnsi"/>
                <w:b/>
                <w:color w:val="2E74B5" w:themeColor="accent5" w:themeShade="BF"/>
                <w:sz w:val="22"/>
                <w:szCs w:val="22"/>
                <w:lang w:val="en-US"/>
              </w:rPr>
              <w:t>n</w:t>
            </w:r>
            <w:r w:rsidRPr="00491ADF">
              <w:rPr>
                <w:rFonts w:asciiTheme="minorHAnsi" w:hAnsiTheme="minorHAnsi" w:cstheme="minorHAnsi"/>
                <w:b/>
                <w:color w:val="2E74B5" w:themeColor="accent5" w:themeShade="BF"/>
                <w:sz w:val="22"/>
                <w:szCs w:val="22"/>
                <w:lang w:val="en-US"/>
              </w:rPr>
              <w:t xml:space="preserve"> Industrial Property Law:</w:t>
            </w:r>
          </w:p>
        </w:tc>
        <w:tc>
          <w:tcPr>
            <w:tcW w:w="4445" w:type="dxa"/>
            <w:shd w:val="clear" w:color="auto" w:fill="F2F2F2" w:themeFill="background1" w:themeFillShade="F2"/>
          </w:tcPr>
          <w:p w14:paraId="6B7B7510" w14:textId="6589810F" w:rsidR="00116E29" w:rsidRPr="00491ADF" w:rsidRDefault="00116E29" w:rsidP="00967A11">
            <w:pPr>
              <w:jc w:val="center"/>
              <w:rPr>
                <w:rFonts w:asciiTheme="minorHAnsi" w:hAnsiTheme="minorHAnsi" w:cstheme="minorHAnsi"/>
                <w:b/>
                <w:color w:val="2E74B5" w:themeColor="accent5" w:themeShade="BF"/>
                <w:sz w:val="22"/>
                <w:szCs w:val="22"/>
                <w:lang w:val="en-US"/>
              </w:rPr>
            </w:pPr>
            <w:r w:rsidRPr="00491ADF">
              <w:rPr>
                <w:rFonts w:asciiTheme="minorHAnsi" w:hAnsiTheme="minorHAnsi" w:cstheme="minorHAnsi"/>
                <w:b/>
                <w:bCs/>
                <w:color w:val="2E74B5" w:themeColor="accent5" w:themeShade="BF"/>
                <w:sz w:val="22"/>
                <w:szCs w:val="22"/>
                <w:lang w:val="en-US"/>
              </w:rPr>
              <w:t>IT HAS BEEN PROPOSED by the drafter in the weak concept of the new Act o</w:t>
            </w:r>
            <w:r w:rsidR="000479F6" w:rsidRPr="00491ADF">
              <w:rPr>
                <w:rFonts w:asciiTheme="minorHAnsi" w:hAnsiTheme="minorHAnsi" w:cstheme="minorHAnsi"/>
                <w:b/>
                <w:bCs/>
                <w:color w:val="2E74B5" w:themeColor="accent5" w:themeShade="BF"/>
                <w:sz w:val="22"/>
                <w:szCs w:val="22"/>
                <w:lang w:val="en-US"/>
              </w:rPr>
              <w:t>n</w:t>
            </w:r>
            <w:r w:rsidRPr="00491ADF">
              <w:rPr>
                <w:rFonts w:asciiTheme="minorHAnsi" w:hAnsiTheme="minorHAnsi" w:cstheme="minorHAnsi"/>
                <w:b/>
                <w:bCs/>
                <w:color w:val="2E74B5" w:themeColor="accent5" w:themeShade="BF"/>
                <w:sz w:val="22"/>
                <w:szCs w:val="22"/>
                <w:lang w:val="en-US"/>
              </w:rPr>
              <w:t xml:space="preserve"> Industrial Property Law UD263:</w:t>
            </w:r>
          </w:p>
        </w:tc>
      </w:tr>
      <w:tr w:rsidR="00116E29" w:rsidRPr="005F0586" w14:paraId="51364C52" w14:textId="77777777" w:rsidTr="00967A11">
        <w:tc>
          <w:tcPr>
            <w:tcW w:w="4611" w:type="dxa"/>
          </w:tcPr>
          <w:p w14:paraId="09987E8E" w14:textId="77777777" w:rsidR="00116E29" w:rsidRPr="00E6739D" w:rsidRDefault="00116E29" w:rsidP="00967A11">
            <w:pPr>
              <w:pStyle w:val="USTustnpkodeksu"/>
              <w:spacing w:line="240" w:lineRule="auto"/>
              <w:ind w:firstLine="0"/>
              <w:rPr>
                <w:rFonts w:asciiTheme="minorHAnsi" w:hAnsiTheme="minorHAnsi" w:cstheme="minorHAnsi"/>
                <w:b/>
                <w:bCs w:val="0"/>
                <w:sz w:val="10"/>
                <w:szCs w:val="10"/>
                <w:lang w:val="en-US"/>
              </w:rPr>
            </w:pPr>
          </w:p>
          <w:p w14:paraId="3A3BB513" w14:textId="77777777" w:rsidR="00116E29" w:rsidRPr="005F0586" w:rsidRDefault="00116E29" w:rsidP="00967A11">
            <w:pPr>
              <w:pStyle w:val="USTustnpkodeksu"/>
              <w:spacing w:line="240" w:lineRule="auto"/>
              <w:ind w:firstLine="0"/>
              <w:rPr>
                <w:rFonts w:asciiTheme="minorHAnsi" w:hAnsiTheme="minorHAnsi" w:cstheme="minorHAnsi"/>
                <w:b/>
                <w:bCs w:val="0"/>
                <w:sz w:val="22"/>
                <w:szCs w:val="22"/>
              </w:rPr>
            </w:pPr>
            <w:r w:rsidRPr="005F0586">
              <w:rPr>
                <w:rFonts w:asciiTheme="minorHAnsi" w:hAnsiTheme="minorHAnsi" w:cstheme="minorHAnsi"/>
                <w:b/>
                <w:bCs w:val="0"/>
                <w:sz w:val="22"/>
                <w:szCs w:val="22"/>
              </w:rPr>
              <w:t>Art. 120 [Definicje]</w:t>
            </w:r>
          </w:p>
          <w:p w14:paraId="1F9E692E"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sz w:val="22"/>
                <w:szCs w:val="22"/>
              </w:rPr>
              <w:t xml:space="preserve">1. Znakiem towarowym może być </w:t>
            </w:r>
            <w:r w:rsidRPr="005F0586">
              <w:rPr>
                <w:rFonts w:asciiTheme="minorHAnsi" w:hAnsiTheme="minorHAnsi" w:cstheme="minorHAnsi"/>
                <w:sz w:val="22"/>
                <w:szCs w:val="22"/>
                <w:shd w:val="clear" w:color="auto" w:fill="FBE4D5" w:themeFill="accent2" w:themeFillTint="33"/>
              </w:rPr>
              <w:t xml:space="preserve">każde oznaczenie </w:t>
            </w:r>
            <w:r w:rsidRPr="005F0586">
              <w:rPr>
                <w:rFonts w:asciiTheme="minorHAnsi" w:hAnsiTheme="minorHAnsi" w:cstheme="minorHAnsi"/>
                <w:sz w:val="22"/>
                <w:szCs w:val="22"/>
              </w:rPr>
              <w:t xml:space="preserve">umożliwiające odróżnienie towarów </w:t>
            </w:r>
            <w:r w:rsidRPr="005F0586">
              <w:rPr>
                <w:rFonts w:asciiTheme="minorHAnsi" w:hAnsiTheme="minorHAnsi" w:cstheme="minorHAnsi"/>
                <w:sz w:val="22"/>
                <w:szCs w:val="22"/>
              </w:rPr>
              <w:lastRenderedPageBreak/>
              <w:t>jednego przedsiębiorstwa od towarów innego przedsiębiorstwa oraz możliwe do przedstawienia w rejestrze znaków towarowych w sposób pozwalający na ustalenie jednoznacznego i dokładnego przedmiotu udzielonej ochrony.</w:t>
            </w:r>
          </w:p>
          <w:p w14:paraId="1B35C3EF"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sz w:val="22"/>
                <w:szCs w:val="22"/>
              </w:rPr>
              <w:t xml:space="preserve">2. Znakiem towarowym, w rozumieniu ust. 1, może być w szczególności </w:t>
            </w:r>
            <w:r w:rsidRPr="005F0586">
              <w:rPr>
                <w:rFonts w:asciiTheme="minorHAnsi" w:hAnsiTheme="minorHAnsi" w:cstheme="minorHAnsi"/>
                <w:sz w:val="22"/>
                <w:szCs w:val="22"/>
                <w:shd w:val="clear" w:color="auto" w:fill="EDEDED" w:themeFill="accent3" w:themeFillTint="33"/>
              </w:rPr>
              <w:t>wyraz</w:t>
            </w:r>
            <w:r w:rsidRPr="005F0586">
              <w:rPr>
                <w:rFonts w:asciiTheme="minorHAnsi" w:hAnsiTheme="minorHAnsi" w:cstheme="minorHAnsi"/>
                <w:sz w:val="22"/>
                <w:szCs w:val="22"/>
              </w:rPr>
              <w:t xml:space="preserve">, włącznie z nazwiskiem, </w:t>
            </w:r>
            <w:r w:rsidRPr="005F0586">
              <w:rPr>
                <w:rFonts w:asciiTheme="minorHAnsi" w:hAnsiTheme="minorHAnsi" w:cstheme="minorHAnsi"/>
                <w:sz w:val="22"/>
                <w:szCs w:val="22"/>
                <w:shd w:val="clear" w:color="auto" w:fill="E2EFD9" w:themeFill="accent6" w:themeFillTint="33"/>
              </w:rPr>
              <w:t>rysunek</w:t>
            </w:r>
            <w:r w:rsidRPr="005F0586">
              <w:rPr>
                <w:rFonts w:asciiTheme="minorHAnsi" w:hAnsiTheme="minorHAnsi" w:cstheme="minorHAnsi"/>
                <w:sz w:val="22"/>
                <w:szCs w:val="22"/>
              </w:rPr>
              <w:t xml:space="preserve">, </w:t>
            </w:r>
            <w:r w:rsidRPr="005F0586">
              <w:rPr>
                <w:rFonts w:asciiTheme="minorHAnsi" w:hAnsiTheme="minorHAnsi" w:cstheme="minorHAnsi"/>
                <w:b/>
                <w:bCs w:val="0"/>
                <w:sz w:val="22"/>
                <w:szCs w:val="22"/>
              </w:rPr>
              <w:t>litera</w:t>
            </w:r>
            <w:r w:rsidRPr="005F0586">
              <w:rPr>
                <w:rFonts w:asciiTheme="minorHAnsi" w:hAnsiTheme="minorHAnsi" w:cstheme="minorHAnsi"/>
                <w:sz w:val="22"/>
                <w:szCs w:val="22"/>
              </w:rPr>
              <w:t xml:space="preserve">, </w:t>
            </w:r>
            <w:r w:rsidRPr="005F0586">
              <w:rPr>
                <w:rFonts w:asciiTheme="minorHAnsi" w:hAnsiTheme="minorHAnsi" w:cstheme="minorHAnsi"/>
                <w:sz w:val="22"/>
                <w:szCs w:val="22"/>
                <w:shd w:val="clear" w:color="auto" w:fill="D9E2F3" w:themeFill="accent1" w:themeFillTint="33"/>
              </w:rPr>
              <w:t>cyfra</w:t>
            </w:r>
            <w:r w:rsidRPr="005F0586">
              <w:rPr>
                <w:rFonts w:asciiTheme="minorHAnsi" w:hAnsiTheme="minorHAnsi" w:cstheme="minorHAnsi"/>
                <w:sz w:val="22"/>
                <w:szCs w:val="22"/>
              </w:rPr>
              <w:t>, kolor, forma przestrzenna, w tym kształt towaru lub opakowania, a także dźwięk.</w:t>
            </w:r>
          </w:p>
          <w:p w14:paraId="78AA6078"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p>
        </w:tc>
        <w:tc>
          <w:tcPr>
            <w:tcW w:w="4445" w:type="dxa"/>
          </w:tcPr>
          <w:p w14:paraId="3B43C1B9" w14:textId="77777777" w:rsidR="00116E29" w:rsidRPr="00276C31" w:rsidRDefault="00116E29" w:rsidP="00967A11">
            <w:pPr>
              <w:pStyle w:val="USTustnpkodeksu"/>
              <w:spacing w:line="240" w:lineRule="auto"/>
              <w:ind w:firstLine="0"/>
              <w:rPr>
                <w:rFonts w:asciiTheme="minorHAnsi" w:hAnsiTheme="minorHAnsi" w:cstheme="minorHAnsi"/>
                <w:b/>
                <w:bCs w:val="0"/>
                <w:sz w:val="4"/>
                <w:szCs w:val="4"/>
              </w:rPr>
            </w:pPr>
          </w:p>
          <w:p w14:paraId="2DE549EA" w14:textId="77777777" w:rsidR="00116E29" w:rsidRPr="00276C31" w:rsidRDefault="00116E29" w:rsidP="00967A11">
            <w:pPr>
              <w:pStyle w:val="USTustnpkodeksu"/>
              <w:spacing w:line="240" w:lineRule="auto"/>
              <w:ind w:firstLine="0"/>
              <w:rPr>
                <w:rFonts w:asciiTheme="minorHAnsi" w:hAnsiTheme="minorHAnsi" w:cstheme="minorHAnsi"/>
                <w:b/>
                <w:bCs w:val="0"/>
                <w:sz w:val="10"/>
                <w:szCs w:val="10"/>
              </w:rPr>
            </w:pPr>
          </w:p>
          <w:p w14:paraId="50516009" w14:textId="77777777" w:rsidR="00116E29" w:rsidRPr="005F0586" w:rsidRDefault="00116E29" w:rsidP="00967A11">
            <w:pPr>
              <w:pStyle w:val="USTustnpkodeksu"/>
              <w:spacing w:line="240" w:lineRule="auto"/>
              <w:ind w:firstLine="0"/>
              <w:rPr>
                <w:rFonts w:asciiTheme="minorHAnsi" w:hAnsiTheme="minorHAnsi" w:cstheme="minorHAnsi"/>
                <w:b/>
                <w:bCs w:val="0"/>
                <w:sz w:val="22"/>
                <w:szCs w:val="22"/>
              </w:rPr>
            </w:pPr>
            <w:r w:rsidRPr="005F0586">
              <w:rPr>
                <w:rFonts w:asciiTheme="minorHAnsi" w:hAnsiTheme="minorHAnsi" w:cstheme="minorHAnsi"/>
                <w:b/>
                <w:bCs w:val="0"/>
                <w:sz w:val="22"/>
                <w:szCs w:val="22"/>
              </w:rPr>
              <w:t xml:space="preserve">Art. 170. </w:t>
            </w:r>
          </w:p>
          <w:p w14:paraId="5CDE24CA"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5F0586">
              <w:rPr>
                <w:rFonts w:asciiTheme="minorHAnsi" w:hAnsiTheme="minorHAnsi" w:cstheme="minorHAnsi"/>
                <w:sz w:val="22"/>
                <w:szCs w:val="22"/>
              </w:rPr>
              <w:t xml:space="preserve">Znakiem towarowym może być </w:t>
            </w:r>
            <w:r w:rsidRPr="005F0586">
              <w:rPr>
                <w:rFonts w:asciiTheme="minorHAnsi" w:hAnsiTheme="minorHAnsi" w:cstheme="minorHAnsi"/>
                <w:sz w:val="22"/>
                <w:szCs w:val="22"/>
                <w:shd w:val="clear" w:color="auto" w:fill="FBE4D5" w:themeFill="accent2" w:themeFillTint="33"/>
              </w:rPr>
              <w:t>każde oznaczenie</w:t>
            </w:r>
            <w:r w:rsidRPr="005F0586">
              <w:rPr>
                <w:rFonts w:asciiTheme="minorHAnsi" w:hAnsiTheme="minorHAnsi" w:cstheme="minorHAnsi"/>
                <w:sz w:val="22"/>
                <w:szCs w:val="22"/>
              </w:rPr>
              <w:t xml:space="preserve">, w szczególności </w:t>
            </w:r>
            <w:r w:rsidRPr="005F0586">
              <w:rPr>
                <w:rFonts w:asciiTheme="minorHAnsi" w:hAnsiTheme="minorHAnsi" w:cstheme="minorHAnsi"/>
                <w:sz w:val="22"/>
                <w:szCs w:val="22"/>
                <w:shd w:val="clear" w:color="auto" w:fill="EDEDED" w:themeFill="accent3" w:themeFillTint="33"/>
              </w:rPr>
              <w:t>wyraz</w:t>
            </w:r>
            <w:r w:rsidRPr="005F0586">
              <w:rPr>
                <w:rFonts w:asciiTheme="minorHAnsi" w:hAnsiTheme="minorHAnsi" w:cstheme="minorHAnsi"/>
                <w:sz w:val="22"/>
                <w:szCs w:val="22"/>
              </w:rPr>
              <w:t xml:space="preserve">, włącznie z </w:t>
            </w:r>
            <w:r w:rsidRPr="005F0586">
              <w:rPr>
                <w:rFonts w:asciiTheme="minorHAnsi" w:hAnsiTheme="minorHAnsi" w:cstheme="minorHAnsi"/>
                <w:sz w:val="22"/>
                <w:szCs w:val="22"/>
              </w:rPr>
              <w:lastRenderedPageBreak/>
              <w:t xml:space="preserve">nazwiskiem, </w:t>
            </w:r>
            <w:r w:rsidRPr="005F0586">
              <w:rPr>
                <w:rFonts w:asciiTheme="minorHAnsi" w:hAnsiTheme="minorHAnsi" w:cstheme="minorHAnsi"/>
                <w:sz w:val="22"/>
                <w:szCs w:val="22"/>
                <w:shd w:val="clear" w:color="auto" w:fill="E2EFD9" w:themeFill="accent6" w:themeFillTint="33"/>
              </w:rPr>
              <w:t>rysunek</w:t>
            </w:r>
            <w:r w:rsidRPr="005F0586">
              <w:rPr>
                <w:rFonts w:asciiTheme="minorHAnsi" w:hAnsiTheme="minorHAnsi" w:cstheme="minorHAnsi"/>
                <w:sz w:val="22"/>
                <w:szCs w:val="22"/>
              </w:rPr>
              <w:t xml:space="preserve">, </w:t>
            </w:r>
            <w:r w:rsidRPr="005F0586">
              <w:rPr>
                <w:rFonts w:asciiTheme="minorHAnsi" w:hAnsiTheme="minorHAnsi" w:cstheme="minorHAnsi"/>
                <w:b/>
                <w:bCs w:val="0"/>
                <w:sz w:val="22"/>
                <w:szCs w:val="22"/>
              </w:rPr>
              <w:t>litera</w:t>
            </w:r>
            <w:r w:rsidRPr="005F0586">
              <w:rPr>
                <w:rFonts w:asciiTheme="minorHAnsi" w:hAnsiTheme="minorHAnsi" w:cstheme="minorHAnsi"/>
                <w:sz w:val="22"/>
                <w:szCs w:val="22"/>
              </w:rPr>
              <w:t xml:space="preserve">, </w:t>
            </w:r>
            <w:r w:rsidRPr="005F0586">
              <w:rPr>
                <w:rFonts w:asciiTheme="minorHAnsi" w:hAnsiTheme="minorHAnsi" w:cstheme="minorHAnsi"/>
                <w:sz w:val="22"/>
                <w:szCs w:val="22"/>
                <w:shd w:val="clear" w:color="auto" w:fill="D9E2F3" w:themeFill="accent1" w:themeFillTint="33"/>
              </w:rPr>
              <w:t>cyfra</w:t>
            </w:r>
            <w:r w:rsidRPr="005F0586">
              <w:rPr>
                <w:rFonts w:asciiTheme="minorHAnsi" w:hAnsiTheme="minorHAnsi" w:cstheme="minorHAnsi"/>
                <w:sz w:val="22"/>
                <w:szCs w:val="22"/>
              </w:rPr>
              <w:t>, kolor, forma przestrzenna, w tym kształt towaru lub opakowania, a także dźwięk, umożliwiające odróżnienie towarów lub usług jednego przedsiębiorcy od towarów lub usług innego przedsiębiorcy oraz możliwe do przedstawienia w rejestrze znaków towarowych w sposób pozwalający na ustalenie jednoznacznego i dokładnego przedmiotu udzielonej ochrony.</w:t>
            </w:r>
          </w:p>
        </w:tc>
      </w:tr>
      <w:tr w:rsidR="00116E29" w:rsidRPr="005F0586" w14:paraId="3FDF6B00" w14:textId="77777777" w:rsidTr="00967A11">
        <w:tc>
          <w:tcPr>
            <w:tcW w:w="9056" w:type="dxa"/>
            <w:gridSpan w:val="2"/>
            <w:shd w:val="clear" w:color="auto" w:fill="E7E6E6" w:themeFill="background2"/>
          </w:tcPr>
          <w:p w14:paraId="2B1AD80E" w14:textId="77777777" w:rsidR="00116E29" w:rsidRPr="005F0586" w:rsidRDefault="00116E29" w:rsidP="00967A11">
            <w:pPr>
              <w:pStyle w:val="USTustnpkodeksu"/>
              <w:spacing w:line="240" w:lineRule="auto"/>
              <w:ind w:firstLine="0"/>
              <w:rPr>
                <w:rFonts w:asciiTheme="minorHAnsi" w:hAnsiTheme="minorHAnsi" w:cstheme="minorHAnsi"/>
                <w:sz w:val="22"/>
                <w:szCs w:val="22"/>
              </w:rPr>
            </w:pPr>
            <w:r w:rsidRPr="00491ADF">
              <w:rPr>
                <w:rFonts w:asciiTheme="minorHAnsi" w:hAnsiTheme="minorHAnsi" w:cstheme="minorHAnsi"/>
                <w:b/>
                <w:color w:val="2E74B5" w:themeColor="accent5" w:themeShade="BF"/>
                <w:sz w:val="22"/>
                <w:szCs w:val="22"/>
              </w:rPr>
              <w:lastRenderedPageBreak/>
              <w:t>REMARKS:</w:t>
            </w:r>
          </w:p>
        </w:tc>
      </w:tr>
      <w:tr w:rsidR="00116E29" w:rsidRPr="004D64A0" w14:paraId="392F561C" w14:textId="77777777" w:rsidTr="00967A11">
        <w:tc>
          <w:tcPr>
            <w:tcW w:w="9056" w:type="dxa"/>
            <w:gridSpan w:val="2"/>
            <w:shd w:val="clear" w:color="auto" w:fill="FFFFFF" w:themeFill="background1"/>
          </w:tcPr>
          <w:p w14:paraId="7918B7A3" w14:textId="77777777" w:rsidR="00116E29" w:rsidRPr="005F0586" w:rsidRDefault="00116E29" w:rsidP="00967A11">
            <w:pPr>
              <w:pStyle w:val="USTustnpkodeksu"/>
              <w:spacing w:line="240" w:lineRule="auto"/>
              <w:ind w:firstLine="0"/>
              <w:rPr>
                <w:rFonts w:asciiTheme="minorHAnsi" w:hAnsiTheme="minorHAnsi" w:cstheme="minorHAnsi"/>
                <w:color w:val="000000"/>
                <w:sz w:val="10"/>
                <w:szCs w:val="10"/>
                <w:lang w:val="en-GB"/>
              </w:rPr>
            </w:pPr>
          </w:p>
          <w:p w14:paraId="4449E3D9"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Although the LEGISLATIVE IMPACT ASSESSMENT of the draft UD263 of the Act rightly notes: </w:t>
            </w:r>
          </w:p>
          <w:p w14:paraId="61B6CA94" w14:textId="5BBD781D" w:rsidR="00116E29" w:rsidRPr="00491ADF" w:rsidRDefault="00116E29" w:rsidP="00967A11">
            <w:pPr>
              <w:pStyle w:val="USTustnpkodeksu"/>
              <w:spacing w:line="240" w:lineRule="auto"/>
              <w:ind w:firstLine="0"/>
              <w:rPr>
                <w:rFonts w:asciiTheme="minorHAnsi" w:hAnsiTheme="minorHAnsi" w:cstheme="minorHAnsi"/>
                <w:b/>
                <w:bCs w:val="0"/>
                <w:i/>
                <w:iCs/>
                <w:color w:val="2E74B5" w:themeColor="accent5" w:themeShade="BF"/>
                <w:sz w:val="22"/>
                <w:szCs w:val="22"/>
                <w:lang w:val="en-US"/>
              </w:rPr>
            </w:pPr>
            <w:r w:rsidRPr="00491ADF">
              <w:rPr>
                <w:rFonts w:asciiTheme="minorHAnsi" w:hAnsiTheme="minorHAnsi" w:cstheme="minorHAnsi"/>
                <w:b/>
                <w:bCs w:val="0"/>
                <w:i/>
                <w:iCs/>
                <w:color w:val="2E74B5" w:themeColor="accent5" w:themeShade="BF"/>
                <w:sz w:val="22"/>
                <w:szCs w:val="22"/>
                <w:lang w:val="en-US"/>
              </w:rPr>
              <w:t xml:space="preserve">"On the basis of the provisions of the Act </w:t>
            </w:r>
            <w:r w:rsidR="009719DA" w:rsidRPr="00491ADF">
              <w:rPr>
                <w:rFonts w:asciiTheme="minorHAnsi" w:hAnsiTheme="minorHAnsi" w:cstheme="minorHAnsi"/>
                <w:b/>
                <w:bCs w:val="0"/>
                <w:i/>
                <w:iCs/>
                <w:color w:val="2E74B5" w:themeColor="accent5" w:themeShade="BF"/>
                <w:sz w:val="22"/>
                <w:szCs w:val="22"/>
                <w:lang w:val="en-US"/>
              </w:rPr>
              <w:t xml:space="preserve">on </w:t>
            </w:r>
            <w:r w:rsidRPr="00491ADF">
              <w:rPr>
                <w:rFonts w:asciiTheme="minorHAnsi" w:hAnsiTheme="minorHAnsi" w:cstheme="minorHAnsi"/>
                <w:b/>
                <w:bCs w:val="0"/>
                <w:i/>
                <w:iCs/>
                <w:color w:val="2E74B5" w:themeColor="accent5" w:themeShade="BF"/>
                <w:sz w:val="22"/>
                <w:szCs w:val="22"/>
                <w:lang w:val="en-US"/>
              </w:rPr>
              <w:t xml:space="preserve">Industrial Property Law, there are still areas where appropriate changes and further </w:t>
            </w:r>
            <w:proofErr w:type="spellStart"/>
            <w:r w:rsidRPr="00491ADF">
              <w:rPr>
                <w:rFonts w:asciiTheme="minorHAnsi" w:hAnsiTheme="minorHAnsi" w:cstheme="minorHAnsi"/>
                <w:b/>
                <w:bCs w:val="0"/>
                <w:i/>
                <w:iCs/>
                <w:color w:val="2E74B5" w:themeColor="accent5" w:themeShade="BF"/>
                <w:sz w:val="22"/>
                <w:szCs w:val="22"/>
                <w:lang w:val="en-US"/>
              </w:rPr>
              <w:t>harmonisation</w:t>
            </w:r>
            <w:proofErr w:type="spellEnd"/>
            <w:r w:rsidRPr="00491ADF">
              <w:rPr>
                <w:rFonts w:asciiTheme="minorHAnsi" w:hAnsiTheme="minorHAnsi" w:cstheme="minorHAnsi"/>
                <w:b/>
                <w:bCs w:val="0"/>
                <w:i/>
                <w:iCs/>
                <w:color w:val="2E74B5" w:themeColor="accent5" w:themeShade="BF"/>
                <w:sz w:val="22"/>
                <w:szCs w:val="22"/>
                <w:lang w:val="en-US"/>
              </w:rPr>
              <w:t xml:space="preserve"> with EU regulations could have a beneficial effect on competitiveness and economic growth."</w:t>
            </w:r>
          </w:p>
          <w:p w14:paraId="3C868C4C"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However, the draft </w:t>
            </w:r>
            <w:r w:rsidRPr="00491ADF">
              <w:rPr>
                <w:rFonts w:asciiTheme="minorHAnsi" w:hAnsiTheme="minorHAnsi" w:cstheme="minorHAnsi"/>
                <w:b/>
                <w:bCs w:val="0"/>
                <w:color w:val="2E74B5" w:themeColor="accent5" w:themeShade="BF"/>
                <w:sz w:val="22"/>
                <w:szCs w:val="22"/>
                <w:lang w:val="en-US"/>
              </w:rPr>
              <w:t>UD263</w:t>
            </w:r>
            <w:r w:rsidRPr="00491ADF">
              <w:rPr>
                <w:rFonts w:asciiTheme="minorHAnsi" w:hAnsiTheme="minorHAnsi" w:cstheme="minorHAnsi"/>
                <w:color w:val="2E74B5" w:themeColor="accent5" w:themeShade="BF"/>
                <w:sz w:val="22"/>
                <w:szCs w:val="22"/>
                <w:lang w:val="en-US"/>
              </w:rPr>
              <w:t xml:space="preserve"> proposes a repetition of a regulation that constitutes a </w:t>
            </w:r>
            <w:r w:rsidRPr="00491ADF">
              <w:rPr>
                <w:rFonts w:asciiTheme="minorHAnsi" w:hAnsiTheme="minorHAnsi" w:cstheme="minorHAnsi"/>
                <w:b/>
                <w:bCs w:val="0"/>
                <w:color w:val="2E74B5" w:themeColor="accent5" w:themeShade="BF"/>
                <w:sz w:val="22"/>
                <w:szCs w:val="22"/>
                <w:lang w:val="en-US"/>
              </w:rPr>
              <w:t>completely isolated</w:t>
            </w:r>
            <w:r w:rsidRPr="00491ADF">
              <w:rPr>
                <w:rFonts w:asciiTheme="minorHAnsi" w:hAnsiTheme="minorHAnsi" w:cstheme="minorHAnsi"/>
                <w:color w:val="2E74B5" w:themeColor="accent5" w:themeShade="BF"/>
                <w:sz w:val="22"/>
                <w:szCs w:val="22"/>
                <w:lang w:val="en-US"/>
              </w:rPr>
              <w:t xml:space="preserve"> - worldwide - </w:t>
            </w:r>
            <w:r w:rsidRPr="00491ADF">
              <w:rPr>
                <w:rFonts w:asciiTheme="minorHAnsi" w:hAnsiTheme="minorHAnsi" w:cstheme="minorHAnsi"/>
                <w:b/>
                <w:bCs w:val="0"/>
                <w:color w:val="2E74B5" w:themeColor="accent5" w:themeShade="BF"/>
                <w:sz w:val="22"/>
                <w:szCs w:val="22"/>
                <w:lang w:val="en-US"/>
              </w:rPr>
              <w:t>solution</w:t>
            </w:r>
            <w:r w:rsidRPr="00491ADF">
              <w:rPr>
                <w:rFonts w:asciiTheme="minorHAnsi" w:hAnsiTheme="minorHAnsi" w:cstheme="minorHAnsi"/>
                <w:color w:val="2E74B5" w:themeColor="accent5" w:themeShade="BF"/>
                <w:sz w:val="22"/>
                <w:szCs w:val="22"/>
                <w:lang w:val="en-US"/>
              </w:rPr>
              <w:t xml:space="preserve"> which is inconsistent with </w:t>
            </w:r>
            <w:r w:rsidRPr="00491ADF">
              <w:rPr>
                <w:rFonts w:asciiTheme="minorHAnsi" w:hAnsiTheme="minorHAnsi" w:cstheme="minorHAnsi"/>
                <w:b/>
                <w:bCs w:val="0"/>
                <w:color w:val="2E74B5" w:themeColor="accent5" w:themeShade="BF"/>
                <w:sz w:val="22"/>
                <w:szCs w:val="22"/>
                <w:lang w:val="en-US"/>
              </w:rPr>
              <w:t>Article 3 of Directive</w:t>
            </w:r>
            <w:r w:rsidRPr="00491ADF">
              <w:rPr>
                <w:rFonts w:asciiTheme="minorHAnsi" w:hAnsiTheme="minorHAnsi" w:cstheme="minorHAnsi"/>
                <w:color w:val="2E74B5" w:themeColor="accent5" w:themeShade="BF"/>
                <w:sz w:val="22"/>
                <w:szCs w:val="22"/>
                <w:lang w:val="en-US"/>
              </w:rPr>
              <w:t xml:space="preserve"> (EU) 2015/2436 of the European Parliament and of the Council of 16 December 2015 to approximate the laws of the Member States relating to </w:t>
            </w:r>
            <w:proofErr w:type="gramStart"/>
            <w:r w:rsidRPr="00491ADF">
              <w:rPr>
                <w:rFonts w:asciiTheme="minorHAnsi" w:hAnsiTheme="minorHAnsi" w:cstheme="minorHAnsi"/>
                <w:color w:val="2E74B5" w:themeColor="accent5" w:themeShade="BF"/>
                <w:sz w:val="22"/>
                <w:szCs w:val="22"/>
                <w:lang w:val="en-US"/>
              </w:rPr>
              <w:t>trade marks</w:t>
            </w:r>
            <w:proofErr w:type="gramEnd"/>
            <w:r w:rsidRPr="00491ADF">
              <w:rPr>
                <w:rFonts w:asciiTheme="minorHAnsi" w:hAnsiTheme="minorHAnsi" w:cstheme="minorHAnsi"/>
                <w:color w:val="2E74B5" w:themeColor="accent5" w:themeShade="BF"/>
                <w:sz w:val="22"/>
                <w:szCs w:val="22"/>
                <w:lang w:val="en-US"/>
              </w:rPr>
              <w:t xml:space="preserve">, which - under the Accession Treaty - </w:t>
            </w:r>
            <w:r w:rsidRPr="00491ADF">
              <w:rPr>
                <w:rFonts w:asciiTheme="minorHAnsi" w:hAnsiTheme="minorHAnsi" w:cstheme="minorHAnsi"/>
                <w:b/>
                <w:bCs w:val="0"/>
                <w:color w:val="2E74B5" w:themeColor="accent5" w:themeShade="BF"/>
                <w:sz w:val="22"/>
                <w:szCs w:val="22"/>
                <w:lang w:val="en-US"/>
              </w:rPr>
              <w:t>we remain obliged to implement</w:t>
            </w:r>
            <w:r w:rsidRPr="00491ADF">
              <w:rPr>
                <w:rFonts w:asciiTheme="minorHAnsi" w:hAnsiTheme="minorHAnsi" w:cstheme="minorHAnsi"/>
                <w:color w:val="2E74B5" w:themeColor="accent5" w:themeShade="BF"/>
                <w:sz w:val="22"/>
                <w:szCs w:val="22"/>
                <w:lang w:val="en-US"/>
              </w:rPr>
              <w:t>.</w:t>
            </w:r>
          </w:p>
          <w:p w14:paraId="10C1151B"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The regulation proposed to be repeated would also remain </w:t>
            </w:r>
            <w:r w:rsidRPr="00491ADF">
              <w:rPr>
                <w:rFonts w:asciiTheme="minorHAnsi" w:hAnsiTheme="minorHAnsi" w:cstheme="minorHAnsi"/>
                <w:b/>
                <w:bCs w:val="0"/>
                <w:color w:val="2E74B5" w:themeColor="accent5" w:themeShade="BF"/>
                <w:sz w:val="22"/>
                <w:szCs w:val="22"/>
                <w:lang w:val="en-US"/>
              </w:rPr>
              <w:t>contrary to Article 4 of Regulation</w:t>
            </w:r>
            <w:r w:rsidRPr="00491ADF">
              <w:rPr>
                <w:rFonts w:asciiTheme="minorHAnsi" w:hAnsiTheme="minorHAnsi" w:cstheme="minorHAnsi"/>
                <w:color w:val="2E74B5" w:themeColor="accent5" w:themeShade="BF"/>
                <w:sz w:val="22"/>
                <w:szCs w:val="22"/>
                <w:lang w:val="en-US"/>
              </w:rPr>
              <w:t xml:space="preserve"> (EU) 2017/1001 of the European Parliament and of the Council of 14 June 2017 on the European Union </w:t>
            </w:r>
            <w:proofErr w:type="gramStart"/>
            <w:r w:rsidRPr="00491ADF">
              <w:rPr>
                <w:rFonts w:asciiTheme="minorHAnsi" w:hAnsiTheme="minorHAnsi" w:cstheme="minorHAnsi"/>
                <w:color w:val="2E74B5" w:themeColor="accent5" w:themeShade="BF"/>
                <w:sz w:val="22"/>
                <w:szCs w:val="22"/>
                <w:lang w:val="en-US"/>
              </w:rPr>
              <w:t>trade mark</w:t>
            </w:r>
            <w:proofErr w:type="gramEnd"/>
            <w:r w:rsidRPr="00491ADF">
              <w:rPr>
                <w:rFonts w:asciiTheme="minorHAnsi" w:hAnsiTheme="minorHAnsi" w:cstheme="minorHAnsi"/>
                <w:color w:val="2E74B5" w:themeColor="accent5" w:themeShade="BF"/>
                <w:sz w:val="22"/>
                <w:szCs w:val="22"/>
                <w:lang w:val="en-US"/>
              </w:rPr>
              <w:t>.</w:t>
            </w:r>
          </w:p>
          <w:p w14:paraId="5A5369F3" w14:textId="77777777" w:rsidR="00116E29" w:rsidRPr="005F0586" w:rsidRDefault="00116E29" w:rsidP="00967A11">
            <w:pPr>
              <w:pStyle w:val="USTustnpkodeksu"/>
              <w:spacing w:line="240" w:lineRule="auto"/>
              <w:ind w:firstLine="0"/>
              <w:rPr>
                <w:rFonts w:asciiTheme="minorHAnsi" w:hAnsiTheme="minorHAnsi" w:cstheme="minorHAnsi"/>
                <w:sz w:val="10"/>
                <w:szCs w:val="10"/>
                <w:lang w:val="en-US"/>
              </w:rPr>
            </w:pPr>
          </w:p>
          <w:p w14:paraId="4D147182"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The content of the international law instruments cited here is unambiguous:</w:t>
            </w:r>
          </w:p>
          <w:p w14:paraId="24536716"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2EA68F2F"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 xml:space="preserve">Article 3 of Directive (EU) 2015/2436 of the European Parliament and of the Council </w:t>
            </w:r>
          </w:p>
          <w:p w14:paraId="46CFCFE5"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 xml:space="preserve">Signs of which a </w:t>
            </w:r>
            <w:proofErr w:type="gramStart"/>
            <w:r w:rsidRPr="00491ADF">
              <w:rPr>
                <w:rFonts w:asciiTheme="minorHAnsi" w:hAnsiTheme="minorHAnsi" w:cstheme="minorHAnsi"/>
                <w:i/>
                <w:color w:val="2E74B5" w:themeColor="accent5" w:themeShade="BF"/>
                <w:sz w:val="22"/>
                <w:szCs w:val="22"/>
                <w:lang w:val="en-US"/>
              </w:rPr>
              <w:t>trade mark</w:t>
            </w:r>
            <w:proofErr w:type="gramEnd"/>
            <w:r w:rsidRPr="00491ADF">
              <w:rPr>
                <w:rFonts w:asciiTheme="minorHAnsi" w:hAnsiTheme="minorHAnsi" w:cstheme="minorHAnsi"/>
                <w:i/>
                <w:color w:val="2E74B5" w:themeColor="accent5" w:themeShade="BF"/>
                <w:sz w:val="22"/>
                <w:szCs w:val="22"/>
                <w:lang w:val="en-US"/>
              </w:rPr>
              <w:t xml:space="preserve"> may consist</w:t>
            </w:r>
          </w:p>
          <w:p w14:paraId="2D676B85"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 xml:space="preserve">A </w:t>
            </w:r>
            <w:proofErr w:type="gramStart"/>
            <w:r w:rsidRPr="00491ADF">
              <w:rPr>
                <w:rFonts w:asciiTheme="minorHAnsi" w:hAnsiTheme="minorHAnsi" w:cstheme="minorHAnsi"/>
                <w:i/>
                <w:color w:val="2E74B5" w:themeColor="accent5" w:themeShade="BF"/>
                <w:sz w:val="22"/>
                <w:szCs w:val="22"/>
                <w:lang w:val="en-US"/>
              </w:rPr>
              <w:t>trade mark</w:t>
            </w:r>
            <w:proofErr w:type="gramEnd"/>
            <w:r w:rsidRPr="00491ADF">
              <w:rPr>
                <w:rFonts w:asciiTheme="minorHAnsi" w:hAnsiTheme="minorHAnsi" w:cstheme="minorHAnsi"/>
                <w:i/>
                <w:color w:val="2E74B5" w:themeColor="accent5" w:themeShade="BF"/>
                <w:sz w:val="22"/>
                <w:szCs w:val="22"/>
                <w:lang w:val="en-US"/>
              </w:rPr>
              <w:t xml:space="preserve"> may consist of any signs, in particular words, including personal names, or designs, letters, numerals, </w:t>
            </w:r>
            <w:proofErr w:type="spellStart"/>
            <w:r w:rsidRPr="00491ADF">
              <w:rPr>
                <w:rFonts w:asciiTheme="minorHAnsi" w:hAnsiTheme="minorHAnsi" w:cstheme="minorHAnsi"/>
                <w:i/>
                <w:color w:val="2E74B5" w:themeColor="accent5" w:themeShade="BF"/>
                <w:sz w:val="22"/>
                <w:szCs w:val="22"/>
                <w:lang w:val="en-US"/>
              </w:rPr>
              <w:t>colours</w:t>
            </w:r>
            <w:proofErr w:type="spellEnd"/>
            <w:r w:rsidRPr="00491ADF">
              <w:rPr>
                <w:rFonts w:asciiTheme="minorHAnsi" w:hAnsiTheme="minorHAnsi" w:cstheme="minorHAnsi"/>
                <w:i/>
                <w:color w:val="2E74B5" w:themeColor="accent5" w:themeShade="BF"/>
                <w:sz w:val="22"/>
                <w:szCs w:val="22"/>
                <w:lang w:val="en-US"/>
              </w:rPr>
              <w:t>, the shape of goods or of the packaging of goods, or sounds, provided that such signs are capable of:</w:t>
            </w:r>
          </w:p>
          <w:p w14:paraId="7394934C"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(a) distinguishing the goods or services of one undertaking from those of other undertakings; and</w:t>
            </w:r>
          </w:p>
          <w:p w14:paraId="25E3BD7A"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(b) being represented on the register in a manner which enables the competent authorities and the public to determine the clear and precise subject matter of the protection afforded to its proprietor.</w:t>
            </w:r>
          </w:p>
          <w:p w14:paraId="2CE8B655"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10"/>
                <w:szCs w:val="10"/>
                <w:lang w:val="en-US"/>
              </w:rPr>
            </w:pPr>
          </w:p>
          <w:p w14:paraId="76A79984"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Article 4 of Regulation (EU) 2017/1001 of the European Parliament and of the Council</w:t>
            </w:r>
          </w:p>
          <w:p w14:paraId="16B95777"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 xml:space="preserve">Signs of which an EU </w:t>
            </w:r>
            <w:proofErr w:type="gramStart"/>
            <w:r w:rsidRPr="00491ADF">
              <w:rPr>
                <w:rFonts w:asciiTheme="minorHAnsi" w:hAnsiTheme="minorHAnsi" w:cstheme="minorHAnsi"/>
                <w:i/>
                <w:color w:val="2E74B5" w:themeColor="accent5" w:themeShade="BF"/>
                <w:sz w:val="22"/>
                <w:szCs w:val="22"/>
                <w:lang w:val="en-US"/>
              </w:rPr>
              <w:t>trade mark</w:t>
            </w:r>
            <w:proofErr w:type="gramEnd"/>
            <w:r w:rsidRPr="00491ADF">
              <w:rPr>
                <w:rFonts w:asciiTheme="minorHAnsi" w:hAnsiTheme="minorHAnsi" w:cstheme="minorHAnsi"/>
                <w:i/>
                <w:color w:val="2E74B5" w:themeColor="accent5" w:themeShade="BF"/>
                <w:sz w:val="22"/>
                <w:szCs w:val="22"/>
                <w:lang w:val="en-US"/>
              </w:rPr>
              <w:t xml:space="preserve"> may consist</w:t>
            </w:r>
          </w:p>
          <w:p w14:paraId="5F5D231B"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 xml:space="preserve">An EU </w:t>
            </w:r>
            <w:proofErr w:type="gramStart"/>
            <w:r w:rsidRPr="00491ADF">
              <w:rPr>
                <w:rFonts w:asciiTheme="minorHAnsi" w:hAnsiTheme="minorHAnsi" w:cstheme="minorHAnsi"/>
                <w:i/>
                <w:color w:val="2E74B5" w:themeColor="accent5" w:themeShade="BF"/>
                <w:sz w:val="22"/>
                <w:szCs w:val="22"/>
                <w:lang w:val="en-US"/>
              </w:rPr>
              <w:t>trade mark</w:t>
            </w:r>
            <w:proofErr w:type="gramEnd"/>
            <w:r w:rsidRPr="00491ADF">
              <w:rPr>
                <w:rFonts w:asciiTheme="minorHAnsi" w:hAnsiTheme="minorHAnsi" w:cstheme="minorHAnsi"/>
                <w:i/>
                <w:color w:val="2E74B5" w:themeColor="accent5" w:themeShade="BF"/>
                <w:sz w:val="22"/>
                <w:szCs w:val="22"/>
                <w:lang w:val="en-US"/>
              </w:rPr>
              <w:t xml:space="preserve"> may consist of any signs, in particular words, including personal names, or designs, letters, numerals, </w:t>
            </w:r>
            <w:proofErr w:type="spellStart"/>
            <w:r w:rsidRPr="00491ADF">
              <w:rPr>
                <w:rFonts w:asciiTheme="minorHAnsi" w:hAnsiTheme="minorHAnsi" w:cstheme="minorHAnsi"/>
                <w:i/>
                <w:color w:val="2E74B5" w:themeColor="accent5" w:themeShade="BF"/>
                <w:sz w:val="22"/>
                <w:szCs w:val="22"/>
                <w:lang w:val="en-US"/>
              </w:rPr>
              <w:t>colours</w:t>
            </w:r>
            <w:proofErr w:type="spellEnd"/>
            <w:r w:rsidRPr="00491ADF">
              <w:rPr>
                <w:rFonts w:asciiTheme="minorHAnsi" w:hAnsiTheme="minorHAnsi" w:cstheme="minorHAnsi"/>
                <w:i/>
                <w:color w:val="2E74B5" w:themeColor="accent5" w:themeShade="BF"/>
                <w:sz w:val="22"/>
                <w:szCs w:val="22"/>
                <w:lang w:val="en-US"/>
              </w:rPr>
              <w:t>, the shape of goods or of the packaging of goods, or sounds, provided that such signs are capable of:</w:t>
            </w:r>
          </w:p>
          <w:p w14:paraId="1318A977"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(a) distinguishing the goods or services of one undertaking from those of other undertakings; and</w:t>
            </w:r>
          </w:p>
          <w:p w14:paraId="3429E7DD" w14:textId="77777777" w:rsidR="00116E29" w:rsidRPr="00491ADF" w:rsidRDefault="00116E29" w:rsidP="00967A11">
            <w:pPr>
              <w:pStyle w:val="USTustnpkodeksu"/>
              <w:spacing w:line="240" w:lineRule="auto"/>
              <w:ind w:firstLine="0"/>
              <w:rPr>
                <w:rFonts w:asciiTheme="minorHAnsi" w:hAnsiTheme="minorHAnsi" w:cstheme="minorHAnsi"/>
                <w:i/>
                <w:color w:val="2E74B5" w:themeColor="accent5" w:themeShade="BF"/>
                <w:sz w:val="22"/>
                <w:szCs w:val="22"/>
                <w:lang w:val="en-US"/>
              </w:rPr>
            </w:pPr>
            <w:r w:rsidRPr="00491ADF">
              <w:rPr>
                <w:rFonts w:asciiTheme="minorHAnsi" w:hAnsiTheme="minorHAnsi" w:cstheme="minorHAnsi"/>
                <w:i/>
                <w:color w:val="2E74B5" w:themeColor="accent5" w:themeShade="BF"/>
                <w:sz w:val="22"/>
                <w:szCs w:val="22"/>
                <w:lang w:val="en-US"/>
              </w:rPr>
              <w:t xml:space="preserve">(b) being represented on the Register of European Union </w:t>
            </w:r>
            <w:proofErr w:type="gramStart"/>
            <w:r w:rsidRPr="00491ADF">
              <w:rPr>
                <w:rFonts w:asciiTheme="minorHAnsi" w:hAnsiTheme="minorHAnsi" w:cstheme="minorHAnsi"/>
                <w:i/>
                <w:color w:val="2E74B5" w:themeColor="accent5" w:themeShade="BF"/>
                <w:sz w:val="22"/>
                <w:szCs w:val="22"/>
                <w:lang w:val="en-US"/>
              </w:rPr>
              <w:t>trade marks</w:t>
            </w:r>
            <w:proofErr w:type="gramEnd"/>
            <w:r w:rsidRPr="00491ADF">
              <w:rPr>
                <w:rFonts w:asciiTheme="minorHAnsi" w:hAnsiTheme="minorHAnsi" w:cstheme="minorHAnsi"/>
                <w:i/>
                <w:color w:val="2E74B5" w:themeColor="accent5" w:themeShade="BF"/>
                <w:sz w:val="22"/>
                <w:szCs w:val="22"/>
                <w:lang w:val="en-US"/>
              </w:rPr>
              <w:t xml:space="preserve"> (‘the Register’), in a manner which enables the competent authorities and the public to determine the clear and precise subject matter of the protection afforded to its proprietor.</w:t>
            </w:r>
          </w:p>
          <w:p w14:paraId="46B0D483"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08D58D85" w14:textId="77777777" w:rsidR="00116E29" w:rsidRPr="00491ADF" w:rsidRDefault="00116E29" w:rsidP="00967A11">
            <w:pPr>
              <w:pStyle w:val="USTustnpkodeksu"/>
              <w:spacing w:line="240" w:lineRule="auto"/>
              <w:ind w:firstLine="0"/>
              <w:rPr>
                <w:rFonts w:asciiTheme="minorHAnsi" w:hAnsiTheme="minorHAnsi" w:cstheme="minorHAnsi"/>
                <w:b/>
                <w:bCs w:val="0"/>
                <w:color w:val="2E74B5" w:themeColor="accent5" w:themeShade="BF"/>
                <w:sz w:val="22"/>
                <w:szCs w:val="22"/>
                <w:lang w:val="en-US"/>
              </w:rPr>
            </w:pPr>
            <w:r w:rsidRPr="00491ADF">
              <w:rPr>
                <w:rFonts w:asciiTheme="minorHAnsi" w:hAnsiTheme="minorHAnsi" w:cstheme="minorHAnsi"/>
                <w:b/>
                <w:bCs w:val="0"/>
                <w:color w:val="2E74B5" w:themeColor="accent5" w:themeShade="BF"/>
                <w:sz w:val="22"/>
                <w:szCs w:val="22"/>
                <w:lang w:val="en-US"/>
              </w:rPr>
              <w:t>The mistake of using the singular has already been made in the Polish Act. The submitted draft does not remove this flaw and proposes to maintain the existing discrepancy not only with EU law.</w:t>
            </w:r>
          </w:p>
          <w:p w14:paraId="03A2D853" w14:textId="77777777" w:rsidR="00116E29" w:rsidRPr="005F0586" w:rsidRDefault="00116E29" w:rsidP="00967A11">
            <w:pPr>
              <w:pStyle w:val="USTustnpkodeksu"/>
              <w:spacing w:line="240" w:lineRule="auto"/>
              <w:ind w:firstLine="0"/>
              <w:rPr>
                <w:rFonts w:asciiTheme="minorHAnsi" w:hAnsiTheme="minorHAnsi" w:cstheme="minorHAnsi"/>
                <w:color w:val="000000"/>
                <w:sz w:val="10"/>
                <w:szCs w:val="10"/>
                <w:lang w:val="en-US"/>
              </w:rPr>
            </w:pPr>
          </w:p>
          <w:p w14:paraId="195193B0"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It is worth recalling once again, the draft proposes to retain the existing, flawed definition of </w:t>
            </w:r>
            <w:r w:rsidRPr="00491ADF">
              <w:rPr>
                <w:rFonts w:asciiTheme="minorHAnsi" w:hAnsiTheme="minorHAnsi" w:cstheme="minorHAnsi"/>
                <w:i/>
                <w:iCs/>
                <w:color w:val="2E74B5" w:themeColor="accent5" w:themeShade="BF"/>
                <w:sz w:val="22"/>
                <w:szCs w:val="22"/>
                <w:lang w:val="en-US"/>
              </w:rPr>
              <w:t>'</w:t>
            </w:r>
            <w:proofErr w:type="gramStart"/>
            <w:r w:rsidRPr="00491ADF">
              <w:rPr>
                <w:rFonts w:asciiTheme="minorHAnsi" w:hAnsiTheme="minorHAnsi" w:cstheme="minorHAnsi"/>
                <w:i/>
                <w:iCs/>
                <w:color w:val="2E74B5" w:themeColor="accent5" w:themeShade="BF"/>
                <w:sz w:val="22"/>
                <w:szCs w:val="22"/>
                <w:lang w:val="en-US"/>
              </w:rPr>
              <w:t>trade mark</w:t>
            </w:r>
            <w:proofErr w:type="gramEnd"/>
            <w:r w:rsidRPr="00491ADF">
              <w:rPr>
                <w:rFonts w:asciiTheme="minorHAnsi" w:hAnsiTheme="minorHAnsi" w:cstheme="minorHAnsi"/>
                <w:i/>
                <w:iCs/>
                <w:color w:val="2E74B5" w:themeColor="accent5" w:themeShade="BF"/>
                <w:sz w:val="22"/>
                <w:szCs w:val="22"/>
                <w:lang w:val="en-US"/>
              </w:rPr>
              <w:t>'</w:t>
            </w:r>
            <w:r w:rsidRPr="00491ADF">
              <w:rPr>
                <w:rFonts w:asciiTheme="minorHAnsi" w:hAnsiTheme="minorHAnsi" w:cstheme="minorHAnsi"/>
                <w:color w:val="2E74B5" w:themeColor="accent5" w:themeShade="BF"/>
                <w:sz w:val="22"/>
                <w:szCs w:val="22"/>
                <w:lang w:val="en-US"/>
              </w:rPr>
              <w:t xml:space="preserve">. Well, since it could be </w:t>
            </w:r>
            <w:r w:rsidRPr="00491ADF">
              <w:rPr>
                <w:rFonts w:asciiTheme="minorHAnsi" w:hAnsiTheme="minorHAnsi" w:cstheme="minorHAnsi"/>
                <w:i/>
                <w:iCs/>
                <w:color w:val="2E74B5" w:themeColor="accent5" w:themeShade="BF"/>
                <w:sz w:val="22"/>
                <w:szCs w:val="22"/>
                <w:lang w:val="en-US"/>
              </w:rPr>
              <w:t>"</w:t>
            </w:r>
            <w:r w:rsidRPr="00491ADF">
              <w:rPr>
                <w:rFonts w:asciiTheme="minorHAnsi" w:hAnsiTheme="minorHAnsi" w:cstheme="minorHAnsi"/>
                <w:i/>
                <w:iCs/>
                <w:color w:val="2E74B5" w:themeColor="accent5" w:themeShade="BF"/>
                <w:sz w:val="22"/>
                <w:szCs w:val="22"/>
                <w:shd w:val="clear" w:color="auto" w:fill="FBE4D5" w:themeFill="accent2" w:themeFillTint="33"/>
                <w:lang w:val="en-US"/>
              </w:rPr>
              <w:t>any marking</w:t>
            </w:r>
            <w:r w:rsidRPr="00491ADF">
              <w:rPr>
                <w:rFonts w:asciiTheme="minorHAnsi" w:hAnsiTheme="minorHAnsi" w:cstheme="minorHAnsi"/>
                <w:i/>
                <w:iCs/>
                <w:color w:val="2E74B5" w:themeColor="accent5" w:themeShade="BF"/>
                <w:sz w:val="22"/>
                <w:szCs w:val="22"/>
                <w:lang w:val="en-US"/>
              </w:rPr>
              <w:t xml:space="preserve">, in particular a </w:t>
            </w:r>
            <w:r w:rsidRPr="00491ADF">
              <w:rPr>
                <w:rFonts w:asciiTheme="minorHAnsi" w:hAnsiTheme="minorHAnsi" w:cstheme="minorHAnsi"/>
                <w:i/>
                <w:iCs/>
                <w:color w:val="2E74B5" w:themeColor="accent5" w:themeShade="BF"/>
                <w:sz w:val="22"/>
                <w:szCs w:val="22"/>
                <w:shd w:val="clear" w:color="auto" w:fill="EDEDED" w:themeFill="accent3" w:themeFillTint="33"/>
                <w:lang w:val="en-US"/>
              </w:rPr>
              <w:t>word</w:t>
            </w:r>
            <w:r w:rsidRPr="00491ADF">
              <w:rPr>
                <w:rFonts w:asciiTheme="minorHAnsi" w:hAnsiTheme="minorHAnsi" w:cstheme="minorHAnsi"/>
                <w:i/>
                <w:iCs/>
                <w:color w:val="2E74B5" w:themeColor="accent5" w:themeShade="BF"/>
                <w:sz w:val="22"/>
                <w:szCs w:val="22"/>
                <w:lang w:val="en-US"/>
              </w:rPr>
              <w:t xml:space="preserve">, including a surname, </w:t>
            </w:r>
            <w:r w:rsidRPr="00491ADF">
              <w:rPr>
                <w:rFonts w:asciiTheme="minorHAnsi" w:hAnsiTheme="minorHAnsi" w:cstheme="minorHAnsi"/>
                <w:i/>
                <w:iCs/>
                <w:color w:val="2E74B5" w:themeColor="accent5" w:themeShade="BF"/>
                <w:sz w:val="22"/>
                <w:szCs w:val="22"/>
                <w:shd w:val="clear" w:color="auto" w:fill="E2EFD9" w:themeFill="accent6" w:themeFillTint="33"/>
                <w:lang w:val="en-US"/>
              </w:rPr>
              <w:t>a drawing</w:t>
            </w:r>
            <w:r w:rsidRPr="00491ADF">
              <w:rPr>
                <w:rFonts w:asciiTheme="minorHAnsi" w:hAnsiTheme="minorHAnsi" w:cstheme="minorHAnsi"/>
                <w:i/>
                <w:iCs/>
                <w:color w:val="2E74B5" w:themeColor="accent5" w:themeShade="BF"/>
                <w:sz w:val="22"/>
                <w:szCs w:val="22"/>
                <w:lang w:val="en-US"/>
              </w:rPr>
              <w:t xml:space="preserve">, a </w:t>
            </w:r>
            <w:r w:rsidRPr="00491ADF">
              <w:rPr>
                <w:rFonts w:asciiTheme="minorHAnsi" w:hAnsiTheme="minorHAnsi" w:cstheme="minorHAnsi"/>
                <w:b/>
                <w:bCs w:val="0"/>
                <w:i/>
                <w:iCs/>
                <w:color w:val="2E74B5" w:themeColor="accent5" w:themeShade="BF"/>
                <w:sz w:val="22"/>
                <w:szCs w:val="22"/>
                <w:lang w:val="en-US"/>
              </w:rPr>
              <w:t>letter</w:t>
            </w:r>
            <w:r w:rsidRPr="00491ADF">
              <w:rPr>
                <w:rFonts w:asciiTheme="minorHAnsi" w:hAnsiTheme="minorHAnsi" w:cstheme="minorHAnsi"/>
                <w:i/>
                <w:iCs/>
                <w:color w:val="2E74B5" w:themeColor="accent5" w:themeShade="BF"/>
                <w:sz w:val="22"/>
                <w:szCs w:val="22"/>
                <w:lang w:val="en-US"/>
              </w:rPr>
              <w:t xml:space="preserve">, </w:t>
            </w:r>
            <w:r w:rsidRPr="00491ADF">
              <w:rPr>
                <w:rFonts w:asciiTheme="minorHAnsi" w:hAnsiTheme="minorHAnsi" w:cstheme="minorHAnsi"/>
                <w:i/>
                <w:iCs/>
                <w:color w:val="2E74B5" w:themeColor="accent5" w:themeShade="BF"/>
                <w:sz w:val="22"/>
                <w:szCs w:val="22"/>
                <w:shd w:val="clear" w:color="auto" w:fill="D9E2F3" w:themeFill="accent1" w:themeFillTint="33"/>
                <w:lang w:val="en-US"/>
              </w:rPr>
              <w:t>a digit</w:t>
            </w:r>
            <w:r w:rsidRPr="00491ADF">
              <w:rPr>
                <w:rFonts w:asciiTheme="minorHAnsi" w:hAnsiTheme="minorHAnsi" w:cstheme="minorHAnsi"/>
                <w:i/>
                <w:iCs/>
                <w:color w:val="2E74B5" w:themeColor="accent5" w:themeShade="BF"/>
                <w:sz w:val="22"/>
                <w:szCs w:val="22"/>
                <w:lang w:val="en-US"/>
              </w:rPr>
              <w:t xml:space="preserve">, a </w:t>
            </w:r>
            <w:proofErr w:type="spellStart"/>
            <w:r w:rsidRPr="00491ADF">
              <w:rPr>
                <w:rFonts w:asciiTheme="minorHAnsi" w:hAnsiTheme="minorHAnsi" w:cstheme="minorHAnsi"/>
                <w:i/>
                <w:iCs/>
                <w:color w:val="2E74B5" w:themeColor="accent5" w:themeShade="BF"/>
                <w:sz w:val="22"/>
                <w:szCs w:val="22"/>
                <w:lang w:val="en-US"/>
              </w:rPr>
              <w:t>colour</w:t>
            </w:r>
            <w:proofErr w:type="spellEnd"/>
            <w:r w:rsidRPr="00491ADF">
              <w:rPr>
                <w:rFonts w:asciiTheme="minorHAnsi" w:hAnsiTheme="minorHAnsi" w:cstheme="minorHAnsi"/>
                <w:i/>
                <w:iCs/>
                <w:color w:val="2E74B5" w:themeColor="accent5" w:themeShade="BF"/>
                <w:sz w:val="22"/>
                <w:szCs w:val="22"/>
                <w:lang w:val="en-US"/>
              </w:rPr>
              <w:t>",</w:t>
            </w:r>
            <w:r w:rsidRPr="00491ADF">
              <w:rPr>
                <w:rFonts w:asciiTheme="minorHAnsi" w:hAnsiTheme="minorHAnsi" w:cstheme="minorHAnsi"/>
                <w:color w:val="2E74B5" w:themeColor="accent5" w:themeShade="BF"/>
                <w:sz w:val="22"/>
                <w:szCs w:val="22"/>
                <w:lang w:val="en-US"/>
              </w:rPr>
              <w:t xml:space="preserve"> the absurd situation in which the Patent Office would still not be able to </w:t>
            </w:r>
            <w:r w:rsidRPr="00491ADF">
              <w:rPr>
                <w:rFonts w:asciiTheme="minorHAnsi" w:hAnsiTheme="minorHAnsi" w:cstheme="minorHAnsi"/>
                <w:color w:val="2E74B5" w:themeColor="accent5" w:themeShade="BF"/>
                <w:sz w:val="22"/>
                <w:szCs w:val="22"/>
                <w:lang w:val="en-US"/>
              </w:rPr>
              <w:lastRenderedPageBreak/>
              <w:t xml:space="preserve">explain why it registers </w:t>
            </w:r>
            <w:proofErr w:type="spellStart"/>
            <w:proofErr w:type="gramStart"/>
            <w:r w:rsidRPr="00491ADF">
              <w:rPr>
                <w:rFonts w:asciiTheme="minorHAnsi" w:hAnsiTheme="minorHAnsi" w:cstheme="minorHAnsi"/>
                <w:color w:val="2E74B5" w:themeColor="accent5" w:themeShade="BF"/>
                <w:sz w:val="22"/>
                <w:szCs w:val="22"/>
                <w:lang w:val="en-US"/>
              </w:rPr>
              <w:t>trade marks</w:t>
            </w:r>
            <w:proofErr w:type="spellEnd"/>
            <w:proofErr w:type="gramEnd"/>
            <w:r w:rsidRPr="00491ADF">
              <w:rPr>
                <w:rFonts w:asciiTheme="minorHAnsi" w:hAnsiTheme="minorHAnsi" w:cstheme="minorHAnsi"/>
                <w:color w:val="2E74B5" w:themeColor="accent5" w:themeShade="BF"/>
                <w:sz w:val="22"/>
                <w:szCs w:val="22"/>
                <w:lang w:val="en-US"/>
              </w:rPr>
              <w:t xml:space="preserve"> consisting of several words, drawings, letters or digits would be maintained.</w:t>
            </w:r>
          </w:p>
          <w:p w14:paraId="699B8EDE"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0FC4C2E1"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The digit </w:t>
            </w:r>
            <w:r w:rsidRPr="00491ADF">
              <w:rPr>
                <w:rFonts w:asciiTheme="minorHAnsi" w:hAnsiTheme="minorHAnsi" w:cstheme="minorHAnsi"/>
                <w:i/>
                <w:iCs/>
                <w:color w:val="2E74B5" w:themeColor="accent5" w:themeShade="BF"/>
                <w:sz w:val="22"/>
                <w:szCs w:val="22"/>
                <w:lang w:val="en-US"/>
              </w:rPr>
              <w:t>"in particular"</w:t>
            </w:r>
            <w:r w:rsidRPr="00491ADF">
              <w:rPr>
                <w:rFonts w:asciiTheme="minorHAnsi" w:hAnsiTheme="minorHAnsi" w:cstheme="minorHAnsi"/>
                <w:color w:val="2E74B5" w:themeColor="accent5" w:themeShade="BF"/>
                <w:sz w:val="22"/>
                <w:szCs w:val="22"/>
                <w:lang w:val="en-US"/>
              </w:rPr>
              <w:t xml:space="preserve"> - yes, it can be registered as a </w:t>
            </w:r>
            <w:proofErr w:type="gramStart"/>
            <w:r w:rsidRPr="00491ADF">
              <w:rPr>
                <w:rFonts w:asciiTheme="minorHAnsi" w:hAnsiTheme="minorHAnsi" w:cstheme="minorHAnsi"/>
                <w:color w:val="2E74B5" w:themeColor="accent5" w:themeShade="BF"/>
                <w:sz w:val="22"/>
                <w:szCs w:val="22"/>
                <w:lang w:val="en-US"/>
              </w:rPr>
              <w:t>trade mark</w:t>
            </w:r>
            <w:proofErr w:type="gramEnd"/>
            <w:r w:rsidRPr="00491ADF">
              <w:rPr>
                <w:rFonts w:asciiTheme="minorHAnsi" w:hAnsiTheme="minorHAnsi" w:cstheme="minorHAnsi"/>
                <w:color w:val="2E74B5" w:themeColor="accent5" w:themeShade="BF"/>
                <w:sz w:val="22"/>
                <w:szCs w:val="22"/>
                <w:lang w:val="en-US"/>
              </w:rPr>
              <w:t xml:space="preserve"> in Poland, but registering a number consisting of several </w:t>
            </w:r>
            <w:r w:rsidRPr="00491ADF">
              <w:rPr>
                <w:rFonts w:asciiTheme="minorHAnsi" w:hAnsiTheme="minorHAnsi" w:cstheme="minorHAnsi"/>
                <w:i/>
                <w:iCs/>
                <w:color w:val="2E74B5" w:themeColor="accent5" w:themeShade="BF"/>
                <w:sz w:val="22"/>
                <w:szCs w:val="22"/>
                <w:lang w:val="en-US"/>
              </w:rPr>
              <w:t>"digits</w:t>
            </w:r>
            <w:r w:rsidRPr="00491ADF">
              <w:rPr>
                <w:rFonts w:asciiTheme="minorHAnsi" w:hAnsiTheme="minorHAnsi" w:cstheme="minorHAnsi"/>
                <w:color w:val="2E74B5" w:themeColor="accent5" w:themeShade="BF"/>
                <w:sz w:val="22"/>
                <w:szCs w:val="22"/>
                <w:lang w:val="en-US"/>
              </w:rPr>
              <w:t>" - not necessarily. Obtaining exclusive rights then requires a sympathetic interpretation of the law.</w:t>
            </w:r>
          </w:p>
          <w:p w14:paraId="0A74D841"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3F98F707"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The question would remain open as to how we would now describe the trademark: </w:t>
            </w:r>
            <w:r w:rsidRPr="00491ADF">
              <w:rPr>
                <w:rFonts w:asciiTheme="minorHAnsi" w:hAnsiTheme="minorHAnsi" w:cstheme="minorHAnsi"/>
                <w:b/>
                <w:bCs w:val="0"/>
                <w:color w:val="2E74B5" w:themeColor="accent5" w:themeShade="BF"/>
                <w:sz w:val="22"/>
                <w:szCs w:val="22"/>
                <w:lang w:val="en-US"/>
              </w:rPr>
              <w:t xml:space="preserve">'Echt </w:t>
            </w:r>
            <w:proofErr w:type="spellStart"/>
            <w:r w:rsidRPr="00491ADF">
              <w:rPr>
                <w:rFonts w:asciiTheme="minorHAnsi" w:hAnsiTheme="minorHAnsi" w:cstheme="minorHAnsi"/>
                <w:b/>
                <w:bCs w:val="0"/>
                <w:color w:val="2E74B5" w:themeColor="accent5" w:themeShade="BF"/>
                <w:sz w:val="22"/>
                <w:szCs w:val="22"/>
                <w:lang w:val="en-US"/>
              </w:rPr>
              <w:t>Kölnischer</w:t>
            </w:r>
            <w:proofErr w:type="spellEnd"/>
            <w:r w:rsidRPr="00491ADF">
              <w:rPr>
                <w:rFonts w:asciiTheme="minorHAnsi" w:hAnsiTheme="minorHAnsi" w:cstheme="minorHAnsi"/>
                <w:b/>
                <w:bCs w:val="0"/>
                <w:color w:val="2E74B5" w:themeColor="accent5" w:themeShade="BF"/>
                <w:sz w:val="22"/>
                <w:szCs w:val="22"/>
                <w:lang w:val="en-US"/>
              </w:rPr>
              <w:t xml:space="preserve"> Wasser No 4711'</w:t>
            </w:r>
            <w:r w:rsidRPr="00491ADF">
              <w:rPr>
                <w:rFonts w:asciiTheme="minorHAnsi" w:hAnsiTheme="minorHAnsi" w:cstheme="minorHAnsi"/>
                <w:color w:val="2E74B5" w:themeColor="accent5" w:themeShade="BF"/>
                <w:sz w:val="22"/>
                <w:szCs w:val="22"/>
                <w:lang w:val="en-US"/>
              </w:rPr>
              <w:t xml:space="preserve"> (with which the original German cologne, originally produced in Cologne in building No 4711, in the first factory established in 1709, is labelled)?</w:t>
            </w:r>
          </w:p>
          <w:p w14:paraId="6A4990F8"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10"/>
                <w:szCs w:val="10"/>
                <w:lang w:val="en-US"/>
              </w:rPr>
            </w:pPr>
          </w:p>
          <w:p w14:paraId="234B7A99" w14:textId="77777777" w:rsidR="00116E29" w:rsidRPr="00491ADF" w:rsidRDefault="00116E29" w:rsidP="00967A11">
            <w:pPr>
              <w:pStyle w:val="USTustnpkodeksu"/>
              <w:spacing w:line="240" w:lineRule="auto"/>
              <w:ind w:firstLine="0"/>
              <w:rPr>
                <w:rFonts w:asciiTheme="minorHAnsi" w:hAnsiTheme="minorHAnsi" w:cstheme="minorHAnsi"/>
                <w:color w:val="2E74B5" w:themeColor="accent5" w:themeShade="BF"/>
                <w:sz w:val="22"/>
                <w:szCs w:val="22"/>
                <w:lang w:val="en-US"/>
              </w:rPr>
            </w:pPr>
            <w:r w:rsidRPr="00491ADF">
              <w:rPr>
                <w:rFonts w:asciiTheme="minorHAnsi" w:hAnsiTheme="minorHAnsi" w:cstheme="minorHAnsi"/>
                <w:color w:val="2E74B5" w:themeColor="accent5" w:themeShade="BF"/>
                <w:sz w:val="22"/>
                <w:szCs w:val="22"/>
                <w:lang w:val="en-US"/>
              </w:rPr>
              <w:t xml:space="preserve">Maintaining such a provision would not only lead to perpetuating inconsistencies with EU law, but also to uncertainty as to whether it would be possible - to obtain protection for the names of </w:t>
            </w:r>
            <w:proofErr w:type="spellStart"/>
            <w:r w:rsidRPr="00491ADF">
              <w:rPr>
                <w:rFonts w:asciiTheme="minorHAnsi" w:hAnsiTheme="minorHAnsi" w:cstheme="minorHAnsi"/>
                <w:color w:val="2E74B5" w:themeColor="accent5" w:themeShade="BF"/>
                <w:sz w:val="22"/>
                <w:szCs w:val="22"/>
                <w:lang w:val="en-US"/>
              </w:rPr>
              <w:t>favourite</w:t>
            </w:r>
            <w:proofErr w:type="spellEnd"/>
            <w:r w:rsidRPr="00491ADF">
              <w:rPr>
                <w:rFonts w:asciiTheme="minorHAnsi" w:hAnsiTheme="minorHAnsi" w:cstheme="minorHAnsi"/>
                <w:color w:val="2E74B5" w:themeColor="accent5" w:themeShade="BF"/>
                <w:sz w:val="22"/>
                <w:szCs w:val="22"/>
                <w:lang w:val="en-US"/>
              </w:rPr>
              <w:t xml:space="preserve"> cosmetics, or whether they should remain unprotected by </w:t>
            </w:r>
            <w:proofErr w:type="spellStart"/>
            <w:proofErr w:type="gramStart"/>
            <w:r w:rsidRPr="00491ADF">
              <w:rPr>
                <w:rFonts w:asciiTheme="minorHAnsi" w:hAnsiTheme="minorHAnsi" w:cstheme="minorHAnsi"/>
                <w:color w:val="2E74B5" w:themeColor="accent5" w:themeShade="BF"/>
                <w:sz w:val="22"/>
                <w:szCs w:val="22"/>
                <w:lang w:val="en-US"/>
              </w:rPr>
              <w:t>trade marks</w:t>
            </w:r>
            <w:proofErr w:type="spellEnd"/>
            <w:proofErr w:type="gramEnd"/>
            <w:r w:rsidRPr="00491ADF">
              <w:rPr>
                <w:rFonts w:asciiTheme="minorHAnsi" w:hAnsiTheme="minorHAnsi" w:cstheme="minorHAnsi"/>
                <w:color w:val="2E74B5" w:themeColor="accent5" w:themeShade="BF"/>
                <w:sz w:val="22"/>
                <w:szCs w:val="22"/>
                <w:lang w:val="en-US"/>
              </w:rPr>
              <w:t xml:space="preserve"> registered with the Polish Patent Office.</w:t>
            </w:r>
          </w:p>
          <w:p w14:paraId="21AB06C4" w14:textId="77777777" w:rsidR="00116E29" w:rsidRPr="005F0586" w:rsidRDefault="00116E29" w:rsidP="00967A11">
            <w:pPr>
              <w:pStyle w:val="USTustnpkodeksu"/>
              <w:spacing w:line="240" w:lineRule="auto"/>
              <w:ind w:firstLine="0"/>
              <w:rPr>
                <w:rFonts w:asciiTheme="minorHAnsi" w:hAnsiTheme="minorHAnsi" w:cstheme="minorHAnsi"/>
                <w:color w:val="000000"/>
                <w:sz w:val="10"/>
                <w:szCs w:val="10"/>
                <w:lang w:val="en-US"/>
              </w:rPr>
            </w:pPr>
            <w:r w:rsidRPr="005F0586">
              <w:rPr>
                <w:rFonts w:asciiTheme="minorHAnsi" w:hAnsiTheme="minorHAnsi" w:cstheme="minorHAnsi"/>
                <w:color w:val="000000"/>
                <w:sz w:val="22"/>
                <w:szCs w:val="22"/>
                <w:lang w:val="en-US"/>
              </w:rPr>
              <w:t xml:space="preserve"> </w:t>
            </w:r>
          </w:p>
        </w:tc>
      </w:tr>
    </w:tbl>
    <w:p w14:paraId="0FE4B59A" w14:textId="77777777" w:rsidR="005F0586" w:rsidRPr="002F7E5D" w:rsidRDefault="005F0586" w:rsidP="005F0586">
      <w:pPr>
        <w:spacing w:after="0" w:line="240" w:lineRule="auto"/>
        <w:jc w:val="both"/>
        <w:rPr>
          <w:rFonts w:cstheme="minorHAnsi"/>
          <w:lang w:val="en-US"/>
        </w:rPr>
      </w:pPr>
    </w:p>
    <w:p w14:paraId="0076D78F" w14:textId="77777777" w:rsidR="005F0586" w:rsidRPr="002F7E5D" w:rsidRDefault="005F0586" w:rsidP="005F0586">
      <w:pPr>
        <w:spacing w:after="0" w:line="240" w:lineRule="auto"/>
        <w:rPr>
          <w:b/>
          <w:bCs/>
          <w:sz w:val="10"/>
          <w:szCs w:val="10"/>
          <w:lang w:val="en-US"/>
        </w:rPr>
      </w:pPr>
    </w:p>
    <w:p w14:paraId="3210FE69" w14:textId="7E1EF8EF" w:rsidR="00D14AB4" w:rsidRDefault="00D14AB4" w:rsidP="00D14AB4">
      <w:pPr>
        <w:spacing w:after="0" w:line="240" w:lineRule="auto"/>
        <w:jc w:val="center"/>
        <w:rPr>
          <w:b/>
          <w:bCs/>
          <w:sz w:val="24"/>
          <w:szCs w:val="24"/>
        </w:rPr>
      </w:pPr>
      <w:r>
        <w:rPr>
          <w:b/>
          <w:bCs/>
          <w:sz w:val="24"/>
          <w:szCs w:val="24"/>
        </w:rPr>
        <w:t>* * *</w:t>
      </w:r>
    </w:p>
    <w:p w14:paraId="7335C8A9" w14:textId="77777777" w:rsidR="00D14AB4" w:rsidRPr="00D14AB4" w:rsidRDefault="00D14AB4" w:rsidP="00D14AB4">
      <w:pPr>
        <w:spacing w:after="0" w:line="240" w:lineRule="auto"/>
        <w:jc w:val="center"/>
        <w:rPr>
          <w:b/>
          <w:bCs/>
          <w:sz w:val="10"/>
          <w:szCs w:val="10"/>
        </w:rPr>
      </w:pPr>
    </w:p>
    <w:p w14:paraId="34EFD58A" w14:textId="77777777" w:rsidR="00AD25B4" w:rsidRDefault="005F0586" w:rsidP="005F0586">
      <w:pPr>
        <w:spacing w:after="0" w:line="240" w:lineRule="auto"/>
        <w:rPr>
          <w:sz w:val="24"/>
          <w:szCs w:val="24"/>
        </w:rPr>
      </w:pPr>
      <w:r w:rsidRPr="002428B7">
        <w:rPr>
          <w:b/>
          <w:bCs/>
          <w:sz w:val="24"/>
          <w:szCs w:val="24"/>
        </w:rPr>
        <w:t>Krótki wyciąg:</w:t>
      </w:r>
      <w:r w:rsidRPr="002428B7">
        <w:rPr>
          <w:sz w:val="24"/>
          <w:szCs w:val="24"/>
        </w:rPr>
        <w:t xml:space="preserve"> </w:t>
      </w:r>
    </w:p>
    <w:p w14:paraId="6A382B57" w14:textId="0A63E25E" w:rsidR="005F0586" w:rsidRDefault="005F0586" w:rsidP="005F0586">
      <w:pPr>
        <w:spacing w:after="0" w:line="240" w:lineRule="auto"/>
        <w:rPr>
          <w:sz w:val="24"/>
          <w:szCs w:val="24"/>
        </w:rPr>
      </w:pPr>
      <w:r w:rsidRPr="002428B7">
        <w:rPr>
          <w:sz w:val="24"/>
          <w:szCs w:val="24"/>
        </w:rPr>
        <w:t>Autorzy krytykują projekt nowej ustawy Prawo własności przemysłowej (UD263) wskazując jego nieprawidłowości.</w:t>
      </w:r>
    </w:p>
    <w:p w14:paraId="2012B0D2" w14:textId="77777777" w:rsidR="007D1904" w:rsidRPr="007D1904" w:rsidRDefault="007D1904" w:rsidP="005F0586">
      <w:pPr>
        <w:spacing w:after="0" w:line="240" w:lineRule="auto"/>
        <w:rPr>
          <w:sz w:val="10"/>
          <w:szCs w:val="10"/>
        </w:rPr>
      </w:pPr>
    </w:p>
    <w:p w14:paraId="79E5A20D" w14:textId="77777777" w:rsidR="00AD25B4" w:rsidRPr="004F40E9" w:rsidRDefault="00AD25B4" w:rsidP="00AD25B4">
      <w:pPr>
        <w:spacing w:after="0" w:line="240" w:lineRule="auto"/>
        <w:rPr>
          <w:b/>
          <w:bCs/>
          <w:sz w:val="10"/>
          <w:szCs w:val="10"/>
        </w:rPr>
      </w:pPr>
    </w:p>
    <w:p w14:paraId="7986C7AD" w14:textId="77777777" w:rsidR="00AD25B4" w:rsidRPr="00491ADF" w:rsidRDefault="00AD25B4" w:rsidP="00AD25B4">
      <w:pPr>
        <w:spacing w:after="0" w:line="240" w:lineRule="auto"/>
        <w:rPr>
          <w:b/>
          <w:bCs/>
          <w:color w:val="2E74B5" w:themeColor="accent5" w:themeShade="BF"/>
          <w:sz w:val="24"/>
          <w:szCs w:val="24"/>
          <w:lang w:val="en-US"/>
        </w:rPr>
      </w:pPr>
      <w:r w:rsidRPr="00491ADF">
        <w:rPr>
          <w:b/>
          <w:bCs/>
          <w:color w:val="2E74B5" w:themeColor="accent5" w:themeShade="BF"/>
          <w:sz w:val="24"/>
          <w:szCs w:val="24"/>
          <w:lang w:val="en-US"/>
        </w:rPr>
        <w:t>A short excerpt:</w:t>
      </w:r>
    </w:p>
    <w:p w14:paraId="4A1B0F56" w14:textId="0AA4B8F5" w:rsidR="000F60A2" w:rsidRPr="00491ADF" w:rsidRDefault="000F60A2" w:rsidP="005F0586">
      <w:pPr>
        <w:spacing w:after="0" w:line="240" w:lineRule="auto"/>
        <w:rPr>
          <w:b/>
          <w:bCs/>
          <w:color w:val="2E74B5" w:themeColor="accent5" w:themeShade="BF"/>
          <w:sz w:val="24"/>
          <w:szCs w:val="24"/>
          <w:lang w:val="en-GB"/>
        </w:rPr>
      </w:pPr>
      <w:r w:rsidRPr="00491ADF">
        <w:rPr>
          <w:color w:val="2E74B5" w:themeColor="accent5" w:themeShade="BF"/>
          <w:sz w:val="24"/>
          <w:szCs w:val="24"/>
          <w:lang w:val="en-US"/>
        </w:rPr>
        <w:t>The authors criticize the draft of the new Industrial Property Law (UD263), pointing out its irregularities</w:t>
      </w:r>
      <w:r w:rsidR="00171978" w:rsidRPr="00491ADF">
        <w:rPr>
          <w:color w:val="2E74B5" w:themeColor="accent5" w:themeShade="BF"/>
          <w:sz w:val="24"/>
          <w:szCs w:val="24"/>
          <w:lang w:val="en-US"/>
        </w:rPr>
        <w:t>.</w:t>
      </w:r>
    </w:p>
    <w:p w14:paraId="7AE333F5" w14:textId="77777777" w:rsidR="000F60A2" w:rsidRPr="000F60A2" w:rsidRDefault="000F60A2" w:rsidP="005F0586">
      <w:pPr>
        <w:spacing w:after="0" w:line="240" w:lineRule="auto"/>
        <w:rPr>
          <w:b/>
          <w:bCs/>
          <w:color w:val="4472C4" w:themeColor="accent1"/>
          <w:sz w:val="10"/>
          <w:szCs w:val="10"/>
          <w:lang w:val="en-GB"/>
        </w:rPr>
      </w:pPr>
    </w:p>
    <w:p w14:paraId="1A00CB8F" w14:textId="77777777" w:rsidR="000F60A2" w:rsidRPr="002428B7" w:rsidRDefault="000F60A2" w:rsidP="000F60A2">
      <w:pPr>
        <w:spacing w:after="0" w:line="240" w:lineRule="auto"/>
        <w:rPr>
          <w:sz w:val="24"/>
          <w:szCs w:val="24"/>
        </w:rPr>
      </w:pPr>
      <w:r w:rsidRPr="002428B7">
        <w:rPr>
          <w:b/>
          <w:bCs/>
          <w:sz w:val="24"/>
          <w:szCs w:val="24"/>
        </w:rPr>
        <w:t>Pojęcia kluczowe:</w:t>
      </w:r>
      <w:r w:rsidRPr="002428B7">
        <w:rPr>
          <w:sz w:val="24"/>
          <w:szCs w:val="24"/>
        </w:rPr>
        <w:t xml:space="preserve"> PRAWO WŁASNOŚCI PRZEMYSŁOWEJ, UD 263, KRYTYKA, BŁĘDY</w:t>
      </w:r>
    </w:p>
    <w:p w14:paraId="2B8DD9D5" w14:textId="77777777" w:rsidR="000F60A2" w:rsidRPr="001C51B8" w:rsidRDefault="000F60A2" w:rsidP="000F60A2">
      <w:pPr>
        <w:spacing w:after="0" w:line="240" w:lineRule="auto"/>
        <w:rPr>
          <w:b/>
          <w:bCs/>
          <w:sz w:val="10"/>
          <w:szCs w:val="10"/>
        </w:rPr>
      </w:pPr>
    </w:p>
    <w:p w14:paraId="7BEA92A6" w14:textId="77777777" w:rsidR="000F60A2" w:rsidRPr="00B51759" w:rsidRDefault="000F60A2" w:rsidP="000F60A2">
      <w:pPr>
        <w:spacing w:after="0" w:line="240" w:lineRule="auto"/>
        <w:rPr>
          <w:color w:val="0070C0"/>
          <w:sz w:val="24"/>
          <w:szCs w:val="24"/>
        </w:rPr>
      </w:pPr>
      <w:r w:rsidRPr="002428B7">
        <w:rPr>
          <w:b/>
          <w:bCs/>
          <w:sz w:val="24"/>
          <w:szCs w:val="24"/>
        </w:rPr>
        <w:t xml:space="preserve">Miejsce publikacji: </w:t>
      </w:r>
      <w:hyperlink r:id="rId160" w:history="1">
        <w:r w:rsidRPr="00B51759">
          <w:rPr>
            <w:rStyle w:val="Hipercze"/>
            <w:color w:val="0070C0"/>
            <w:sz w:val="24"/>
            <w:szCs w:val="24"/>
          </w:rPr>
          <w:t>https://stowi.pl/projekt-ud263-aktu-prawnego-dodatkowo-blokujacego-rozwoj-polskiej-innowacyjnosci/</w:t>
        </w:r>
      </w:hyperlink>
      <w:r w:rsidRPr="00B51759">
        <w:rPr>
          <w:b/>
          <w:bCs/>
          <w:color w:val="0070C0"/>
          <w:sz w:val="24"/>
          <w:szCs w:val="24"/>
        </w:rPr>
        <w:t xml:space="preserve"> </w:t>
      </w:r>
      <w:r w:rsidRPr="00B51759">
        <w:rPr>
          <w:color w:val="0070C0"/>
          <w:sz w:val="24"/>
          <w:szCs w:val="24"/>
        </w:rPr>
        <w:t xml:space="preserve"> </w:t>
      </w:r>
    </w:p>
    <w:p w14:paraId="406912BE" w14:textId="77777777" w:rsidR="000F60A2" w:rsidRPr="002428B7" w:rsidRDefault="000F60A2" w:rsidP="005F0586">
      <w:pPr>
        <w:spacing w:after="0" w:line="240" w:lineRule="auto"/>
        <w:rPr>
          <w:sz w:val="24"/>
          <w:szCs w:val="24"/>
        </w:rPr>
      </w:pPr>
    </w:p>
    <w:p w14:paraId="01C2D7B9" w14:textId="77777777" w:rsidR="00116E29" w:rsidRPr="005F0586" w:rsidRDefault="00116E29" w:rsidP="001F7A1E">
      <w:pPr>
        <w:spacing w:after="0"/>
        <w:jc w:val="both"/>
        <w:rPr>
          <w:rFonts w:cstheme="minorHAnsi"/>
        </w:rPr>
      </w:pPr>
    </w:p>
    <w:p w14:paraId="59EDB6BD" w14:textId="6A677046" w:rsidR="0025110F" w:rsidRPr="00004768" w:rsidRDefault="001F7A1E" w:rsidP="004E0A81">
      <w:pPr>
        <w:rPr>
          <w:noProof/>
          <w:lang w:eastAsia="pl-PL"/>
        </w:rPr>
      </w:pPr>
      <w:r w:rsidRPr="005F0586">
        <w:rPr>
          <w:rFonts w:cstheme="minorHAnsi"/>
        </w:rPr>
        <w:br w:type="page"/>
      </w:r>
      <w:r w:rsidR="00004768" w:rsidRPr="00355D81">
        <w:rPr>
          <w:rStyle w:val="Nagwek2Znak"/>
        </w:rPr>
        <w:lastRenderedPageBreak/>
        <w:br/>
      </w:r>
      <w:r w:rsidR="00004768" w:rsidRPr="00355D81">
        <w:rPr>
          <w:rStyle w:val="Nagwek2Znak"/>
        </w:rPr>
        <w:br/>
      </w:r>
      <w:r w:rsidR="0025110F" w:rsidRPr="00004768">
        <w:rPr>
          <w:noProof/>
          <w:lang w:eastAsia="pl-PL"/>
        </w:rPr>
        <w:drawing>
          <wp:anchor distT="0" distB="0" distL="114300" distR="114300" simplePos="0" relativeHeight="251996160" behindDoc="0" locked="0" layoutInCell="1" allowOverlap="1" wp14:anchorId="520FAADA" wp14:editId="78C2813A">
            <wp:simplePos x="0" y="0"/>
            <wp:positionH relativeFrom="column">
              <wp:posOffset>19319</wp:posOffset>
            </wp:positionH>
            <wp:positionV relativeFrom="paragraph">
              <wp:posOffset>71</wp:posOffset>
            </wp:positionV>
            <wp:extent cx="1980000" cy="1080000"/>
            <wp:effectExtent l="0" t="0" r="1270" b="6350"/>
            <wp:wrapThrough wrapText="bothSides">
              <wp:wrapPolygon edited="0">
                <wp:start x="0" y="0"/>
                <wp:lineTo x="0" y="21346"/>
                <wp:lineTo x="21406" y="21346"/>
                <wp:lineTo x="21406" y="0"/>
                <wp:lineTo x="0" y="0"/>
              </wp:wrapPolygon>
            </wp:wrapThrough>
            <wp:docPr id="214150639" name="Obraz 10" descr="Obraz zawierający osoba, w pomieszczeniu, kobieta, palec&#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50639" name="Obraz 10" descr="Obraz zawierający osoba, w pomieszczeniu, kobieta, palec&#10;&#10;Opis wygenerowany automatyczni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10F" w:rsidRPr="00004768">
        <w:rPr>
          <w:noProof/>
          <w:color w:val="C00000"/>
          <w:lang w:eastAsia="pl-PL"/>
        </w:rPr>
        <mc:AlternateContent>
          <mc:Choice Requires="wps">
            <w:drawing>
              <wp:anchor distT="0" distB="0" distL="114300" distR="114300" simplePos="0" relativeHeight="251995136" behindDoc="0" locked="0" layoutInCell="1" allowOverlap="1" wp14:anchorId="108E2043" wp14:editId="439CD7B6">
                <wp:simplePos x="0" y="0"/>
                <wp:positionH relativeFrom="margin">
                  <wp:posOffset>-98755</wp:posOffset>
                </wp:positionH>
                <wp:positionV relativeFrom="paragraph">
                  <wp:posOffset>-383540</wp:posOffset>
                </wp:positionV>
                <wp:extent cx="527050" cy="372745"/>
                <wp:effectExtent l="0" t="0" r="6350" b="8255"/>
                <wp:wrapNone/>
                <wp:docPr id="191743368" name="Pole tekstowe 1"/>
                <wp:cNvGraphicFramePr/>
                <a:graphic xmlns:a="http://schemas.openxmlformats.org/drawingml/2006/main">
                  <a:graphicData uri="http://schemas.microsoft.com/office/word/2010/wordprocessingShape">
                    <wps:wsp>
                      <wps:cNvSpPr txBox="1"/>
                      <wps:spPr>
                        <a:xfrm>
                          <a:off x="0" y="0"/>
                          <a:ext cx="527050" cy="372745"/>
                        </a:xfrm>
                        <a:prstGeom prst="rect">
                          <a:avLst/>
                        </a:prstGeom>
                        <a:solidFill>
                          <a:schemeClr val="lt1"/>
                        </a:solidFill>
                        <a:ln w="6350">
                          <a:noFill/>
                        </a:ln>
                      </wps:spPr>
                      <wps:txbx>
                        <w:txbxContent>
                          <w:p w14:paraId="30DC689E" w14:textId="1E8726CF" w:rsidR="00541DD6" w:rsidRPr="00142068" w:rsidRDefault="00530B0C" w:rsidP="00C23347">
                            <w:pPr>
                              <w:pStyle w:val="NumeracjaRozdzial"/>
                            </w:pPr>
                            <w:r>
                              <w:t>2</w:t>
                            </w:r>
                            <w:r w:rsidR="00541DD6" w:rsidRPr="00142068">
                              <w:t>.</w:t>
                            </w:r>
                          </w:p>
                          <w:p w14:paraId="12A63697" w14:textId="77777777" w:rsidR="00541DD6" w:rsidRDefault="00541DD6" w:rsidP="002511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8E2043" id="_x0000_s1045" type="#_x0000_t202" style="position:absolute;margin-left:-7.8pt;margin-top:-30.2pt;width:41.5pt;height:29.35pt;z-index:251995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" fillcolor="white [3201]" stroked="f" strokeweight=".5pt">
                <v:textbox>
                  <w:txbxContent>
                    <w:p w14:paraId="30DC689E" w14:textId="1E8726CF" w:rsidR="00541DD6" w:rsidRPr="00142068" w:rsidRDefault="00530B0C" w:rsidP="00C23347">
                      <w:pPr>
                        <w:pStyle w:val="NumeracjaRozdzial"/>
                      </w:pPr>
                      <w:r>
                        <w:t>2</w:t>
                      </w:r>
                      <w:r w:rsidR="00541DD6" w:rsidRPr="00142068">
                        <w:t>.</w:t>
                      </w:r>
                    </w:p>
                    <w:p w14:paraId="12A63697" w14:textId="77777777" w:rsidR="00541DD6" w:rsidRDefault="00541DD6" w:rsidP="0025110F"/>
                  </w:txbxContent>
                </v:textbox>
                <w10:wrap anchorx="margin"/>
              </v:shape>
            </w:pict>
          </mc:Fallback>
        </mc:AlternateContent>
      </w:r>
      <w:bookmarkStart w:id="134" w:name="_Toc170117990"/>
      <w:r w:rsidR="0025110F" w:rsidRPr="00004768">
        <w:rPr>
          <w:rStyle w:val="Nagwek2Znak"/>
        </w:rPr>
        <w:t>Sposób „</w:t>
      </w:r>
      <w:r w:rsidR="0025110F" w:rsidRPr="00004768">
        <w:rPr>
          <w:rStyle w:val="Nagwek2Znak"/>
          <w:i/>
          <w:iCs/>
        </w:rPr>
        <w:t>na wnuczka</w:t>
      </w:r>
      <w:r w:rsidR="0025110F" w:rsidRPr="00004768">
        <w:rPr>
          <w:rStyle w:val="Nagwek2Znak"/>
        </w:rPr>
        <w:t>” i sposób „</w:t>
      </w:r>
      <w:r w:rsidR="0025110F" w:rsidRPr="00004768">
        <w:rPr>
          <w:rStyle w:val="Nagwek2Znak"/>
          <w:i/>
          <w:iCs/>
        </w:rPr>
        <w:t>na patent</w:t>
      </w:r>
      <w:r w:rsidR="006A3C17" w:rsidRPr="00004768">
        <w:rPr>
          <w:rStyle w:val="Nagwek2Znak"/>
        </w:rPr>
        <w:t>”</w:t>
      </w:r>
      <w:bookmarkEnd w:id="134"/>
    </w:p>
    <w:p w14:paraId="57C16213" w14:textId="0FD0329C" w:rsidR="0025110F" w:rsidRPr="00EC4F25" w:rsidRDefault="0025110F" w:rsidP="00070E92">
      <w:pPr>
        <w:spacing w:after="0" w:line="240" w:lineRule="auto"/>
        <w:jc w:val="center"/>
        <w:rPr>
          <w:b/>
          <w:bCs/>
        </w:rPr>
      </w:pPr>
    </w:p>
    <w:p w14:paraId="5E9B2E3B" w14:textId="5D8F39F4" w:rsidR="00070E92" w:rsidRPr="00EC4F25" w:rsidRDefault="00070E92" w:rsidP="00070E92">
      <w:pPr>
        <w:spacing w:after="0" w:line="240" w:lineRule="auto"/>
        <w:jc w:val="center"/>
        <w:rPr>
          <w:b/>
          <w:bCs/>
        </w:rPr>
      </w:pPr>
    </w:p>
    <w:p w14:paraId="57E2F962" w14:textId="77777777" w:rsidR="00070E92" w:rsidRPr="00EC4F25" w:rsidRDefault="00070E92" w:rsidP="00070E92">
      <w:pPr>
        <w:spacing w:after="0" w:line="240" w:lineRule="auto"/>
        <w:rPr>
          <w:rFonts w:cstheme="minorHAnsi"/>
          <w:b/>
          <w:bCs/>
          <w:sz w:val="26"/>
          <w:szCs w:val="26"/>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86"/>
      </w:tblGrid>
      <w:tr w:rsidR="004B308F" w:rsidRPr="006A1234" w14:paraId="2CBE196C" w14:textId="77777777" w:rsidTr="005027DA">
        <w:tc>
          <w:tcPr>
            <w:tcW w:w="1276" w:type="dxa"/>
          </w:tcPr>
          <w:p w14:paraId="0F56D471" w14:textId="77777777" w:rsidR="004B308F" w:rsidRPr="00EC4F25" w:rsidRDefault="004B308F" w:rsidP="005027DA">
            <w:pPr>
              <w:rPr>
                <w:rFonts w:cstheme="minorHAnsi"/>
                <w:b/>
                <w:bCs/>
                <w:noProof/>
                <w:sz w:val="18"/>
                <w:szCs w:val="18"/>
              </w:rPr>
            </w:pPr>
          </w:p>
        </w:tc>
        <w:tc>
          <w:tcPr>
            <w:tcW w:w="7786" w:type="dxa"/>
          </w:tcPr>
          <w:p w14:paraId="1120A747" w14:textId="77777777" w:rsidR="004B308F" w:rsidRPr="006A1234" w:rsidRDefault="004B308F" w:rsidP="005027DA">
            <w:pPr>
              <w:rPr>
                <w:rFonts w:asciiTheme="minorHAnsi" w:hAnsiTheme="minorHAnsi" w:cstheme="minorHAnsi"/>
                <w:b/>
                <w:bCs/>
                <w:color w:val="000000"/>
                <w:sz w:val="22"/>
                <w:szCs w:val="22"/>
              </w:rPr>
            </w:pPr>
            <w:r>
              <w:rPr>
                <w:rFonts w:asciiTheme="minorHAnsi" w:hAnsiTheme="minorHAnsi" w:cstheme="minorHAnsi"/>
                <w:b/>
                <w:bCs/>
                <w:color w:val="000000"/>
                <w:sz w:val="22"/>
                <w:szCs w:val="22"/>
              </w:rPr>
              <w:t>AUTORKA:</w:t>
            </w:r>
          </w:p>
        </w:tc>
      </w:tr>
      <w:tr w:rsidR="004B308F" w:rsidRPr="006A1234" w14:paraId="325F7E3F" w14:textId="77777777" w:rsidTr="005027DA">
        <w:tc>
          <w:tcPr>
            <w:tcW w:w="1276" w:type="dxa"/>
          </w:tcPr>
          <w:p w14:paraId="13E21AC8" w14:textId="77777777" w:rsidR="004B308F" w:rsidRPr="004B308F" w:rsidRDefault="004B308F" w:rsidP="005027DA">
            <w:pPr>
              <w:tabs>
                <w:tab w:val="left" w:pos="2261"/>
              </w:tabs>
              <w:rPr>
                <w:noProof/>
                <w:sz w:val="6"/>
                <w:szCs w:val="6"/>
              </w:rPr>
            </w:pPr>
          </w:p>
          <w:p w14:paraId="642A1643" w14:textId="77777777" w:rsidR="004B308F" w:rsidRDefault="004B308F" w:rsidP="005027DA">
            <w:pPr>
              <w:tabs>
                <w:tab w:val="left" w:pos="2261"/>
              </w:tabs>
              <w:rPr>
                <w:rFonts w:cstheme="minorHAnsi"/>
                <w:b/>
                <w:bCs/>
                <w:color w:val="000000"/>
                <w:sz w:val="26"/>
                <w:szCs w:val="26"/>
              </w:rPr>
            </w:pPr>
            <w:r>
              <w:rPr>
                <w:noProof/>
              </w:rPr>
              <w:drawing>
                <wp:inline distT="0" distB="0" distL="0" distR="0" wp14:anchorId="147AF8D4" wp14:editId="4CA88A7F">
                  <wp:extent cx="658800" cy="900000"/>
                  <wp:effectExtent l="0" t="0" r="8255" b="0"/>
                  <wp:docPr id="1571623665"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00081"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7786" w:type="dxa"/>
          </w:tcPr>
          <w:p w14:paraId="3DA4FD9A" w14:textId="77777777" w:rsidR="004B308F" w:rsidRDefault="004B308F" w:rsidP="005027DA">
            <w:pPr>
              <w:rPr>
                <w:rFonts w:asciiTheme="minorHAnsi" w:hAnsiTheme="minorHAnsi" w:cstheme="minorHAnsi"/>
                <w:bCs/>
                <w:color w:val="000000"/>
                <w:sz w:val="22"/>
                <w:szCs w:val="22"/>
              </w:rPr>
            </w:pPr>
            <w:r w:rsidRPr="00882209">
              <w:rPr>
                <w:rFonts w:asciiTheme="minorHAnsi" w:hAnsiTheme="minorHAnsi" w:cstheme="minorHAnsi"/>
                <w:bCs/>
                <w:color w:val="000000"/>
                <w:sz w:val="22"/>
                <w:szCs w:val="22"/>
              </w:rPr>
              <w:t>Anna KORBELA</w:t>
            </w:r>
          </w:p>
          <w:p w14:paraId="78B1647E" w14:textId="1F8682C9" w:rsidR="00755F82" w:rsidRPr="00755F82" w:rsidRDefault="00FE4722" w:rsidP="001F6BE3">
            <w:pPr>
              <w:pStyle w:val="Akapitzlist"/>
              <w:numPr>
                <w:ilvl w:val="0"/>
                <w:numId w:val="45"/>
              </w:numPr>
              <w:ind w:left="314" w:hanging="283"/>
              <w:rPr>
                <w:rFonts w:eastAsia="Times New Roman" w:cstheme="minorHAnsi"/>
                <w:bCs/>
                <w:color w:val="000000"/>
              </w:rPr>
            </w:pPr>
            <w:r w:rsidRPr="00755F82">
              <w:rPr>
                <w:rFonts w:eastAsia="Times New Roman" w:cstheme="minorHAnsi"/>
                <w:bCs/>
                <w:color w:val="000000"/>
              </w:rPr>
              <w:t xml:space="preserve">w 1994 r. </w:t>
            </w:r>
            <w:r>
              <w:rPr>
                <w:rFonts w:cstheme="minorHAnsi"/>
                <w:bCs/>
                <w:color w:val="000000"/>
              </w:rPr>
              <w:t xml:space="preserve">zdała </w:t>
            </w:r>
            <w:r w:rsidR="00755F82" w:rsidRPr="00755F82">
              <w:rPr>
                <w:rFonts w:eastAsia="Times New Roman" w:cstheme="minorHAnsi"/>
                <w:bCs/>
                <w:color w:val="000000"/>
              </w:rPr>
              <w:t xml:space="preserve">egzamin sędziowski poprzedzony etatową aplikacją sędziowską (złożony z </w:t>
            </w:r>
            <w:r w:rsidR="00123357" w:rsidRPr="00755F82">
              <w:rPr>
                <w:rFonts w:eastAsia="Times New Roman" w:cstheme="minorHAnsi"/>
                <w:bCs/>
                <w:color w:val="000000"/>
              </w:rPr>
              <w:t xml:space="preserve">dobrym </w:t>
            </w:r>
            <w:r w:rsidR="00755F82" w:rsidRPr="00755F82">
              <w:rPr>
                <w:rFonts w:eastAsia="Times New Roman" w:cstheme="minorHAnsi"/>
                <w:bCs/>
                <w:color w:val="000000"/>
              </w:rPr>
              <w:t>wynikiem, umożliwiającym podjęcie kariery sędziowskiej</w:t>
            </w:r>
            <w:r w:rsidR="00D76DA8">
              <w:rPr>
                <w:rFonts w:eastAsia="Times New Roman" w:cstheme="minorHAnsi"/>
                <w:bCs/>
                <w:color w:val="000000"/>
              </w:rPr>
              <w:t>)</w:t>
            </w:r>
          </w:p>
          <w:p w14:paraId="7DA1E10C" w14:textId="4D4C06E5" w:rsidR="004B308F" w:rsidRPr="009265CF" w:rsidRDefault="004B308F" w:rsidP="001F6BE3">
            <w:pPr>
              <w:pStyle w:val="Akapitzlist"/>
              <w:numPr>
                <w:ilvl w:val="0"/>
                <w:numId w:val="45"/>
              </w:numPr>
              <w:ind w:left="314" w:hanging="283"/>
              <w:rPr>
                <w:rFonts w:eastAsia="Times New Roman" w:cstheme="minorHAnsi"/>
                <w:bCs/>
                <w:color w:val="000000"/>
              </w:rPr>
            </w:pPr>
            <w:r w:rsidRPr="009265CF">
              <w:rPr>
                <w:rFonts w:eastAsia="Times New Roman" w:cstheme="minorHAnsi"/>
                <w:bCs/>
                <w:color w:val="000000"/>
              </w:rPr>
              <w:t>rzecznik patentowy nr 3040</w:t>
            </w:r>
          </w:p>
          <w:p w14:paraId="46437CF9" w14:textId="77777777" w:rsidR="004B308F" w:rsidRPr="009265CF" w:rsidRDefault="004B308F" w:rsidP="001F6BE3">
            <w:pPr>
              <w:pStyle w:val="Akapitzlist"/>
              <w:numPr>
                <w:ilvl w:val="0"/>
                <w:numId w:val="45"/>
              </w:numPr>
              <w:ind w:left="314" w:hanging="283"/>
              <w:rPr>
                <w:rFonts w:eastAsia="Times New Roman" w:cstheme="minorHAnsi"/>
                <w:bCs/>
                <w:color w:val="000000"/>
              </w:rPr>
            </w:pPr>
            <w:r w:rsidRPr="009265CF">
              <w:rPr>
                <w:rFonts w:eastAsia="Times New Roman" w:cstheme="minorHAnsi"/>
                <w:bCs/>
                <w:color w:val="000000"/>
              </w:rPr>
              <w:t>radca prawny nr 364/96</w:t>
            </w:r>
          </w:p>
          <w:p w14:paraId="261E40CA" w14:textId="2B6FCC4A" w:rsidR="004B308F" w:rsidRPr="009265CF" w:rsidRDefault="004B308F" w:rsidP="001F6BE3">
            <w:pPr>
              <w:pStyle w:val="Akapitzlist"/>
              <w:numPr>
                <w:ilvl w:val="0"/>
                <w:numId w:val="45"/>
              </w:numPr>
              <w:ind w:left="314" w:hanging="283"/>
              <w:rPr>
                <w:rFonts w:eastAsia="Times New Roman" w:cstheme="minorHAnsi"/>
                <w:bCs/>
                <w:color w:val="000000"/>
              </w:rPr>
            </w:pPr>
            <w:r w:rsidRPr="009265CF">
              <w:rPr>
                <w:rFonts w:eastAsia="Times New Roman" w:cstheme="minorHAnsi"/>
                <w:bCs/>
                <w:color w:val="000000"/>
              </w:rPr>
              <w:t>profesjonalny pełnomocnik przed EUIPO (</w:t>
            </w:r>
            <w:r w:rsidRPr="00D25F02">
              <w:rPr>
                <w:rFonts w:eastAsia="Times New Roman" w:cstheme="minorHAnsi"/>
                <w:bCs/>
                <w:i/>
                <w:color w:val="000000"/>
              </w:rPr>
              <w:t>European Union Intellectual Property Office</w:t>
            </w:r>
            <w:r w:rsidRPr="009265CF">
              <w:rPr>
                <w:rFonts w:eastAsia="Times New Roman" w:cstheme="minorHAnsi"/>
                <w:bCs/>
                <w:color w:val="000000"/>
              </w:rPr>
              <w:t xml:space="preserve"> </w:t>
            </w:r>
            <w:r w:rsidR="003A208A">
              <w:rPr>
                <w:rFonts w:eastAsia="Times New Roman" w:cstheme="minorHAnsi"/>
                <w:bCs/>
                <w:color w:val="000000"/>
              </w:rPr>
              <w:t>-</w:t>
            </w:r>
            <w:r w:rsidRPr="009265CF">
              <w:rPr>
                <w:rFonts w:eastAsia="Times New Roman" w:cstheme="minorHAnsi"/>
                <w:bCs/>
                <w:color w:val="000000"/>
              </w:rPr>
              <w:t xml:space="preserve"> </w:t>
            </w:r>
            <w:r w:rsidR="00F745E5" w:rsidRPr="009265CF">
              <w:rPr>
                <w:rFonts w:eastAsia="Times New Roman" w:cstheme="minorHAnsi"/>
                <w:bCs/>
                <w:color w:val="000000"/>
              </w:rPr>
              <w:t>Urz</w:t>
            </w:r>
            <w:r w:rsidR="00F745E5">
              <w:rPr>
                <w:rFonts w:eastAsia="Times New Roman" w:cstheme="minorHAnsi"/>
                <w:bCs/>
                <w:color w:val="000000"/>
              </w:rPr>
              <w:t>ę</w:t>
            </w:r>
            <w:r w:rsidR="00F745E5" w:rsidRPr="009265CF">
              <w:rPr>
                <w:rFonts w:eastAsia="Times New Roman" w:cstheme="minorHAnsi"/>
                <w:bCs/>
                <w:color w:val="000000"/>
              </w:rPr>
              <w:t>d</w:t>
            </w:r>
            <w:r w:rsidR="00F745E5">
              <w:rPr>
                <w:rFonts w:eastAsia="Times New Roman" w:cstheme="minorHAnsi"/>
                <w:bCs/>
                <w:color w:val="000000"/>
              </w:rPr>
              <w:t>em</w:t>
            </w:r>
            <w:r w:rsidRPr="009265CF">
              <w:rPr>
                <w:rFonts w:eastAsia="Times New Roman" w:cstheme="minorHAnsi"/>
                <w:bCs/>
                <w:color w:val="000000"/>
              </w:rPr>
              <w:t xml:space="preserve"> Unii Europejskiej ds. Własności Intelektualnej), nr 27595</w:t>
            </w:r>
          </w:p>
          <w:p w14:paraId="71A8412C" w14:textId="77777777" w:rsidR="004B308F" w:rsidRPr="009265CF" w:rsidRDefault="004B308F" w:rsidP="001F6BE3">
            <w:pPr>
              <w:pStyle w:val="Akapitzlist"/>
              <w:numPr>
                <w:ilvl w:val="0"/>
                <w:numId w:val="45"/>
              </w:numPr>
              <w:ind w:left="314" w:hanging="283"/>
              <w:rPr>
                <w:rFonts w:eastAsia="Times New Roman" w:cstheme="minorHAnsi"/>
                <w:bCs/>
                <w:color w:val="000000"/>
              </w:rPr>
            </w:pPr>
            <w:r w:rsidRPr="009265CF">
              <w:rPr>
                <w:rFonts w:eastAsia="Times New Roman" w:cstheme="minorHAnsi"/>
                <w:bCs/>
                <w:color w:val="000000"/>
              </w:rPr>
              <w:t>Europejski Rzecznik Patentowy nr 137760</w:t>
            </w:r>
          </w:p>
          <w:p w14:paraId="5ED9333D" w14:textId="79871B14" w:rsidR="004B308F" w:rsidRPr="009265CF" w:rsidRDefault="004B308F" w:rsidP="001F6BE3">
            <w:pPr>
              <w:pStyle w:val="Akapitzlist"/>
              <w:numPr>
                <w:ilvl w:val="0"/>
                <w:numId w:val="45"/>
              </w:numPr>
              <w:ind w:left="314" w:hanging="283"/>
              <w:rPr>
                <w:rFonts w:eastAsia="Times New Roman" w:cstheme="minorHAnsi"/>
                <w:bCs/>
                <w:color w:val="000000"/>
              </w:rPr>
            </w:pPr>
            <w:r w:rsidRPr="009265CF">
              <w:rPr>
                <w:rFonts w:eastAsia="Times New Roman" w:cstheme="minorHAnsi"/>
                <w:bCs/>
                <w:color w:val="000000"/>
              </w:rPr>
              <w:t>pełnomocnik uprawniony do działania przed DPMA (</w:t>
            </w:r>
            <w:proofErr w:type="spellStart"/>
            <w:r w:rsidRPr="00D25F02">
              <w:rPr>
                <w:rFonts w:eastAsia="Times New Roman" w:cstheme="minorHAnsi"/>
                <w:bCs/>
                <w:i/>
                <w:color w:val="000000"/>
              </w:rPr>
              <w:t>Deutsches</w:t>
            </w:r>
            <w:proofErr w:type="spellEnd"/>
            <w:r w:rsidRPr="00D25F02">
              <w:rPr>
                <w:rFonts w:eastAsia="Times New Roman" w:cstheme="minorHAnsi"/>
                <w:bCs/>
                <w:i/>
                <w:color w:val="000000"/>
              </w:rPr>
              <w:t xml:space="preserve"> Patent- </w:t>
            </w:r>
            <w:proofErr w:type="spellStart"/>
            <w:r w:rsidRPr="00D25F02">
              <w:rPr>
                <w:rFonts w:eastAsia="Times New Roman" w:cstheme="minorHAnsi"/>
                <w:bCs/>
                <w:i/>
                <w:color w:val="000000"/>
              </w:rPr>
              <w:t>und</w:t>
            </w:r>
            <w:proofErr w:type="spellEnd"/>
            <w:r w:rsidRPr="00D25F02">
              <w:rPr>
                <w:rFonts w:eastAsia="Times New Roman" w:cstheme="minorHAnsi"/>
                <w:bCs/>
                <w:i/>
                <w:color w:val="000000"/>
              </w:rPr>
              <w:t xml:space="preserve"> </w:t>
            </w:r>
            <w:proofErr w:type="spellStart"/>
            <w:r w:rsidRPr="00D25F02">
              <w:rPr>
                <w:rFonts w:eastAsia="Times New Roman" w:cstheme="minorHAnsi"/>
                <w:bCs/>
                <w:i/>
                <w:color w:val="000000"/>
              </w:rPr>
              <w:t>Markenamt</w:t>
            </w:r>
            <w:proofErr w:type="spellEnd"/>
            <w:r w:rsidRPr="009265CF">
              <w:rPr>
                <w:rFonts w:eastAsia="Times New Roman" w:cstheme="minorHAnsi"/>
                <w:bCs/>
                <w:color w:val="000000"/>
              </w:rPr>
              <w:t xml:space="preserve"> </w:t>
            </w:r>
            <w:r w:rsidR="003A208A">
              <w:rPr>
                <w:rFonts w:eastAsia="Times New Roman" w:cstheme="minorHAnsi"/>
                <w:bCs/>
                <w:color w:val="000000"/>
              </w:rPr>
              <w:t>-</w:t>
            </w:r>
            <w:r w:rsidRPr="009265CF">
              <w:rPr>
                <w:rFonts w:eastAsia="Times New Roman" w:cstheme="minorHAnsi"/>
                <w:bCs/>
                <w:color w:val="000000"/>
              </w:rPr>
              <w:t xml:space="preserve"> </w:t>
            </w:r>
            <w:r w:rsidR="003A208A" w:rsidRPr="009265CF">
              <w:rPr>
                <w:rFonts w:eastAsia="Times New Roman" w:cstheme="minorHAnsi"/>
                <w:bCs/>
                <w:color w:val="000000"/>
              </w:rPr>
              <w:t>Niemiecki</w:t>
            </w:r>
            <w:r w:rsidR="003A208A">
              <w:rPr>
                <w:rFonts w:eastAsia="Times New Roman" w:cstheme="minorHAnsi"/>
                <w:bCs/>
                <w:color w:val="000000"/>
              </w:rPr>
              <w:t>m</w:t>
            </w:r>
            <w:r w:rsidR="003A208A" w:rsidRPr="009265CF">
              <w:rPr>
                <w:rFonts w:eastAsia="Times New Roman" w:cstheme="minorHAnsi"/>
                <w:bCs/>
                <w:color w:val="000000"/>
              </w:rPr>
              <w:t xml:space="preserve"> Urz</w:t>
            </w:r>
            <w:r w:rsidR="003A208A">
              <w:rPr>
                <w:rFonts w:eastAsia="Times New Roman" w:cstheme="minorHAnsi"/>
                <w:bCs/>
                <w:color w:val="000000"/>
              </w:rPr>
              <w:t>ę</w:t>
            </w:r>
            <w:r w:rsidR="003A208A" w:rsidRPr="009265CF">
              <w:rPr>
                <w:rFonts w:eastAsia="Times New Roman" w:cstheme="minorHAnsi"/>
                <w:bCs/>
                <w:color w:val="000000"/>
              </w:rPr>
              <w:t>d</w:t>
            </w:r>
            <w:r w:rsidR="003A208A">
              <w:rPr>
                <w:rFonts w:eastAsia="Times New Roman" w:cstheme="minorHAnsi"/>
                <w:bCs/>
                <w:color w:val="000000"/>
              </w:rPr>
              <w:t>em</w:t>
            </w:r>
            <w:r w:rsidR="003A208A" w:rsidRPr="009265CF">
              <w:rPr>
                <w:rFonts w:eastAsia="Times New Roman" w:cstheme="minorHAnsi"/>
                <w:bCs/>
                <w:color w:val="000000"/>
              </w:rPr>
              <w:t xml:space="preserve"> ds. Patentów </w:t>
            </w:r>
            <w:r w:rsidRPr="009265CF">
              <w:rPr>
                <w:rFonts w:eastAsia="Times New Roman" w:cstheme="minorHAnsi"/>
                <w:bCs/>
                <w:color w:val="000000"/>
              </w:rPr>
              <w:t>i Znaków Towarowych) nr 38701324</w:t>
            </w:r>
          </w:p>
          <w:p w14:paraId="66B5AA7B" w14:textId="68CADD4A" w:rsidR="003A208A" w:rsidRDefault="004B308F" w:rsidP="003A208A">
            <w:pPr>
              <w:pStyle w:val="Akapitzlist"/>
              <w:numPr>
                <w:ilvl w:val="0"/>
                <w:numId w:val="45"/>
              </w:numPr>
              <w:ind w:left="314" w:hanging="283"/>
              <w:rPr>
                <w:rFonts w:eastAsia="Times New Roman" w:cstheme="minorHAnsi"/>
                <w:bCs/>
                <w:color w:val="000000"/>
              </w:rPr>
            </w:pPr>
            <w:r w:rsidRPr="009265CF">
              <w:rPr>
                <w:rFonts w:eastAsia="Times New Roman" w:cstheme="minorHAnsi"/>
                <w:bCs/>
                <w:color w:val="000000"/>
              </w:rPr>
              <w:t>pełnomocnik przed UPC (</w:t>
            </w:r>
            <w:proofErr w:type="spellStart"/>
            <w:r w:rsidRPr="00D25F02">
              <w:rPr>
                <w:rFonts w:eastAsia="Times New Roman" w:cstheme="minorHAnsi"/>
                <w:bCs/>
                <w:i/>
                <w:color w:val="000000"/>
              </w:rPr>
              <w:t>Unitary</w:t>
            </w:r>
            <w:proofErr w:type="spellEnd"/>
            <w:r w:rsidRPr="00D25F02">
              <w:rPr>
                <w:rFonts w:eastAsia="Times New Roman" w:cstheme="minorHAnsi"/>
                <w:bCs/>
                <w:i/>
                <w:color w:val="000000"/>
              </w:rPr>
              <w:t xml:space="preserve"> Patent Court</w:t>
            </w:r>
            <w:r w:rsidRPr="009265CF">
              <w:rPr>
                <w:rFonts w:eastAsia="Times New Roman" w:cstheme="minorHAnsi"/>
                <w:bCs/>
                <w:color w:val="000000"/>
              </w:rPr>
              <w:t xml:space="preserve"> </w:t>
            </w:r>
            <w:r w:rsidR="003A208A">
              <w:rPr>
                <w:rFonts w:eastAsia="Times New Roman" w:cstheme="minorHAnsi"/>
                <w:bCs/>
                <w:color w:val="000000"/>
              </w:rPr>
              <w:t>-</w:t>
            </w:r>
            <w:r w:rsidRPr="009265CF">
              <w:rPr>
                <w:rFonts w:eastAsia="Times New Roman" w:cstheme="minorHAnsi"/>
                <w:bCs/>
                <w:color w:val="000000"/>
              </w:rPr>
              <w:t xml:space="preserve"> Jednolitym Sądem Patentowym) AUTH_525119/2023</w:t>
            </w:r>
          </w:p>
          <w:p w14:paraId="7C608CE9" w14:textId="77777777" w:rsidR="003A208A" w:rsidRPr="003A208A" w:rsidRDefault="004B308F" w:rsidP="003A208A">
            <w:pPr>
              <w:pStyle w:val="Akapitzlist"/>
              <w:numPr>
                <w:ilvl w:val="0"/>
                <w:numId w:val="45"/>
              </w:numPr>
              <w:ind w:left="314" w:hanging="283"/>
              <w:rPr>
                <w:rFonts w:asciiTheme="minorHAnsi" w:eastAsia="Times New Roman" w:hAnsiTheme="minorHAnsi" w:cstheme="minorHAnsi"/>
                <w:bCs/>
                <w:color w:val="000000"/>
              </w:rPr>
            </w:pPr>
            <w:r w:rsidRPr="003A208A">
              <w:rPr>
                <w:rFonts w:asciiTheme="minorHAnsi" w:eastAsia="Times New Roman" w:hAnsiTheme="minorHAnsi" w:cstheme="minorHAnsi"/>
                <w:bCs/>
                <w:color w:val="000000"/>
              </w:rPr>
              <w:t>Prezes Polskiej Izby Rzeczników Patentowych w latach 2009-2013 i 2013-2017</w:t>
            </w:r>
          </w:p>
          <w:p w14:paraId="110F0A29" w14:textId="05BE9B82" w:rsidR="004B308F" w:rsidRPr="003A208A" w:rsidRDefault="004B308F" w:rsidP="003A208A">
            <w:pPr>
              <w:pStyle w:val="Akapitzlist"/>
              <w:numPr>
                <w:ilvl w:val="0"/>
                <w:numId w:val="45"/>
              </w:numPr>
              <w:ind w:left="314" w:hanging="283"/>
              <w:rPr>
                <w:rFonts w:asciiTheme="minorHAnsi" w:eastAsia="Times New Roman" w:hAnsiTheme="minorHAnsi" w:cstheme="minorHAnsi"/>
                <w:bCs/>
                <w:color w:val="000000"/>
              </w:rPr>
            </w:pPr>
            <w:r w:rsidRPr="003A208A">
              <w:rPr>
                <w:rFonts w:asciiTheme="minorHAnsi" w:eastAsia="Times New Roman" w:hAnsiTheme="minorHAnsi" w:cstheme="minorHAnsi"/>
                <w:bCs/>
                <w:color w:val="000000"/>
              </w:rPr>
              <w:t xml:space="preserve">Prezes StoWI od 2023 r. </w:t>
            </w:r>
          </w:p>
          <w:p w14:paraId="09057B7F" w14:textId="77777777" w:rsidR="004B308F" w:rsidRPr="006A1234" w:rsidRDefault="004B308F" w:rsidP="005027DA">
            <w:pPr>
              <w:pStyle w:val="Akapitzlist"/>
              <w:ind w:left="669"/>
              <w:rPr>
                <w:rFonts w:ascii="Times New Roman" w:eastAsia="Times New Roman" w:hAnsi="Times New Roman" w:cstheme="minorHAnsi"/>
                <w:b/>
                <w:bCs/>
                <w:color w:val="000000"/>
                <w:sz w:val="26"/>
                <w:szCs w:val="26"/>
              </w:rPr>
            </w:pPr>
          </w:p>
        </w:tc>
      </w:tr>
    </w:tbl>
    <w:p w14:paraId="5C1AE883" w14:textId="3A057FF7" w:rsidR="004B308F" w:rsidRDefault="0001114C" w:rsidP="0001114C">
      <w:pPr>
        <w:spacing w:after="0" w:line="240" w:lineRule="auto"/>
        <w:jc w:val="center"/>
        <w:rPr>
          <w:b/>
          <w:bCs/>
        </w:rPr>
      </w:pPr>
      <w:r>
        <w:rPr>
          <w:b/>
          <w:bCs/>
        </w:rPr>
        <w:t>* * *</w:t>
      </w:r>
    </w:p>
    <w:p w14:paraId="34D0E518" w14:textId="0250F4F9" w:rsidR="00E251B1" w:rsidRDefault="00E251B1" w:rsidP="00E251B1">
      <w:pPr>
        <w:spacing w:after="0"/>
        <w:jc w:val="center"/>
        <w:rPr>
          <w:rStyle w:val="Nagwek2Znak"/>
        </w:rPr>
      </w:pPr>
    </w:p>
    <w:p w14:paraId="0CC033A3" w14:textId="77777777" w:rsidR="00E251B1" w:rsidRDefault="00E251B1" w:rsidP="00E251B1">
      <w:pPr>
        <w:spacing w:after="0"/>
        <w:jc w:val="center"/>
        <w:rPr>
          <w:sz w:val="24"/>
          <w:szCs w:val="24"/>
        </w:rPr>
      </w:pPr>
      <w:r w:rsidRPr="00E251B1">
        <w:rPr>
          <w:b/>
          <w:bCs/>
          <w:sz w:val="24"/>
          <w:szCs w:val="24"/>
        </w:rPr>
        <w:t xml:space="preserve">Sposób </w:t>
      </w:r>
      <w:r w:rsidRPr="00E251B1">
        <w:rPr>
          <w:b/>
          <w:bCs/>
          <w:i/>
          <w:iCs/>
          <w:sz w:val="24"/>
          <w:szCs w:val="24"/>
        </w:rPr>
        <w:t>„na wnuczka”</w:t>
      </w:r>
      <w:r w:rsidRPr="00E251B1">
        <w:rPr>
          <w:b/>
          <w:bCs/>
          <w:sz w:val="24"/>
          <w:szCs w:val="24"/>
        </w:rPr>
        <w:t xml:space="preserve"> i sposób </w:t>
      </w:r>
      <w:r w:rsidRPr="00E251B1">
        <w:rPr>
          <w:b/>
          <w:bCs/>
          <w:i/>
          <w:iCs/>
          <w:sz w:val="24"/>
          <w:szCs w:val="24"/>
        </w:rPr>
        <w:t>„na patent”</w:t>
      </w:r>
      <w:r w:rsidRPr="00E251B1">
        <w:rPr>
          <w:sz w:val="24"/>
          <w:szCs w:val="24"/>
        </w:rPr>
        <w:t xml:space="preserve"> </w:t>
      </w:r>
    </w:p>
    <w:p w14:paraId="63AB1A63" w14:textId="76D2B6EA" w:rsidR="00E251B1" w:rsidRPr="00491ADF" w:rsidRDefault="00E251B1" w:rsidP="00E251B1">
      <w:pPr>
        <w:jc w:val="center"/>
        <w:rPr>
          <w:b/>
          <w:bCs/>
          <w:color w:val="2E74B5" w:themeColor="accent5" w:themeShade="BF"/>
        </w:rPr>
      </w:pPr>
      <w:r w:rsidRPr="00491ADF">
        <w:rPr>
          <w:b/>
          <w:bCs/>
          <w:color w:val="2E74B5" w:themeColor="accent5" w:themeShade="BF"/>
        </w:rPr>
        <w:t>„</w:t>
      </w:r>
      <w:proofErr w:type="spellStart"/>
      <w:r w:rsidRPr="00491ADF">
        <w:rPr>
          <w:b/>
          <w:bCs/>
          <w:color w:val="2E74B5" w:themeColor="accent5" w:themeShade="BF"/>
        </w:rPr>
        <w:t>Grandparent</w:t>
      </w:r>
      <w:proofErr w:type="spellEnd"/>
      <w:r w:rsidRPr="00491ADF">
        <w:rPr>
          <w:b/>
          <w:bCs/>
          <w:color w:val="2E74B5" w:themeColor="accent5" w:themeShade="BF"/>
        </w:rPr>
        <w:t xml:space="preserve">” </w:t>
      </w:r>
      <w:proofErr w:type="spellStart"/>
      <w:r w:rsidRPr="00491ADF">
        <w:rPr>
          <w:b/>
          <w:bCs/>
          <w:color w:val="2E74B5" w:themeColor="accent5" w:themeShade="BF"/>
        </w:rPr>
        <w:t>scam</w:t>
      </w:r>
      <w:proofErr w:type="spellEnd"/>
      <w:r w:rsidRPr="00491ADF">
        <w:rPr>
          <w:b/>
          <w:bCs/>
          <w:color w:val="2E74B5" w:themeColor="accent5" w:themeShade="BF"/>
        </w:rPr>
        <w:t xml:space="preserve"> and „patent” </w:t>
      </w:r>
      <w:proofErr w:type="spellStart"/>
      <w:r w:rsidRPr="00491ADF">
        <w:rPr>
          <w:b/>
          <w:bCs/>
          <w:color w:val="2E74B5" w:themeColor="accent5" w:themeShade="BF"/>
        </w:rPr>
        <w:t>scam</w:t>
      </w:r>
      <w:proofErr w:type="spellEnd"/>
    </w:p>
    <w:p w14:paraId="104E3652" w14:textId="77777777" w:rsidR="00894027" w:rsidRPr="00E251B1" w:rsidRDefault="00894027" w:rsidP="00894027">
      <w:pPr>
        <w:spacing w:after="0" w:line="240" w:lineRule="auto"/>
        <w:ind w:firstLine="567"/>
        <w:jc w:val="both"/>
        <w:rPr>
          <w:b/>
          <w:bCs/>
          <w:sz w:val="10"/>
          <w:szCs w:val="10"/>
        </w:rPr>
      </w:pPr>
    </w:p>
    <w:p w14:paraId="5A9B3BB3" w14:textId="77777777" w:rsidR="00894027" w:rsidRPr="00E251B1" w:rsidRDefault="00894027" w:rsidP="00070E92">
      <w:pPr>
        <w:spacing w:after="0" w:line="240" w:lineRule="auto"/>
        <w:rPr>
          <w:rFonts w:cstheme="minorHAnsi"/>
          <w:b/>
          <w:bCs/>
          <w:sz w:val="24"/>
          <w:szCs w:val="24"/>
          <w:lang w:eastAsia="pl-PL"/>
        </w:rPr>
      </w:pPr>
    </w:p>
    <w:p w14:paraId="00715F9B" w14:textId="5EE0C2EA" w:rsidR="00070E92" w:rsidRPr="00F5094E" w:rsidRDefault="00070E92" w:rsidP="00491ADF">
      <w:pPr>
        <w:pStyle w:val="nrbrzegowy2"/>
        <w:numPr>
          <w:ilvl w:val="0"/>
          <w:numId w:val="88"/>
        </w:numPr>
        <w:ind w:left="0" w:hanging="851"/>
      </w:pPr>
      <w:bookmarkStart w:id="135" w:name="_Hlk169173861"/>
      <w:r w:rsidRPr="00F5094E">
        <w:t>Każdy z nas prawdopodobnie słyszał o „</w:t>
      </w:r>
      <w:r w:rsidRPr="00110D84">
        <w:rPr>
          <w:i/>
          <w:iCs/>
        </w:rPr>
        <w:t>metodzie na wnuczka</w:t>
      </w:r>
      <w:r w:rsidRPr="00F5094E">
        <w:t>” (wnuczek rzekomo spowodował wypadek i trzeba mu pilnie pomóc, ponieważ musi od razu zapłacić, gdyż inaczej będzie miał kłopoty i zostanie wezwana Policja).</w:t>
      </w:r>
    </w:p>
    <w:p w14:paraId="34C066BB" w14:textId="3076761F" w:rsidR="00F5094E" w:rsidRPr="00491ADF" w:rsidRDefault="00F5094E"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Everyone has probably heard of a „</w:t>
      </w:r>
      <w:r w:rsidRPr="00491ADF">
        <w:rPr>
          <w:rStyle w:val="Uwydatnienie"/>
          <w:rFonts w:asciiTheme="minorHAnsi" w:hAnsiTheme="minorHAnsi" w:cstheme="minorHAnsi"/>
          <w:color w:val="2E74B5" w:themeColor="accent5" w:themeShade="BF"/>
          <w:lang w:val="en-GB"/>
        </w:rPr>
        <w:t>grandparent scam</w:t>
      </w:r>
      <w:r w:rsidRPr="00491ADF">
        <w:rPr>
          <w:rFonts w:asciiTheme="minorHAnsi" w:hAnsiTheme="minorHAnsi" w:cstheme="minorHAnsi"/>
          <w:color w:val="2E74B5" w:themeColor="accent5" w:themeShade="BF"/>
          <w:lang w:val="en-GB"/>
        </w:rPr>
        <w:t xml:space="preserve">” (a grandson allegedly caused an accident, needs an urgent help and must pay immediately </w:t>
      </w:r>
      <w:r w:rsidR="00F07894" w:rsidRPr="00491ADF">
        <w:rPr>
          <w:rFonts w:asciiTheme="minorHAnsi" w:hAnsiTheme="minorHAnsi" w:cstheme="minorHAnsi"/>
          <w:color w:val="2E74B5" w:themeColor="accent5" w:themeShade="BF"/>
          <w:lang w:val="en-GB"/>
        </w:rPr>
        <w:t>-</w:t>
      </w:r>
      <w:r w:rsidRPr="00491ADF">
        <w:rPr>
          <w:rFonts w:asciiTheme="minorHAnsi" w:hAnsiTheme="minorHAnsi" w:cstheme="minorHAnsi"/>
          <w:color w:val="2E74B5" w:themeColor="accent5" w:themeShade="BF"/>
          <w:lang w:val="en-GB"/>
        </w:rPr>
        <w:t xml:space="preserve"> otherwise he will get into trouble and the police will be called).</w:t>
      </w:r>
    </w:p>
    <w:p w14:paraId="186D73C9" w14:textId="51F18558" w:rsidR="00070E92" w:rsidRPr="00186799" w:rsidRDefault="00070E92" w:rsidP="00491ADF">
      <w:pPr>
        <w:pStyle w:val="nrbrzegowy2"/>
        <w:ind w:left="0" w:hanging="851"/>
        <w:rPr>
          <w:rFonts w:cstheme="minorHAnsi"/>
          <w:szCs w:val="24"/>
        </w:rPr>
      </w:pPr>
      <w:r w:rsidRPr="00186799">
        <w:rPr>
          <w:rFonts w:cstheme="minorHAnsi"/>
          <w:szCs w:val="24"/>
        </w:rPr>
        <w:t>Czy jednak znacie Państwo „</w:t>
      </w:r>
      <w:r w:rsidRPr="00186799">
        <w:rPr>
          <w:rFonts w:cstheme="minorHAnsi"/>
          <w:i/>
          <w:iCs/>
          <w:szCs w:val="24"/>
        </w:rPr>
        <w:t>sposób na patent</w:t>
      </w:r>
      <w:r w:rsidRPr="00186799">
        <w:rPr>
          <w:rFonts w:cstheme="minorHAnsi"/>
          <w:szCs w:val="24"/>
        </w:rPr>
        <w:t>”? Ktoś zapewnia, że ma patent (myli często wynalazki ze znakami towarowymi oraz z innymi prawami)</w:t>
      </w:r>
      <w:r w:rsidR="004C4D78" w:rsidRPr="00186799">
        <w:rPr>
          <w:rFonts w:cstheme="minorHAnsi"/>
          <w:szCs w:val="24"/>
        </w:rPr>
        <w:t>,</w:t>
      </w:r>
      <w:r w:rsidRPr="00186799">
        <w:rPr>
          <w:rFonts w:cstheme="minorHAnsi"/>
          <w:szCs w:val="24"/>
        </w:rPr>
        <w:t xml:space="preserve"> zawiadamia organy ścigania, by pomogły mu w obronie jego rzekomych praw.</w:t>
      </w:r>
    </w:p>
    <w:p w14:paraId="45D187A9" w14:textId="77777777" w:rsidR="00F5094E" w:rsidRPr="00491ADF" w:rsidRDefault="00F5094E"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However, do you know the „</w:t>
      </w:r>
      <w:r w:rsidRPr="00491ADF">
        <w:rPr>
          <w:rStyle w:val="Uwydatnienie"/>
          <w:rFonts w:asciiTheme="minorHAnsi" w:hAnsiTheme="minorHAnsi" w:cstheme="minorHAnsi"/>
          <w:color w:val="2E74B5" w:themeColor="accent5" w:themeShade="BF"/>
          <w:lang w:val="en-GB"/>
        </w:rPr>
        <w:t>patent scam</w:t>
      </w:r>
      <w:r w:rsidRPr="00491ADF">
        <w:rPr>
          <w:rFonts w:asciiTheme="minorHAnsi" w:hAnsiTheme="minorHAnsi" w:cstheme="minorHAnsi"/>
          <w:color w:val="2E74B5" w:themeColor="accent5" w:themeShade="BF"/>
          <w:lang w:val="en-GB"/>
        </w:rPr>
        <w:t>”? Someone claims to have a patent (often confusing inventions with trademarks and other rights) and contacts investigating authorities so that they could help to defend the alleged rights.</w:t>
      </w:r>
    </w:p>
    <w:p w14:paraId="39FF9B85" w14:textId="10F3D083" w:rsidR="00070E92" w:rsidRPr="00186799" w:rsidRDefault="00070E92" w:rsidP="00491ADF">
      <w:pPr>
        <w:pStyle w:val="nrbrzegowy2"/>
        <w:ind w:left="0" w:hanging="851"/>
        <w:rPr>
          <w:rFonts w:cstheme="minorHAnsi"/>
          <w:szCs w:val="24"/>
        </w:rPr>
      </w:pPr>
      <w:r w:rsidRPr="00186799">
        <w:rPr>
          <w:rFonts w:cstheme="minorHAnsi"/>
          <w:szCs w:val="24"/>
        </w:rPr>
        <w:t>Złodziej posługujący się „</w:t>
      </w:r>
      <w:r w:rsidRPr="00186799">
        <w:rPr>
          <w:rFonts w:cstheme="minorHAnsi"/>
          <w:i/>
          <w:iCs/>
          <w:szCs w:val="24"/>
        </w:rPr>
        <w:t>metodą na wnuczka</w:t>
      </w:r>
      <w:r w:rsidRPr="00186799">
        <w:rPr>
          <w:rFonts w:cstheme="minorHAnsi"/>
          <w:szCs w:val="24"/>
        </w:rPr>
        <w:t>” kradnie zwykle kilka tysięcy złotych. Natomiast „</w:t>
      </w:r>
      <w:r w:rsidRPr="00186799">
        <w:rPr>
          <w:rFonts w:cstheme="minorHAnsi"/>
          <w:i/>
          <w:iCs/>
          <w:szCs w:val="24"/>
        </w:rPr>
        <w:t>metodą</w:t>
      </w:r>
      <w:r w:rsidRPr="00186799">
        <w:rPr>
          <w:rFonts w:cstheme="minorHAnsi"/>
          <w:szCs w:val="24"/>
        </w:rPr>
        <w:t xml:space="preserve"> </w:t>
      </w:r>
      <w:r w:rsidRPr="00186799">
        <w:rPr>
          <w:rFonts w:cstheme="minorHAnsi"/>
          <w:i/>
          <w:iCs/>
          <w:szCs w:val="24"/>
        </w:rPr>
        <w:t>na patent</w:t>
      </w:r>
      <w:r w:rsidRPr="00186799">
        <w:rPr>
          <w:rFonts w:cstheme="minorHAnsi"/>
          <w:szCs w:val="24"/>
        </w:rPr>
        <w:t>” kradnie się miliony. Ten proceder trwa.</w:t>
      </w:r>
    </w:p>
    <w:p w14:paraId="6059CA3D" w14:textId="77777777" w:rsidR="00F5094E" w:rsidRPr="00491ADF" w:rsidRDefault="00F5094E"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A thief using a „</w:t>
      </w:r>
      <w:r w:rsidRPr="00491ADF">
        <w:rPr>
          <w:rStyle w:val="Uwydatnienie"/>
          <w:rFonts w:asciiTheme="minorHAnsi" w:hAnsiTheme="minorHAnsi" w:cstheme="minorHAnsi"/>
          <w:color w:val="2E74B5" w:themeColor="accent5" w:themeShade="BF"/>
          <w:lang w:val="en-GB"/>
        </w:rPr>
        <w:t>grandparent scam</w:t>
      </w:r>
      <w:r w:rsidRPr="00491ADF">
        <w:rPr>
          <w:rFonts w:asciiTheme="minorHAnsi" w:hAnsiTheme="minorHAnsi" w:cstheme="minorHAnsi"/>
          <w:color w:val="2E74B5" w:themeColor="accent5" w:themeShade="BF"/>
          <w:lang w:val="en-GB"/>
        </w:rPr>
        <w:t>” usually steals several thousand zlotys.</w:t>
      </w:r>
      <w:r w:rsidRPr="00491ADF">
        <w:rPr>
          <w:rFonts w:asciiTheme="minorHAnsi" w:hAnsiTheme="minorHAnsi" w:cstheme="minorHAnsi"/>
          <w:color w:val="2E74B5" w:themeColor="accent5" w:themeShade="BF"/>
          <w:lang w:val="en-GB"/>
        </w:rPr>
        <w:br/>
        <w:t xml:space="preserve">By a </w:t>
      </w:r>
      <w:r w:rsidRPr="00491ADF">
        <w:rPr>
          <w:rStyle w:val="Uwydatnienie"/>
          <w:rFonts w:asciiTheme="minorHAnsi" w:hAnsiTheme="minorHAnsi" w:cstheme="minorHAnsi"/>
          <w:color w:val="2E74B5" w:themeColor="accent5" w:themeShade="BF"/>
          <w:lang w:val="en-GB"/>
        </w:rPr>
        <w:t>„patent scam</w:t>
      </w:r>
      <w:r w:rsidRPr="00491ADF">
        <w:rPr>
          <w:rFonts w:asciiTheme="minorHAnsi" w:hAnsiTheme="minorHAnsi" w:cstheme="minorHAnsi"/>
          <w:color w:val="2E74B5" w:themeColor="accent5" w:themeShade="BF"/>
          <w:lang w:val="en-GB"/>
        </w:rPr>
        <w:t>” millions are being stolen. This process is underway.</w:t>
      </w:r>
    </w:p>
    <w:p w14:paraId="7E52CF69" w14:textId="77777777" w:rsidR="00F5094E" w:rsidRPr="00F5094E" w:rsidRDefault="00F5094E" w:rsidP="00110D84">
      <w:pPr>
        <w:pStyle w:val="nrbrzegowy2"/>
        <w:numPr>
          <w:ilvl w:val="0"/>
          <w:numId w:val="0"/>
        </w:numPr>
        <w:ind w:hanging="709"/>
        <w:rPr>
          <w:rFonts w:cstheme="minorHAnsi"/>
          <w:szCs w:val="24"/>
          <w:lang w:val="en-GB"/>
        </w:rPr>
      </w:pPr>
    </w:p>
    <w:p w14:paraId="37BE3BD3" w14:textId="77777777" w:rsidR="00070E92" w:rsidRPr="00186799" w:rsidRDefault="00070E92" w:rsidP="00110D84">
      <w:pPr>
        <w:pStyle w:val="nrbrzegowy2"/>
        <w:numPr>
          <w:ilvl w:val="0"/>
          <w:numId w:val="0"/>
        </w:numPr>
        <w:rPr>
          <w:rFonts w:cstheme="minorHAnsi"/>
          <w:b/>
          <w:szCs w:val="24"/>
        </w:rPr>
      </w:pPr>
      <w:r w:rsidRPr="00186799">
        <w:rPr>
          <w:rFonts w:cstheme="minorHAnsi"/>
          <w:b/>
          <w:szCs w:val="24"/>
        </w:rPr>
        <w:t>Tak więc udoskonalonym sposobem „</w:t>
      </w:r>
      <w:r w:rsidRPr="00186799">
        <w:rPr>
          <w:rFonts w:cstheme="minorHAnsi"/>
          <w:b/>
          <w:i/>
          <w:iCs/>
          <w:szCs w:val="24"/>
        </w:rPr>
        <w:t>na wnuczka</w:t>
      </w:r>
      <w:r w:rsidRPr="00186799">
        <w:rPr>
          <w:rFonts w:cstheme="minorHAnsi"/>
          <w:b/>
          <w:szCs w:val="24"/>
        </w:rPr>
        <w:t>” jest oszukiwanie metodą „</w:t>
      </w:r>
      <w:r w:rsidRPr="00186799">
        <w:rPr>
          <w:rFonts w:cstheme="minorHAnsi"/>
          <w:b/>
          <w:i/>
          <w:iCs/>
          <w:szCs w:val="24"/>
        </w:rPr>
        <w:t>na patent</w:t>
      </w:r>
      <w:r w:rsidRPr="00186799">
        <w:rPr>
          <w:rFonts w:cstheme="minorHAnsi"/>
          <w:b/>
          <w:szCs w:val="24"/>
        </w:rPr>
        <w:t>”.</w:t>
      </w:r>
    </w:p>
    <w:p w14:paraId="4DF6BDA1" w14:textId="77777777" w:rsidR="00F5094E" w:rsidRPr="00491ADF" w:rsidRDefault="00F5094E" w:rsidP="00110D84">
      <w:pPr>
        <w:pStyle w:val="nrbrzegowy2"/>
        <w:numPr>
          <w:ilvl w:val="0"/>
          <w:numId w:val="0"/>
        </w:numPr>
        <w:rPr>
          <w:rStyle w:val="Pogrubienie"/>
          <w:rFonts w:asciiTheme="minorHAnsi" w:eastAsiaTheme="majorEastAsia" w:hAnsiTheme="minorHAnsi" w:cstheme="minorHAnsi"/>
          <w:color w:val="2E74B5" w:themeColor="accent5" w:themeShade="BF"/>
          <w:lang w:val="en-GB"/>
        </w:rPr>
      </w:pPr>
      <w:r w:rsidRPr="00491ADF">
        <w:rPr>
          <w:rStyle w:val="Pogrubienie"/>
          <w:rFonts w:asciiTheme="minorHAnsi" w:hAnsiTheme="minorHAnsi" w:cstheme="minorHAnsi"/>
          <w:color w:val="2E74B5" w:themeColor="accent5" w:themeShade="BF"/>
          <w:lang w:val="en-GB"/>
        </w:rPr>
        <w:t>Thus, an improved</w:t>
      </w:r>
      <w:r w:rsidRPr="00491ADF">
        <w:rPr>
          <w:rStyle w:val="Pogrubienie"/>
          <w:rFonts w:asciiTheme="minorHAnsi" w:eastAsiaTheme="majorEastAsia" w:hAnsiTheme="minorHAnsi" w:cstheme="minorHAnsi"/>
          <w:color w:val="2E74B5" w:themeColor="accent5" w:themeShade="BF"/>
          <w:lang w:val="en-GB"/>
        </w:rPr>
        <w:t xml:space="preserve"> </w:t>
      </w:r>
      <w:r w:rsidRPr="00491ADF">
        <w:rPr>
          <w:rStyle w:val="Uwydatnienie"/>
          <w:rFonts w:asciiTheme="minorHAnsi" w:hAnsiTheme="minorHAnsi" w:cstheme="minorHAnsi"/>
          <w:b/>
          <w:color w:val="2E74B5" w:themeColor="accent5" w:themeShade="BF"/>
          <w:lang w:val="en-GB"/>
        </w:rPr>
        <w:t>“grandparent”</w:t>
      </w:r>
      <w:r w:rsidRPr="00491ADF">
        <w:rPr>
          <w:rStyle w:val="Uwydatnienie"/>
          <w:rFonts w:asciiTheme="minorHAnsi" w:eastAsiaTheme="majorEastAsia" w:hAnsiTheme="minorHAnsi" w:cstheme="minorHAnsi"/>
          <w:b/>
          <w:color w:val="2E74B5" w:themeColor="accent5" w:themeShade="BF"/>
          <w:lang w:val="en-GB"/>
        </w:rPr>
        <w:t xml:space="preserve"> </w:t>
      </w:r>
      <w:r w:rsidRPr="00491ADF">
        <w:rPr>
          <w:rStyle w:val="Pogrubienie"/>
          <w:rFonts w:asciiTheme="minorHAnsi" w:hAnsiTheme="minorHAnsi" w:cstheme="minorHAnsi"/>
          <w:color w:val="2E74B5" w:themeColor="accent5" w:themeShade="BF"/>
          <w:lang w:val="en-GB"/>
        </w:rPr>
        <w:t>scam is to cheat using the</w:t>
      </w:r>
      <w:r w:rsidRPr="00491ADF">
        <w:rPr>
          <w:rStyle w:val="Pogrubienie"/>
          <w:rFonts w:asciiTheme="minorHAnsi" w:eastAsiaTheme="majorEastAsia" w:hAnsiTheme="minorHAnsi" w:cstheme="minorHAnsi"/>
          <w:color w:val="2E74B5" w:themeColor="accent5" w:themeShade="BF"/>
          <w:lang w:val="en-GB"/>
        </w:rPr>
        <w:t xml:space="preserve"> </w:t>
      </w:r>
      <w:r w:rsidRPr="00491ADF">
        <w:rPr>
          <w:rStyle w:val="Uwydatnienie"/>
          <w:rFonts w:asciiTheme="minorHAnsi" w:hAnsiTheme="minorHAnsi" w:cstheme="minorHAnsi"/>
          <w:b/>
          <w:color w:val="2E74B5" w:themeColor="accent5" w:themeShade="BF"/>
          <w:lang w:val="en-GB"/>
        </w:rPr>
        <w:t>“patent”</w:t>
      </w:r>
      <w:r w:rsidRPr="00491ADF">
        <w:rPr>
          <w:rStyle w:val="Uwydatnienie"/>
          <w:rFonts w:asciiTheme="minorHAnsi" w:eastAsiaTheme="majorEastAsia" w:hAnsiTheme="minorHAnsi" w:cstheme="minorHAnsi"/>
          <w:b/>
          <w:color w:val="2E74B5" w:themeColor="accent5" w:themeShade="BF"/>
          <w:lang w:val="en-GB"/>
        </w:rPr>
        <w:t xml:space="preserve"> </w:t>
      </w:r>
      <w:r w:rsidRPr="00491ADF">
        <w:rPr>
          <w:rStyle w:val="Pogrubienie"/>
          <w:rFonts w:asciiTheme="minorHAnsi" w:hAnsiTheme="minorHAnsi" w:cstheme="minorHAnsi"/>
          <w:color w:val="2E74B5" w:themeColor="accent5" w:themeShade="BF"/>
          <w:lang w:val="en-GB"/>
        </w:rPr>
        <w:t>scam.</w:t>
      </w:r>
    </w:p>
    <w:p w14:paraId="0DD59E16" w14:textId="77777777" w:rsidR="00F5094E" w:rsidRPr="00186799" w:rsidRDefault="00F5094E" w:rsidP="00110D84">
      <w:pPr>
        <w:pStyle w:val="nrbrzegowy2"/>
        <w:numPr>
          <w:ilvl w:val="0"/>
          <w:numId w:val="0"/>
        </w:numPr>
        <w:ind w:hanging="709"/>
        <w:rPr>
          <w:rFonts w:asciiTheme="minorHAnsi" w:hAnsiTheme="minorHAnsi" w:cstheme="minorHAnsi"/>
          <w:color w:val="4472C4" w:themeColor="accent1"/>
          <w:lang w:val="en-GB"/>
        </w:rPr>
      </w:pPr>
    </w:p>
    <w:p w14:paraId="4C7EBB6A" w14:textId="77777777" w:rsidR="00070E92" w:rsidRPr="00186799" w:rsidRDefault="00070E92" w:rsidP="00491ADF">
      <w:pPr>
        <w:pStyle w:val="nrbrzegowy2"/>
        <w:ind w:left="0" w:hanging="851"/>
        <w:rPr>
          <w:rFonts w:cstheme="minorHAnsi"/>
          <w:szCs w:val="24"/>
        </w:rPr>
      </w:pPr>
      <w:r w:rsidRPr="00186799">
        <w:rPr>
          <w:rFonts w:cstheme="minorHAnsi"/>
          <w:szCs w:val="24"/>
        </w:rPr>
        <w:t xml:space="preserve">Okradani tym wyrafinowanym sposobem są nawet doświadczeni przedsiębiorcy. </w:t>
      </w:r>
    </w:p>
    <w:p w14:paraId="0BCAFB80" w14:textId="77777777" w:rsidR="00F5094E" w:rsidRPr="00491ADF" w:rsidRDefault="00F5094E"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lastRenderedPageBreak/>
        <w:t>Even experienced entrepreneurs are robbed by this sophisticated method.</w:t>
      </w:r>
    </w:p>
    <w:p w14:paraId="34E8AD4C" w14:textId="78ACCA87" w:rsidR="00070E92" w:rsidRPr="00186799" w:rsidRDefault="00070E92" w:rsidP="00491ADF">
      <w:pPr>
        <w:pStyle w:val="nrbrzegowy2"/>
        <w:ind w:left="0" w:hanging="851"/>
        <w:rPr>
          <w:rFonts w:cstheme="minorHAnsi"/>
          <w:szCs w:val="24"/>
        </w:rPr>
      </w:pPr>
      <w:r w:rsidRPr="00186799">
        <w:rPr>
          <w:rFonts w:cstheme="minorHAnsi"/>
          <w:szCs w:val="24"/>
        </w:rPr>
        <w:t xml:space="preserve">Zapewnieniom, że rzekomo ktoś naruszył prawa do patentu, prawa wynikające z rejestracji znaku towarowego, czy też wzoru przemysłowego </w:t>
      </w:r>
      <w:r w:rsidR="00F66EBC">
        <w:rPr>
          <w:rFonts w:cstheme="minorHAnsi"/>
          <w:szCs w:val="24"/>
        </w:rPr>
        <w:t>-</w:t>
      </w:r>
      <w:r w:rsidRPr="00186799">
        <w:rPr>
          <w:rFonts w:cstheme="minorHAnsi"/>
          <w:szCs w:val="24"/>
        </w:rPr>
        <w:t xml:space="preserve"> dają się zwieść nawet sędziowie, niefrasobliwie wydający postanowienia „</w:t>
      </w:r>
      <w:r w:rsidRPr="00186799">
        <w:rPr>
          <w:rFonts w:cstheme="minorHAnsi"/>
          <w:i/>
          <w:iCs/>
          <w:szCs w:val="24"/>
        </w:rPr>
        <w:t>o zabezpieczeniu roszczeń</w:t>
      </w:r>
      <w:r w:rsidRPr="00186799">
        <w:rPr>
          <w:rFonts w:cstheme="minorHAnsi"/>
          <w:szCs w:val="24"/>
        </w:rPr>
        <w:t>”, które zgodnie z prawem zapadają na posiedzeniach niejawnych bez wysłuchania strony, której konkurent zarzuca naruszaniem prawa.</w:t>
      </w:r>
    </w:p>
    <w:p w14:paraId="7573D055" w14:textId="679AD05B" w:rsidR="00F5094E" w:rsidRPr="00491ADF" w:rsidRDefault="00F5094E"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Even judges, recklessly issuing </w:t>
      </w:r>
      <w:r w:rsidRPr="00491ADF">
        <w:rPr>
          <w:rStyle w:val="Uwydatnienie"/>
          <w:rFonts w:asciiTheme="minorHAnsi" w:hAnsiTheme="minorHAnsi" w:cstheme="minorHAnsi"/>
          <w:color w:val="2E74B5" w:themeColor="accent5" w:themeShade="BF"/>
          <w:lang w:val="en-GB"/>
        </w:rPr>
        <w:t>“securing claims”</w:t>
      </w:r>
      <w:r w:rsidRPr="00491ADF">
        <w:rPr>
          <w:rFonts w:asciiTheme="minorHAnsi" w:hAnsiTheme="minorHAnsi" w:cstheme="minorHAnsi"/>
          <w:color w:val="2E74B5" w:themeColor="accent5" w:themeShade="BF"/>
          <w:lang w:val="en-GB"/>
        </w:rPr>
        <w:t xml:space="preserve"> decisions, which are legally issued in closed sessions without hearing the party allegedly infringing the law, are fooled by assurances that someone has allegedly infringed rights to a patent, trademark or industrial design.</w:t>
      </w:r>
    </w:p>
    <w:p w14:paraId="5D4D03A4" w14:textId="168179F9" w:rsidR="00070E92" w:rsidRPr="00186799" w:rsidRDefault="00070E92" w:rsidP="00491ADF">
      <w:pPr>
        <w:pStyle w:val="nrbrzegowy2"/>
        <w:ind w:left="0" w:hanging="851"/>
        <w:rPr>
          <w:rFonts w:cstheme="minorHAnsi"/>
          <w:szCs w:val="24"/>
        </w:rPr>
      </w:pPr>
      <w:r w:rsidRPr="00186799">
        <w:rPr>
          <w:rFonts w:cstheme="minorHAnsi"/>
          <w:szCs w:val="24"/>
        </w:rPr>
        <w:t>Organy ścigania pozwalają się wykorzystywać instrumentalnie nieetycznie działającym pełnomocnikom wykonującym teoretycznie zawody zaufania publicznego.</w:t>
      </w:r>
    </w:p>
    <w:p w14:paraId="601CD94E" w14:textId="77777777" w:rsidR="00F5094E" w:rsidRPr="00491ADF" w:rsidRDefault="00F5094E"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Investigating authorities allow themselves to be used instrumentally by unethically acting attorneys theoretically practising a profession of public trust.</w:t>
      </w:r>
    </w:p>
    <w:p w14:paraId="0F3D5698" w14:textId="77777777" w:rsidR="00F5094E" w:rsidRPr="00F5094E" w:rsidRDefault="00F5094E" w:rsidP="00110D84">
      <w:pPr>
        <w:pStyle w:val="nrbrzegowy2"/>
        <w:numPr>
          <w:ilvl w:val="0"/>
          <w:numId w:val="0"/>
        </w:numPr>
        <w:ind w:hanging="709"/>
        <w:rPr>
          <w:rFonts w:cstheme="minorHAnsi"/>
          <w:szCs w:val="24"/>
          <w:lang w:val="en-GB"/>
        </w:rPr>
      </w:pPr>
    </w:p>
    <w:p w14:paraId="60B1419C" w14:textId="77777777" w:rsidR="00070E92" w:rsidRPr="00186799" w:rsidRDefault="00070E92" w:rsidP="00110D84">
      <w:pPr>
        <w:pStyle w:val="nrbrzegowy2"/>
        <w:numPr>
          <w:ilvl w:val="0"/>
          <w:numId w:val="0"/>
        </w:numPr>
        <w:rPr>
          <w:rFonts w:cstheme="minorHAnsi"/>
          <w:b/>
          <w:szCs w:val="24"/>
        </w:rPr>
      </w:pPr>
      <w:r w:rsidRPr="00186799">
        <w:rPr>
          <w:rFonts w:cstheme="minorHAnsi"/>
          <w:b/>
          <w:szCs w:val="24"/>
        </w:rPr>
        <w:t>Służę przykładami.</w:t>
      </w:r>
    </w:p>
    <w:p w14:paraId="5A6C9088" w14:textId="77777777" w:rsidR="008C11D0" w:rsidRPr="00491ADF" w:rsidRDefault="008C11D0" w:rsidP="00110D84">
      <w:pPr>
        <w:pStyle w:val="nrbrzegowy2"/>
        <w:numPr>
          <w:ilvl w:val="0"/>
          <w:numId w:val="0"/>
        </w:numPr>
        <w:rPr>
          <w:rStyle w:val="Pogrubienie"/>
          <w:rFonts w:asciiTheme="minorHAnsi" w:eastAsiaTheme="majorEastAsia" w:hAnsiTheme="minorHAnsi" w:cstheme="minorHAnsi"/>
          <w:color w:val="2E74B5" w:themeColor="accent5" w:themeShade="BF"/>
        </w:rPr>
      </w:pPr>
      <w:r w:rsidRPr="00491ADF">
        <w:rPr>
          <w:rStyle w:val="Pogrubienie"/>
          <w:rFonts w:asciiTheme="minorHAnsi" w:hAnsiTheme="minorHAnsi" w:cstheme="minorHAnsi"/>
          <w:color w:val="2E74B5" w:themeColor="accent5" w:themeShade="BF"/>
        </w:rPr>
        <w:t xml:space="preserve">I </w:t>
      </w:r>
      <w:proofErr w:type="spellStart"/>
      <w:r w:rsidRPr="00491ADF">
        <w:rPr>
          <w:rStyle w:val="Pogrubienie"/>
          <w:rFonts w:asciiTheme="minorHAnsi" w:hAnsiTheme="minorHAnsi" w:cstheme="minorHAnsi"/>
          <w:color w:val="2E74B5" w:themeColor="accent5" w:themeShade="BF"/>
        </w:rPr>
        <w:t>serve</w:t>
      </w:r>
      <w:proofErr w:type="spellEnd"/>
      <w:r w:rsidRPr="00491ADF">
        <w:rPr>
          <w:rStyle w:val="Pogrubienie"/>
          <w:rFonts w:asciiTheme="minorHAnsi" w:hAnsiTheme="minorHAnsi" w:cstheme="minorHAnsi"/>
          <w:color w:val="2E74B5" w:themeColor="accent5" w:themeShade="BF"/>
        </w:rPr>
        <w:t xml:space="preserve"> with </w:t>
      </w:r>
      <w:proofErr w:type="spellStart"/>
      <w:r w:rsidRPr="00491ADF">
        <w:rPr>
          <w:rStyle w:val="Pogrubienie"/>
          <w:rFonts w:asciiTheme="minorHAnsi" w:hAnsiTheme="minorHAnsi" w:cstheme="minorHAnsi"/>
          <w:color w:val="2E74B5" w:themeColor="accent5" w:themeShade="BF"/>
        </w:rPr>
        <w:t>examples</w:t>
      </w:r>
      <w:proofErr w:type="spellEnd"/>
      <w:r w:rsidRPr="00491ADF">
        <w:rPr>
          <w:rStyle w:val="Pogrubienie"/>
          <w:rFonts w:asciiTheme="minorHAnsi" w:hAnsiTheme="minorHAnsi" w:cstheme="minorHAnsi"/>
          <w:color w:val="2E74B5" w:themeColor="accent5" w:themeShade="BF"/>
        </w:rPr>
        <w:t>.</w:t>
      </w:r>
    </w:p>
    <w:p w14:paraId="0B2EE11B" w14:textId="77777777" w:rsidR="00070E92" w:rsidRPr="00186799" w:rsidRDefault="00070E92" w:rsidP="00110D84">
      <w:pPr>
        <w:pStyle w:val="nrbrzegowy2"/>
        <w:numPr>
          <w:ilvl w:val="0"/>
          <w:numId w:val="0"/>
        </w:numPr>
        <w:ind w:hanging="709"/>
        <w:rPr>
          <w:rFonts w:cstheme="minorHAnsi"/>
          <w:szCs w:val="24"/>
        </w:rPr>
      </w:pPr>
    </w:p>
    <w:p w14:paraId="207E7DB6" w14:textId="77777777" w:rsidR="00070E92" w:rsidRPr="00186799" w:rsidRDefault="00070E92" w:rsidP="00491ADF">
      <w:pPr>
        <w:pStyle w:val="nrbrzegowy2"/>
        <w:ind w:left="0" w:hanging="851"/>
        <w:rPr>
          <w:rFonts w:cstheme="minorHAnsi"/>
          <w:szCs w:val="24"/>
        </w:rPr>
      </w:pPr>
      <w:r w:rsidRPr="00186799">
        <w:rPr>
          <w:rFonts w:cstheme="minorHAnsi"/>
          <w:szCs w:val="24"/>
        </w:rPr>
        <w:t>W roku 2022 Policjanci w kominiarkach wkroczyli do podwarszawskiej huty szkła. Ktoś powołał się na prawa wyłączne uzyskane w trybie rejestrowym w Urzędzie Patentowym RP oraz EUIPO (</w:t>
      </w:r>
      <w:r w:rsidRPr="00186799">
        <w:rPr>
          <w:rFonts w:cstheme="minorHAnsi"/>
          <w:i/>
          <w:iCs/>
          <w:szCs w:val="24"/>
        </w:rPr>
        <w:t xml:space="preserve">European Union Intellectual Property Office </w:t>
      </w:r>
      <w:r w:rsidRPr="00186799">
        <w:rPr>
          <w:rFonts w:cstheme="minorHAnsi"/>
          <w:szCs w:val="24"/>
        </w:rPr>
        <w:t>– Urzędzie Unii Europejskiej ds. Własności Intelektualnej, dalej: „</w:t>
      </w:r>
      <w:r w:rsidRPr="00186799">
        <w:rPr>
          <w:rFonts w:cstheme="minorHAnsi"/>
          <w:i/>
          <w:iCs/>
          <w:szCs w:val="24"/>
        </w:rPr>
        <w:t>EUIPO”</w:t>
      </w:r>
      <w:r w:rsidRPr="00186799">
        <w:rPr>
          <w:rFonts w:cstheme="minorHAnsi"/>
          <w:szCs w:val="24"/>
        </w:rPr>
        <w:t>). To, że prawa te zostały udzielone „</w:t>
      </w:r>
      <w:r w:rsidRPr="00186799">
        <w:rPr>
          <w:rFonts w:cstheme="minorHAnsi"/>
          <w:i/>
          <w:iCs/>
          <w:szCs w:val="24"/>
        </w:rPr>
        <w:t>w trybie rejestrowym”</w:t>
      </w:r>
      <w:r w:rsidRPr="00186799">
        <w:rPr>
          <w:rFonts w:cstheme="minorHAnsi"/>
          <w:szCs w:val="24"/>
        </w:rPr>
        <w:t> – jest ważne. Tu zaczynają się problemy, gdyż są one udzielane po prostu po pobraniu opłaty (i bez zbadania, czy zgłaszający sam nie narusza czyichś praw). W tym trybie produkuje się nie tyle „</w:t>
      </w:r>
      <w:r w:rsidRPr="00186799">
        <w:rPr>
          <w:rFonts w:cstheme="minorHAnsi"/>
          <w:i/>
          <w:iCs/>
          <w:szCs w:val="24"/>
        </w:rPr>
        <w:t>klucze</w:t>
      </w:r>
      <w:r w:rsidRPr="00186799">
        <w:rPr>
          <w:rFonts w:cstheme="minorHAnsi"/>
          <w:szCs w:val="24"/>
        </w:rPr>
        <w:t>” do sukcesu, co raczej „</w:t>
      </w:r>
      <w:r w:rsidRPr="00186799">
        <w:rPr>
          <w:rFonts w:cstheme="minorHAnsi"/>
          <w:i/>
          <w:iCs/>
          <w:szCs w:val="24"/>
        </w:rPr>
        <w:t>wytrychy</w:t>
      </w:r>
      <w:r w:rsidRPr="00186799">
        <w:rPr>
          <w:rFonts w:cstheme="minorHAnsi"/>
          <w:szCs w:val="24"/>
        </w:rPr>
        <w:t>”.</w:t>
      </w:r>
    </w:p>
    <w:p w14:paraId="22A7CC50"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In the year 2022, police officers in firearms entered a glass factory near Warsaw. Someone invoked exclusive rights obtained in the registration mode at the Patent Office of the Republic of Poland and the EUIPO (</w:t>
      </w:r>
      <w:r w:rsidRPr="00491ADF">
        <w:rPr>
          <w:rStyle w:val="Uwydatnienie"/>
          <w:rFonts w:asciiTheme="minorHAnsi" w:hAnsiTheme="minorHAnsi" w:cstheme="minorHAnsi"/>
          <w:b/>
          <w:color w:val="2E74B5" w:themeColor="accent5" w:themeShade="BF"/>
          <w:lang w:val="en-GB"/>
        </w:rPr>
        <w:t>European Union Intellectual Property Office</w:t>
      </w:r>
      <w:r w:rsidRPr="00491ADF">
        <w:rPr>
          <w:rStyle w:val="Pogrubienie"/>
          <w:rFonts w:asciiTheme="minorHAnsi" w:hAnsiTheme="minorHAnsi" w:cstheme="minorHAnsi"/>
          <w:color w:val="2E74B5" w:themeColor="accent5" w:themeShade="BF"/>
          <w:lang w:val="en-GB"/>
        </w:rPr>
        <w:t>, hereinafter:</w:t>
      </w:r>
      <w:r w:rsidRPr="00491ADF">
        <w:rPr>
          <w:rStyle w:val="Pogrubienie"/>
          <w:rFonts w:asciiTheme="minorHAnsi" w:eastAsiaTheme="majorEastAsia" w:hAnsiTheme="minorHAnsi" w:cstheme="minorHAnsi"/>
          <w:color w:val="2E74B5" w:themeColor="accent5" w:themeShade="BF"/>
          <w:lang w:val="en-GB"/>
        </w:rPr>
        <w:t xml:space="preserve"> </w:t>
      </w:r>
      <w:r w:rsidRPr="00491ADF">
        <w:rPr>
          <w:rStyle w:val="Uwydatnienie"/>
          <w:rFonts w:asciiTheme="minorHAnsi" w:hAnsiTheme="minorHAnsi" w:cstheme="minorHAnsi"/>
          <w:b/>
          <w:color w:val="2E74B5" w:themeColor="accent5" w:themeShade="BF"/>
          <w:lang w:val="en-GB"/>
        </w:rPr>
        <w:t>“EUIPO”</w:t>
      </w:r>
      <w:r w:rsidRPr="00491ADF">
        <w:rPr>
          <w:rFonts w:asciiTheme="minorHAnsi" w:hAnsiTheme="minorHAnsi" w:cstheme="minorHAnsi"/>
          <w:color w:val="2E74B5" w:themeColor="accent5" w:themeShade="BF"/>
          <w:lang w:val="en-GB"/>
        </w:rPr>
        <w:t xml:space="preserve">). The fact that these rights have been granted </w:t>
      </w:r>
      <w:r w:rsidRPr="00491ADF">
        <w:rPr>
          <w:rStyle w:val="Uwydatnienie"/>
          <w:rFonts w:asciiTheme="minorHAnsi" w:hAnsiTheme="minorHAnsi" w:cstheme="minorHAnsi"/>
          <w:color w:val="2E74B5" w:themeColor="accent5" w:themeShade="BF"/>
          <w:lang w:val="en-GB"/>
        </w:rPr>
        <w:t>“in the registration mode”</w:t>
      </w:r>
      <w:r w:rsidRPr="00491ADF">
        <w:rPr>
          <w:rStyle w:val="Uwydatnienie"/>
          <w:rFonts w:asciiTheme="minorHAnsi" w:eastAsiaTheme="majorEastAsia" w:hAnsiTheme="minorHAnsi" w:cstheme="minorHAnsi"/>
          <w:color w:val="2E74B5" w:themeColor="accent5" w:themeShade="BF"/>
          <w:lang w:val="en-GB"/>
        </w:rPr>
        <w:t xml:space="preserve"> </w:t>
      </w:r>
      <w:r w:rsidRPr="00491ADF">
        <w:rPr>
          <w:rFonts w:asciiTheme="minorHAnsi" w:hAnsiTheme="minorHAnsi" w:cstheme="minorHAnsi"/>
          <w:color w:val="2E74B5" w:themeColor="accent5" w:themeShade="BF"/>
          <w:lang w:val="en-GB"/>
        </w:rPr>
        <w:t xml:space="preserve">– is important. This is where the problems begin, as they are granted simply by charging a fee (and without examining whether the applicant himself is infringing someone else’s rights). This mode produces not so much </w:t>
      </w:r>
      <w:r w:rsidRPr="00491ADF">
        <w:rPr>
          <w:rStyle w:val="Uwydatnienie"/>
          <w:rFonts w:asciiTheme="minorHAnsi" w:hAnsiTheme="minorHAnsi" w:cstheme="minorHAnsi"/>
          <w:color w:val="2E74B5" w:themeColor="accent5" w:themeShade="BF"/>
          <w:lang w:val="en-GB"/>
        </w:rPr>
        <w:t>“keys”</w:t>
      </w:r>
      <w:r w:rsidRPr="00491ADF">
        <w:rPr>
          <w:rStyle w:val="Uwydatnienie"/>
          <w:rFonts w:asciiTheme="minorHAnsi" w:eastAsiaTheme="majorEastAsia" w:hAnsiTheme="minorHAnsi" w:cstheme="minorHAnsi"/>
          <w:color w:val="2E74B5" w:themeColor="accent5" w:themeShade="BF"/>
          <w:lang w:val="en-GB"/>
        </w:rPr>
        <w:t xml:space="preserve"> </w:t>
      </w:r>
      <w:r w:rsidRPr="00491ADF">
        <w:rPr>
          <w:rFonts w:asciiTheme="minorHAnsi" w:hAnsiTheme="minorHAnsi" w:cstheme="minorHAnsi"/>
          <w:color w:val="2E74B5" w:themeColor="accent5" w:themeShade="BF"/>
          <w:lang w:val="en-GB"/>
        </w:rPr>
        <w:t xml:space="preserve">to success, but rather </w:t>
      </w:r>
      <w:r w:rsidRPr="00491ADF">
        <w:rPr>
          <w:rStyle w:val="Uwydatnienie"/>
          <w:rFonts w:asciiTheme="minorHAnsi" w:hAnsiTheme="minorHAnsi" w:cstheme="minorHAnsi"/>
          <w:color w:val="2E74B5" w:themeColor="accent5" w:themeShade="BF"/>
          <w:lang w:val="en-GB"/>
        </w:rPr>
        <w:t>“picklocks”</w:t>
      </w:r>
      <w:r w:rsidRPr="00491ADF">
        <w:rPr>
          <w:rFonts w:asciiTheme="minorHAnsi" w:hAnsiTheme="minorHAnsi" w:cstheme="minorHAnsi"/>
          <w:color w:val="2E74B5" w:themeColor="accent5" w:themeShade="BF"/>
          <w:lang w:val="en-GB"/>
        </w:rPr>
        <w:t>.</w:t>
      </w:r>
    </w:p>
    <w:p w14:paraId="7CA009E0" w14:textId="77777777" w:rsidR="008C11D0" w:rsidRPr="00F66EBC" w:rsidRDefault="008C11D0" w:rsidP="00491ADF">
      <w:pPr>
        <w:pStyle w:val="nrbrzegowy2"/>
        <w:numPr>
          <w:ilvl w:val="0"/>
          <w:numId w:val="0"/>
        </w:numPr>
        <w:ind w:hanging="851"/>
        <w:rPr>
          <w:rFonts w:cstheme="minorHAnsi"/>
          <w:sz w:val="10"/>
          <w:szCs w:val="10"/>
          <w:lang w:val="en-GB"/>
        </w:rPr>
      </w:pPr>
    </w:p>
    <w:p w14:paraId="2FA96BBC" w14:textId="6B5A9347" w:rsidR="00070E92" w:rsidRPr="00186799" w:rsidRDefault="00070E92" w:rsidP="00491ADF">
      <w:pPr>
        <w:pStyle w:val="nrbrzegowy2"/>
        <w:ind w:left="0" w:hanging="851"/>
        <w:rPr>
          <w:rFonts w:cstheme="minorHAnsi"/>
          <w:szCs w:val="24"/>
        </w:rPr>
      </w:pPr>
      <w:r w:rsidRPr="00186799">
        <w:rPr>
          <w:rFonts w:cstheme="minorHAnsi"/>
          <w:szCs w:val="24"/>
        </w:rPr>
        <w:t xml:space="preserve">Przedsiębiorca, którego nękano, na szczęście </w:t>
      </w:r>
      <w:r w:rsidR="008C11D0">
        <w:rPr>
          <w:rFonts w:cstheme="minorHAnsi"/>
          <w:szCs w:val="24"/>
        </w:rPr>
        <w:t xml:space="preserve">cieszy się </w:t>
      </w:r>
      <w:r w:rsidRPr="00186799">
        <w:rPr>
          <w:rFonts w:cstheme="minorHAnsi"/>
          <w:szCs w:val="24"/>
        </w:rPr>
        <w:t>żelazn</w:t>
      </w:r>
      <w:r w:rsidR="008C11D0">
        <w:rPr>
          <w:rFonts w:cstheme="minorHAnsi"/>
          <w:szCs w:val="24"/>
        </w:rPr>
        <w:t>ym</w:t>
      </w:r>
      <w:r w:rsidRPr="00186799">
        <w:rPr>
          <w:rFonts w:cstheme="minorHAnsi"/>
          <w:szCs w:val="24"/>
        </w:rPr>
        <w:t xml:space="preserve"> zdrowie</w:t>
      </w:r>
      <w:r w:rsidR="008C11D0">
        <w:rPr>
          <w:rFonts w:cstheme="minorHAnsi"/>
          <w:szCs w:val="24"/>
        </w:rPr>
        <w:t>m</w:t>
      </w:r>
      <w:r w:rsidRPr="00186799">
        <w:rPr>
          <w:rFonts w:cstheme="minorHAnsi"/>
          <w:szCs w:val="24"/>
        </w:rPr>
        <w:t xml:space="preserve"> i już zapadł wyrok wyjaśniający, że organy ścigania zostały wprowadzone w błąd.</w:t>
      </w:r>
    </w:p>
    <w:p w14:paraId="6DCA5FCC"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The entrepreneur who has been harassed fortunately has ironclad health and there has already been a judgment clarifying that the law enforcement authorities were misled.</w:t>
      </w:r>
    </w:p>
    <w:p w14:paraId="1196E31E" w14:textId="77777777" w:rsidR="00070E92" w:rsidRPr="00F66EBC" w:rsidRDefault="00070E92" w:rsidP="00491ADF">
      <w:pPr>
        <w:pStyle w:val="nrbrzegowy2"/>
        <w:numPr>
          <w:ilvl w:val="0"/>
          <w:numId w:val="0"/>
        </w:numPr>
        <w:ind w:hanging="851"/>
        <w:rPr>
          <w:rFonts w:cstheme="minorHAnsi"/>
          <w:sz w:val="10"/>
          <w:szCs w:val="10"/>
          <w:lang w:val="en-GB"/>
        </w:rPr>
      </w:pPr>
    </w:p>
    <w:p w14:paraId="6493A4E0" w14:textId="77777777" w:rsidR="00070E92" w:rsidRPr="00186799" w:rsidRDefault="00070E92" w:rsidP="00491ADF">
      <w:pPr>
        <w:pStyle w:val="nrbrzegowy2"/>
        <w:ind w:left="0" w:hanging="851"/>
        <w:rPr>
          <w:rFonts w:cstheme="minorHAnsi"/>
          <w:szCs w:val="24"/>
        </w:rPr>
      </w:pPr>
      <w:r w:rsidRPr="00186799">
        <w:rPr>
          <w:rFonts w:cstheme="minorHAnsi"/>
          <w:szCs w:val="24"/>
        </w:rPr>
        <w:t>Swego rodzaju epicentrum takich niechlubnych akcji stała się południowa część Polski. Na przykład przedsiębiorca produkujący urządzenia grzewcze świetnej jakości został swoiście „</w:t>
      </w:r>
      <w:r w:rsidRPr="00186799">
        <w:rPr>
          <w:rFonts w:cstheme="minorHAnsi"/>
          <w:i/>
          <w:iCs/>
          <w:szCs w:val="24"/>
        </w:rPr>
        <w:t>doceniony</w:t>
      </w:r>
      <w:r w:rsidRPr="00186799">
        <w:rPr>
          <w:rFonts w:cstheme="minorHAnsi"/>
          <w:szCs w:val="24"/>
        </w:rPr>
        <w:t>” przez konkurenta, który rozesłał do odbiorców pisma zarzucające mu, że jego produkty naruszają prawa własności intelektualnej. W rezultacie odbiorcy zaczęli zwracać urządzenia rzetelnie działającemu przedsiębiorcy.</w:t>
      </w:r>
    </w:p>
    <w:p w14:paraId="48EC2FEB"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US"/>
        </w:rPr>
        <w:t xml:space="preserve">The southern part of Poland has become a kind of </w:t>
      </w:r>
      <w:proofErr w:type="spellStart"/>
      <w:r w:rsidRPr="00491ADF">
        <w:rPr>
          <w:rFonts w:asciiTheme="minorHAnsi" w:hAnsiTheme="minorHAnsi" w:cstheme="minorHAnsi"/>
          <w:color w:val="2E74B5" w:themeColor="accent5" w:themeShade="BF"/>
          <w:lang w:val="en-US"/>
        </w:rPr>
        <w:t>epicentre</w:t>
      </w:r>
      <w:proofErr w:type="spellEnd"/>
      <w:r w:rsidRPr="00491ADF">
        <w:rPr>
          <w:rFonts w:asciiTheme="minorHAnsi" w:hAnsiTheme="minorHAnsi" w:cstheme="minorHAnsi"/>
          <w:color w:val="2E74B5" w:themeColor="accent5" w:themeShade="BF"/>
          <w:lang w:val="en-US"/>
        </w:rPr>
        <w:t xml:space="preserve"> of such infamous actions. </w:t>
      </w:r>
      <w:r w:rsidRPr="00491ADF">
        <w:rPr>
          <w:rFonts w:asciiTheme="minorHAnsi" w:hAnsiTheme="minorHAnsi" w:cstheme="minorHAnsi"/>
          <w:color w:val="2E74B5" w:themeColor="accent5" w:themeShade="BF"/>
          <w:lang w:val="en-GB"/>
        </w:rPr>
        <w:t xml:space="preserve">For example, an entrepreneur producing heating devices of excellent quality was </w:t>
      </w:r>
      <w:r w:rsidRPr="00491ADF">
        <w:rPr>
          <w:rStyle w:val="Uwydatnienie"/>
          <w:rFonts w:asciiTheme="minorHAnsi" w:hAnsiTheme="minorHAnsi" w:cstheme="minorHAnsi"/>
          <w:color w:val="2E74B5" w:themeColor="accent5" w:themeShade="BF"/>
          <w:lang w:val="en-GB"/>
        </w:rPr>
        <w:t>“appreciated”</w:t>
      </w:r>
      <w:r w:rsidRPr="00491ADF">
        <w:rPr>
          <w:rFonts w:asciiTheme="minorHAnsi" w:hAnsiTheme="minorHAnsi" w:cstheme="minorHAnsi"/>
          <w:color w:val="2E74B5" w:themeColor="accent5" w:themeShade="BF"/>
          <w:lang w:val="en-GB"/>
        </w:rPr>
        <w:t xml:space="preserve"> in a peculiar way by a competitor, who sent letters to customers accusing him of infringing intellectual property rights with his products. As a result, customers started to return the devices to the reliable entrepreneur.</w:t>
      </w:r>
    </w:p>
    <w:p w14:paraId="4DDD96BA" w14:textId="77777777" w:rsidR="008C11D0" w:rsidRPr="00F66EBC" w:rsidRDefault="008C11D0" w:rsidP="00491ADF">
      <w:pPr>
        <w:pStyle w:val="nrbrzegowy2"/>
        <w:numPr>
          <w:ilvl w:val="0"/>
          <w:numId w:val="0"/>
        </w:numPr>
        <w:ind w:hanging="851"/>
        <w:rPr>
          <w:rFonts w:cstheme="minorHAnsi"/>
          <w:sz w:val="10"/>
          <w:szCs w:val="10"/>
          <w:lang w:val="en-GB"/>
        </w:rPr>
      </w:pPr>
    </w:p>
    <w:p w14:paraId="0F29214F" w14:textId="2DD134A6" w:rsidR="00070E92" w:rsidRPr="00186799" w:rsidRDefault="00070E92" w:rsidP="00491ADF">
      <w:pPr>
        <w:pStyle w:val="nrbrzegowy2"/>
        <w:ind w:left="0" w:hanging="851"/>
        <w:rPr>
          <w:rFonts w:cstheme="minorHAnsi"/>
          <w:szCs w:val="24"/>
        </w:rPr>
      </w:pPr>
      <w:r w:rsidRPr="00186799">
        <w:rPr>
          <w:rFonts w:cstheme="minorHAnsi"/>
          <w:szCs w:val="24"/>
        </w:rPr>
        <w:lastRenderedPageBreak/>
        <w:t>W innym przypadku producent ozdób choinkowych zrezygnował z dużego kontraktu, gdyż ktoś twierdził, że spinka z kawałka drutu łącząca ze sobą dwa elementy narusza prawa do wzoru użytkowego (prawo udzielone przez Urząd Patentowy RP w wyniku pomyłki zostało już unieważnione, lecz zanim uporządkowany został stan prawny – atrakcyjny kontrakt zrealizowany został już przez producenta w innym kraju).</w:t>
      </w:r>
    </w:p>
    <w:p w14:paraId="4D0A3640"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In another case, a manufacturer of Christmas tree ornaments resigned from a large contract, as someone claimed that a pin made of a piece of wire connecting two elements together infringed rights to a utility model (the right granted by the Patent Office of the Republic of Poland as a result of a mistake had already been invalidated, but before the legal status was sorted out – an attractive contract had already been carried out by a manufacturer in another country).</w:t>
      </w:r>
    </w:p>
    <w:p w14:paraId="37EF97CF" w14:textId="77777777" w:rsidR="00070E92" w:rsidRPr="00F66EBC" w:rsidRDefault="00070E92" w:rsidP="00491ADF">
      <w:pPr>
        <w:pStyle w:val="nrbrzegowy2"/>
        <w:numPr>
          <w:ilvl w:val="0"/>
          <w:numId w:val="0"/>
        </w:numPr>
        <w:ind w:hanging="851"/>
        <w:rPr>
          <w:rFonts w:cstheme="minorHAnsi"/>
          <w:sz w:val="10"/>
          <w:szCs w:val="10"/>
          <w:lang w:val="en-GB"/>
        </w:rPr>
      </w:pPr>
    </w:p>
    <w:p w14:paraId="7D9FBE4E" w14:textId="77777777" w:rsidR="00070E92" w:rsidRPr="00186799" w:rsidRDefault="00070E92" w:rsidP="00491ADF">
      <w:pPr>
        <w:pStyle w:val="nrbrzegowy2"/>
        <w:ind w:left="0" w:hanging="851"/>
        <w:rPr>
          <w:rFonts w:cstheme="minorHAnsi"/>
          <w:szCs w:val="24"/>
        </w:rPr>
      </w:pPr>
      <w:r w:rsidRPr="00186799">
        <w:rPr>
          <w:rFonts w:cstheme="minorHAnsi"/>
          <w:szCs w:val="24"/>
        </w:rPr>
        <w:t>Nie można dopuścić do tego, by w ten sposób dodatkowo destabilizowana była polska gospodarka.</w:t>
      </w:r>
    </w:p>
    <w:p w14:paraId="6DCA93B5"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The Polish economy should not be allowed to be further destabilised in this way.</w:t>
      </w:r>
    </w:p>
    <w:p w14:paraId="195BB20E" w14:textId="77777777" w:rsidR="008C11D0" w:rsidRPr="00F66EBC" w:rsidRDefault="008C11D0" w:rsidP="00491ADF">
      <w:pPr>
        <w:pStyle w:val="nrbrzegowy2"/>
        <w:numPr>
          <w:ilvl w:val="0"/>
          <w:numId w:val="0"/>
        </w:numPr>
        <w:ind w:hanging="851"/>
        <w:rPr>
          <w:rFonts w:cstheme="minorHAnsi"/>
          <w:sz w:val="10"/>
          <w:szCs w:val="10"/>
          <w:lang w:val="en-GB"/>
        </w:rPr>
      </w:pPr>
    </w:p>
    <w:p w14:paraId="7454BBEE" w14:textId="63283A91" w:rsidR="00070E92" w:rsidRPr="00186799" w:rsidRDefault="00070E92" w:rsidP="00491ADF">
      <w:pPr>
        <w:pStyle w:val="nrbrzegowy2"/>
        <w:ind w:left="0" w:hanging="851"/>
        <w:rPr>
          <w:rFonts w:cstheme="minorHAnsi"/>
          <w:szCs w:val="24"/>
        </w:rPr>
      </w:pPr>
      <w:r w:rsidRPr="00186799">
        <w:rPr>
          <w:rFonts w:cstheme="minorHAnsi"/>
          <w:szCs w:val="24"/>
        </w:rPr>
        <w:t>Dlatego te przykłady nękania przedsiębiorców „</w:t>
      </w:r>
      <w:r w:rsidRPr="00186799">
        <w:rPr>
          <w:rFonts w:cstheme="minorHAnsi"/>
          <w:i/>
          <w:iCs/>
          <w:szCs w:val="24"/>
        </w:rPr>
        <w:t>metodą na patent</w:t>
      </w:r>
      <w:r w:rsidRPr="00186799">
        <w:rPr>
          <w:rFonts w:cstheme="minorHAnsi"/>
          <w:szCs w:val="24"/>
        </w:rPr>
        <w:t>” nie powinny zakończyć się na etapie wyjaśnienia, że wysuwane roszczenia były nieuzasadnione… Ktoś, kto nęka innych, powinien zostać oduczony takich bezprawnych praktyk.</w:t>
      </w:r>
    </w:p>
    <w:p w14:paraId="59C2DB7A"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Therefore, these examples of harassment of entrepreneurs by the </w:t>
      </w:r>
      <w:r w:rsidRPr="00491ADF">
        <w:rPr>
          <w:rStyle w:val="Uwydatnienie"/>
          <w:rFonts w:asciiTheme="minorHAnsi" w:hAnsiTheme="minorHAnsi" w:cstheme="minorHAnsi"/>
          <w:color w:val="2E74B5" w:themeColor="accent5" w:themeShade="BF"/>
          <w:lang w:val="en-GB"/>
        </w:rPr>
        <w:t>“patent scam”</w:t>
      </w:r>
      <w:r w:rsidRPr="00491ADF">
        <w:rPr>
          <w:rFonts w:asciiTheme="minorHAnsi" w:hAnsiTheme="minorHAnsi" w:cstheme="minorHAnsi"/>
          <w:color w:val="2E74B5" w:themeColor="accent5" w:themeShade="BF"/>
          <w:lang w:val="en-GB"/>
        </w:rPr>
        <w:t xml:space="preserve"> should not end with the explanation that the made claims were unjustified... Someone who harasses others should be refrained from such unlawful practices.</w:t>
      </w:r>
    </w:p>
    <w:p w14:paraId="71BA9491" w14:textId="77777777" w:rsidR="00070E92" w:rsidRPr="00F66EBC" w:rsidRDefault="00070E92" w:rsidP="00491ADF">
      <w:pPr>
        <w:pStyle w:val="nrbrzegowy2"/>
        <w:numPr>
          <w:ilvl w:val="0"/>
          <w:numId w:val="0"/>
        </w:numPr>
        <w:ind w:hanging="851"/>
        <w:rPr>
          <w:rFonts w:cstheme="minorHAnsi"/>
          <w:sz w:val="10"/>
          <w:szCs w:val="10"/>
          <w:lang w:val="en-GB"/>
        </w:rPr>
      </w:pPr>
    </w:p>
    <w:p w14:paraId="1DE2694D" w14:textId="77777777" w:rsidR="00070E92" w:rsidRPr="00186799" w:rsidRDefault="00070E92" w:rsidP="00491ADF">
      <w:pPr>
        <w:pStyle w:val="nrbrzegowy2"/>
        <w:ind w:left="0" w:hanging="851"/>
        <w:rPr>
          <w:rFonts w:cstheme="minorHAnsi"/>
          <w:szCs w:val="24"/>
        </w:rPr>
      </w:pPr>
      <w:r w:rsidRPr="00186799">
        <w:rPr>
          <w:rFonts w:cstheme="minorHAnsi"/>
          <w:szCs w:val="24"/>
        </w:rPr>
        <w:t>System prawa własności przemysłowej w Polsce wymaga gruntownej naprawy, ale przecież nie zaproponował jej projekt ustawy UD263.</w:t>
      </w:r>
    </w:p>
    <w:p w14:paraId="4AE66FC3"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The system of industrial property law in Poland </w:t>
      </w:r>
      <w:proofErr w:type="gramStart"/>
      <w:r w:rsidRPr="00491ADF">
        <w:rPr>
          <w:rFonts w:asciiTheme="minorHAnsi" w:hAnsiTheme="minorHAnsi" w:cstheme="minorHAnsi"/>
          <w:color w:val="2E74B5" w:themeColor="accent5" w:themeShade="BF"/>
          <w:lang w:val="en-GB"/>
        </w:rPr>
        <w:t>is in need of</w:t>
      </w:r>
      <w:proofErr w:type="gramEnd"/>
      <w:r w:rsidRPr="00491ADF">
        <w:rPr>
          <w:rFonts w:asciiTheme="minorHAnsi" w:hAnsiTheme="minorHAnsi" w:cstheme="minorHAnsi"/>
          <w:color w:val="2E74B5" w:themeColor="accent5" w:themeShade="BF"/>
          <w:lang w:val="en-GB"/>
        </w:rPr>
        <w:t xml:space="preserve"> a thorough overhaul, but after all it has not been proposed by the UD263 act draft.</w:t>
      </w:r>
    </w:p>
    <w:p w14:paraId="5D6D7320" w14:textId="77777777" w:rsidR="008C11D0" w:rsidRPr="00F66EBC" w:rsidRDefault="008C11D0" w:rsidP="00491ADF">
      <w:pPr>
        <w:pStyle w:val="nrbrzegowy2"/>
        <w:numPr>
          <w:ilvl w:val="0"/>
          <w:numId w:val="0"/>
        </w:numPr>
        <w:ind w:hanging="851"/>
        <w:rPr>
          <w:rFonts w:cstheme="minorHAnsi"/>
          <w:sz w:val="10"/>
          <w:szCs w:val="10"/>
          <w:lang w:val="en-GB"/>
        </w:rPr>
      </w:pPr>
    </w:p>
    <w:p w14:paraId="11EE74BC" w14:textId="5300B6B1" w:rsidR="00070E92" w:rsidRPr="00186799" w:rsidRDefault="00070E92" w:rsidP="00491ADF">
      <w:pPr>
        <w:pStyle w:val="nrbrzegowy2"/>
        <w:ind w:left="0" w:hanging="851"/>
        <w:rPr>
          <w:rFonts w:cstheme="minorHAnsi"/>
          <w:szCs w:val="24"/>
        </w:rPr>
      </w:pPr>
      <w:r w:rsidRPr="00186799">
        <w:rPr>
          <w:rFonts w:cstheme="minorHAnsi"/>
          <w:szCs w:val="24"/>
        </w:rPr>
        <w:t>Na przykład w zaproponowanym art. 120 projektu UD263 najpierw przygotowywano zmasowane udzielanie przez Urząd Patentowy RP w trybie rejestrowym (a więc łatwym i szybkim, ograniczającym się właściwie do pobrania opłaty), a następnie skomplikowane, kosztowne i czasochłonne spory:</w:t>
      </w:r>
    </w:p>
    <w:p w14:paraId="76B6C47E" w14:textId="77777777" w:rsidR="008C11D0" w:rsidRPr="00491ADF" w:rsidRDefault="008C11D0" w:rsidP="00491ADF">
      <w:pPr>
        <w:pStyle w:val="nrbrzegowy2"/>
        <w:numPr>
          <w:ilvl w:val="0"/>
          <w:numId w:val="0"/>
        </w:numPr>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For example, in the proposed Article 120 of the UD263 draft, first the mass granting of rights by the Patent Office of the Republic of Poland under the registration mode (i.e. easy and quick, </w:t>
      </w:r>
      <w:proofErr w:type="gramStart"/>
      <w:r w:rsidRPr="00491ADF">
        <w:rPr>
          <w:rFonts w:asciiTheme="minorHAnsi" w:hAnsiTheme="minorHAnsi" w:cstheme="minorHAnsi"/>
          <w:color w:val="2E74B5" w:themeColor="accent5" w:themeShade="BF"/>
          <w:lang w:val="en-GB"/>
        </w:rPr>
        <w:t>actually limited</w:t>
      </w:r>
      <w:proofErr w:type="gramEnd"/>
      <w:r w:rsidRPr="00491ADF">
        <w:rPr>
          <w:rFonts w:asciiTheme="minorHAnsi" w:hAnsiTheme="minorHAnsi" w:cstheme="minorHAnsi"/>
          <w:color w:val="2E74B5" w:themeColor="accent5" w:themeShade="BF"/>
          <w:lang w:val="en-GB"/>
        </w:rPr>
        <w:t xml:space="preserve"> to the collection of a fee) was prepared, followed by complicated, costly and time-consuming disputes:</w:t>
      </w:r>
    </w:p>
    <w:p w14:paraId="040107E6" w14:textId="77777777" w:rsidR="00070E92" w:rsidRPr="008C11D0" w:rsidRDefault="00070E92" w:rsidP="00110D84">
      <w:pPr>
        <w:shd w:val="clear" w:color="auto" w:fill="FFFFFF"/>
        <w:spacing w:after="0" w:line="240" w:lineRule="auto"/>
        <w:ind w:hanging="709"/>
        <w:jc w:val="both"/>
        <w:rPr>
          <w:rFonts w:eastAsia="Times New Roman" w:cstheme="minorHAnsi"/>
          <w:color w:val="0070C0"/>
          <w:kern w:val="0"/>
          <w:sz w:val="6"/>
          <w:szCs w:val="6"/>
          <w:lang w:val="en-GB" w:eastAsia="pl-PL"/>
          <w14:ligatures w14:val="none"/>
        </w:rPr>
      </w:pPr>
    </w:p>
    <w:p w14:paraId="3698AD7D" w14:textId="77777777" w:rsidR="00070E92" w:rsidRPr="00186799" w:rsidRDefault="00070E92" w:rsidP="00110D84">
      <w:pPr>
        <w:shd w:val="clear" w:color="auto" w:fill="FFFFFF"/>
        <w:spacing w:after="0" w:line="240" w:lineRule="auto"/>
        <w:ind w:left="567"/>
        <w:jc w:val="both"/>
        <w:rPr>
          <w:rFonts w:eastAsia="Times New Roman" w:cstheme="minorHAnsi"/>
          <w:b/>
          <w:bCs/>
          <w:kern w:val="0"/>
          <w:sz w:val="24"/>
          <w:szCs w:val="24"/>
          <w:lang w:eastAsia="pl-PL"/>
          <w14:ligatures w14:val="none"/>
        </w:rPr>
      </w:pPr>
      <w:r w:rsidRPr="00186799">
        <w:rPr>
          <w:rFonts w:eastAsia="Times New Roman" w:cstheme="minorHAnsi"/>
          <w:b/>
          <w:bCs/>
          <w:kern w:val="0"/>
          <w:sz w:val="24"/>
          <w:szCs w:val="24"/>
          <w:lang w:eastAsia="pl-PL"/>
          <w14:ligatures w14:val="none"/>
        </w:rPr>
        <w:t>Art. 120.</w:t>
      </w:r>
    </w:p>
    <w:p w14:paraId="1A447153" w14:textId="77777777" w:rsidR="00070E92" w:rsidRPr="00186799" w:rsidRDefault="00070E92"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kern w:val="0"/>
          <w:sz w:val="24"/>
          <w:szCs w:val="24"/>
          <w:lang w:eastAsia="pl-PL"/>
          <w14:ligatures w14:val="none"/>
        </w:rPr>
        <w:t>Na wzór użytkowy udziela się prawa z rejestracji.</w:t>
      </w:r>
    </w:p>
    <w:p w14:paraId="3B96A7BA" w14:textId="77777777" w:rsidR="008C11D0" w:rsidRPr="00491ADF" w:rsidRDefault="008C11D0" w:rsidP="00110D84">
      <w:pPr>
        <w:pStyle w:val="NormalnyWeb"/>
        <w:shd w:val="clear" w:color="auto" w:fill="FFFFFF"/>
        <w:spacing w:before="0" w:beforeAutospacing="0" w:after="0" w:afterAutospacing="0"/>
        <w:ind w:left="567"/>
        <w:jc w:val="both"/>
        <w:rPr>
          <w:rStyle w:val="Pogrubienie"/>
          <w:rFonts w:asciiTheme="minorHAnsi" w:eastAsiaTheme="majorEastAsia" w:hAnsiTheme="minorHAnsi" w:cstheme="minorHAnsi"/>
          <w:color w:val="2E74B5" w:themeColor="accent5" w:themeShade="BF"/>
          <w:lang w:val="en-GB"/>
        </w:rPr>
      </w:pPr>
      <w:r w:rsidRPr="00491ADF">
        <w:rPr>
          <w:rStyle w:val="Pogrubienie"/>
          <w:rFonts w:asciiTheme="minorHAnsi" w:hAnsiTheme="minorHAnsi" w:cstheme="minorHAnsi"/>
          <w:color w:val="2E74B5" w:themeColor="accent5" w:themeShade="BF"/>
          <w:lang w:val="en-GB"/>
        </w:rPr>
        <w:t>Article 120.</w:t>
      </w:r>
    </w:p>
    <w:p w14:paraId="1DAD4EAF"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The registration right is granted for the utility model.</w:t>
      </w:r>
    </w:p>
    <w:p w14:paraId="4EBC399E" w14:textId="77777777" w:rsidR="00070E92" w:rsidRPr="008C11D0" w:rsidRDefault="00070E92" w:rsidP="00110D84">
      <w:pPr>
        <w:shd w:val="clear" w:color="auto" w:fill="FFFFFF"/>
        <w:spacing w:after="0" w:line="240" w:lineRule="auto"/>
        <w:ind w:left="567"/>
        <w:jc w:val="both"/>
        <w:rPr>
          <w:rFonts w:eastAsia="Times New Roman" w:cstheme="minorHAnsi"/>
          <w:kern w:val="0"/>
          <w:sz w:val="6"/>
          <w:szCs w:val="6"/>
          <w:lang w:val="en-US" w:eastAsia="pl-PL"/>
          <w14:ligatures w14:val="none"/>
        </w:rPr>
      </w:pPr>
    </w:p>
    <w:p w14:paraId="25FB52A5" w14:textId="77777777" w:rsidR="00070E92" w:rsidRPr="00186799" w:rsidRDefault="00070E92" w:rsidP="00110D84">
      <w:pPr>
        <w:shd w:val="clear" w:color="auto" w:fill="FFFFFF"/>
        <w:spacing w:after="0" w:line="240" w:lineRule="auto"/>
        <w:ind w:left="567"/>
        <w:jc w:val="both"/>
        <w:rPr>
          <w:rFonts w:eastAsia="Times New Roman" w:cstheme="minorHAnsi"/>
          <w:b/>
          <w:bCs/>
          <w:kern w:val="0"/>
          <w:sz w:val="24"/>
          <w:szCs w:val="24"/>
          <w:lang w:eastAsia="pl-PL"/>
          <w14:ligatures w14:val="none"/>
        </w:rPr>
      </w:pPr>
      <w:r w:rsidRPr="00186799">
        <w:rPr>
          <w:rFonts w:eastAsia="Times New Roman" w:cstheme="minorHAnsi"/>
          <w:b/>
          <w:bCs/>
          <w:kern w:val="0"/>
          <w:sz w:val="24"/>
          <w:szCs w:val="24"/>
          <w:lang w:eastAsia="pl-PL"/>
          <w14:ligatures w14:val="none"/>
        </w:rPr>
        <w:t>Art. 477.</w:t>
      </w:r>
    </w:p>
    <w:p w14:paraId="359E3B2A" w14:textId="77777777" w:rsidR="00070E92" w:rsidRPr="00186799" w:rsidRDefault="00070E92"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kern w:val="0"/>
          <w:sz w:val="24"/>
          <w:szCs w:val="24"/>
          <w:lang w:eastAsia="pl-PL"/>
          <w14:ligatures w14:val="none"/>
        </w:rPr>
        <w:t>1. Do wzorów użytkowych oraz wzorów przemysłowych przepisy art. 470–474 stosuje się odpowiednio.</w:t>
      </w:r>
    </w:p>
    <w:p w14:paraId="531A5ED9" w14:textId="77777777" w:rsidR="008C11D0" w:rsidRPr="00491ADF" w:rsidRDefault="008C11D0" w:rsidP="00110D84">
      <w:pPr>
        <w:pStyle w:val="NormalnyWeb"/>
        <w:shd w:val="clear" w:color="auto" w:fill="FFFFFF"/>
        <w:spacing w:before="0" w:beforeAutospacing="0" w:after="0" w:afterAutospacing="0"/>
        <w:ind w:left="567"/>
        <w:jc w:val="both"/>
        <w:rPr>
          <w:rStyle w:val="Pogrubienie"/>
          <w:rFonts w:asciiTheme="minorHAnsi" w:eastAsiaTheme="majorEastAsia" w:hAnsiTheme="minorHAnsi" w:cstheme="minorHAnsi"/>
          <w:color w:val="2E74B5" w:themeColor="accent5" w:themeShade="BF"/>
          <w:lang w:val="en-GB"/>
        </w:rPr>
      </w:pPr>
      <w:r w:rsidRPr="00491ADF">
        <w:rPr>
          <w:rStyle w:val="Pogrubienie"/>
          <w:rFonts w:asciiTheme="minorHAnsi" w:hAnsiTheme="minorHAnsi" w:cstheme="minorHAnsi"/>
          <w:color w:val="2E74B5" w:themeColor="accent5" w:themeShade="BF"/>
          <w:lang w:val="en-GB"/>
        </w:rPr>
        <w:t>Article 477</w:t>
      </w:r>
    </w:p>
    <w:p w14:paraId="35B58E6A"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1. The provisions of Art. 470-474 shall apply accordingly.</w:t>
      </w:r>
    </w:p>
    <w:p w14:paraId="12508F14" w14:textId="77777777" w:rsidR="00070E92" w:rsidRPr="008C11D0" w:rsidRDefault="00070E92" w:rsidP="00110D84">
      <w:pPr>
        <w:shd w:val="clear" w:color="auto" w:fill="FFFFFF"/>
        <w:spacing w:after="0" w:line="240" w:lineRule="auto"/>
        <w:ind w:left="567"/>
        <w:jc w:val="both"/>
        <w:rPr>
          <w:rFonts w:eastAsia="Times New Roman" w:cstheme="minorHAnsi"/>
          <w:kern w:val="0"/>
          <w:sz w:val="6"/>
          <w:szCs w:val="6"/>
          <w:lang w:val="en-GB" w:eastAsia="pl-PL"/>
          <w14:ligatures w14:val="none"/>
        </w:rPr>
      </w:pPr>
    </w:p>
    <w:p w14:paraId="378DBD6B" w14:textId="77777777" w:rsidR="00070E92" w:rsidRPr="00186799" w:rsidRDefault="00070E92"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b/>
          <w:bCs/>
          <w:kern w:val="0"/>
          <w:sz w:val="24"/>
          <w:szCs w:val="24"/>
          <w:lang w:eastAsia="pl-PL"/>
          <w14:ligatures w14:val="none"/>
        </w:rPr>
        <w:t xml:space="preserve">Art. 470. </w:t>
      </w:r>
      <w:r w:rsidRPr="00186799">
        <w:rPr>
          <w:rFonts w:eastAsia="Times New Roman" w:cstheme="minorHAnsi"/>
          <w:kern w:val="0"/>
          <w:sz w:val="24"/>
          <w:szCs w:val="24"/>
          <w:lang w:eastAsia="pl-PL"/>
          <w14:ligatures w14:val="none"/>
        </w:rPr>
        <w:t>1. Uprawniony z patentu, którego patent został naruszony lub osoba, której ustawa na to zezwala, może żądać od naruszającego patent:</w:t>
      </w:r>
    </w:p>
    <w:p w14:paraId="53A892D4" w14:textId="77777777" w:rsidR="00070E92" w:rsidRPr="00186799" w:rsidRDefault="00070E92"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kern w:val="0"/>
          <w:sz w:val="24"/>
          <w:szCs w:val="24"/>
          <w:lang w:eastAsia="pl-PL"/>
          <w14:ligatures w14:val="none"/>
        </w:rPr>
        <w:t>1) zaniechania naruszania;</w:t>
      </w:r>
    </w:p>
    <w:p w14:paraId="0515AA82" w14:textId="77777777" w:rsidR="00070E92" w:rsidRPr="00186799" w:rsidRDefault="00070E92"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kern w:val="0"/>
          <w:sz w:val="24"/>
          <w:szCs w:val="24"/>
          <w:lang w:eastAsia="pl-PL"/>
          <w14:ligatures w14:val="none"/>
        </w:rPr>
        <w:t>2) usunięcia skutków naruszenia;</w:t>
      </w:r>
    </w:p>
    <w:p w14:paraId="2B3AE863" w14:textId="77777777" w:rsidR="00070E92" w:rsidRPr="008C11D0" w:rsidRDefault="00070E92" w:rsidP="00110D84">
      <w:pPr>
        <w:shd w:val="clear" w:color="auto" w:fill="FFFFFF"/>
        <w:spacing w:after="0" w:line="240" w:lineRule="auto"/>
        <w:ind w:left="567"/>
        <w:jc w:val="both"/>
        <w:rPr>
          <w:rFonts w:eastAsia="Times New Roman" w:cstheme="minorHAnsi"/>
          <w:kern w:val="0"/>
          <w:sz w:val="24"/>
          <w:szCs w:val="24"/>
          <w:lang w:val="en-US" w:eastAsia="pl-PL"/>
          <w14:ligatures w14:val="none"/>
        </w:rPr>
      </w:pPr>
      <w:r w:rsidRPr="008C11D0">
        <w:rPr>
          <w:rFonts w:eastAsia="Times New Roman" w:cstheme="minorHAnsi"/>
          <w:kern w:val="0"/>
          <w:sz w:val="24"/>
          <w:szCs w:val="24"/>
          <w:lang w:val="en-US" w:eastAsia="pl-PL"/>
          <w14:ligatures w14:val="none"/>
        </w:rPr>
        <w:lastRenderedPageBreak/>
        <w:t xml:space="preserve">3) </w:t>
      </w:r>
      <w:proofErr w:type="spellStart"/>
      <w:r w:rsidRPr="008C11D0">
        <w:rPr>
          <w:rFonts w:eastAsia="Times New Roman" w:cstheme="minorHAnsi"/>
          <w:kern w:val="0"/>
          <w:sz w:val="24"/>
          <w:szCs w:val="24"/>
          <w:lang w:val="en-US" w:eastAsia="pl-PL"/>
          <w14:ligatures w14:val="none"/>
        </w:rPr>
        <w:t>naprawienia</w:t>
      </w:r>
      <w:proofErr w:type="spellEnd"/>
      <w:r w:rsidRPr="008C11D0">
        <w:rPr>
          <w:rFonts w:eastAsia="Times New Roman" w:cstheme="minorHAnsi"/>
          <w:kern w:val="0"/>
          <w:sz w:val="24"/>
          <w:szCs w:val="24"/>
          <w:lang w:val="en-US" w:eastAsia="pl-PL"/>
          <w14:ligatures w14:val="none"/>
        </w:rPr>
        <w:t xml:space="preserve"> </w:t>
      </w:r>
      <w:proofErr w:type="spellStart"/>
      <w:r w:rsidRPr="008C11D0">
        <w:rPr>
          <w:rFonts w:eastAsia="Times New Roman" w:cstheme="minorHAnsi"/>
          <w:kern w:val="0"/>
          <w:sz w:val="24"/>
          <w:szCs w:val="24"/>
          <w:lang w:val="en-US" w:eastAsia="pl-PL"/>
          <w14:ligatures w14:val="none"/>
        </w:rPr>
        <w:t>wyrządzonej</w:t>
      </w:r>
      <w:proofErr w:type="spellEnd"/>
      <w:r w:rsidRPr="008C11D0">
        <w:rPr>
          <w:rFonts w:eastAsia="Times New Roman" w:cstheme="minorHAnsi"/>
          <w:kern w:val="0"/>
          <w:sz w:val="24"/>
          <w:szCs w:val="24"/>
          <w:lang w:val="en-US" w:eastAsia="pl-PL"/>
          <w14:ligatures w14:val="none"/>
        </w:rPr>
        <w:t xml:space="preserve"> </w:t>
      </w:r>
      <w:proofErr w:type="spellStart"/>
      <w:r w:rsidRPr="008C11D0">
        <w:rPr>
          <w:rFonts w:eastAsia="Times New Roman" w:cstheme="minorHAnsi"/>
          <w:kern w:val="0"/>
          <w:sz w:val="24"/>
          <w:szCs w:val="24"/>
          <w:lang w:val="en-US" w:eastAsia="pl-PL"/>
          <w14:ligatures w14:val="none"/>
        </w:rPr>
        <w:t>szkody</w:t>
      </w:r>
      <w:proofErr w:type="spellEnd"/>
      <w:r w:rsidRPr="008C11D0">
        <w:rPr>
          <w:rFonts w:eastAsia="Times New Roman" w:cstheme="minorHAnsi"/>
          <w:kern w:val="0"/>
          <w:sz w:val="24"/>
          <w:szCs w:val="24"/>
          <w:lang w:val="en-US" w:eastAsia="pl-PL"/>
          <w14:ligatures w14:val="none"/>
        </w:rPr>
        <w:t>: […].</w:t>
      </w:r>
    </w:p>
    <w:p w14:paraId="409D3001"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Style w:val="Pogrubienie"/>
          <w:rFonts w:asciiTheme="minorHAnsi" w:hAnsiTheme="minorHAnsi" w:cstheme="minorHAnsi"/>
          <w:color w:val="2E74B5" w:themeColor="accent5" w:themeShade="BF"/>
          <w:lang w:val="en-GB"/>
        </w:rPr>
        <w:t>Article 470.</w:t>
      </w:r>
      <w:r w:rsidRPr="00491ADF">
        <w:rPr>
          <w:rFonts w:asciiTheme="minorHAnsi" w:hAnsiTheme="minorHAnsi" w:cstheme="minorHAnsi"/>
          <w:color w:val="2E74B5" w:themeColor="accent5" w:themeShade="BF"/>
          <w:lang w:val="en-GB"/>
        </w:rPr>
        <w:t xml:space="preserve"> 1. A patent holder whose patent has been infringed or a person authorized by law to do so may demand from the infringer:</w:t>
      </w:r>
    </w:p>
    <w:p w14:paraId="69476A48"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1) cessation of </w:t>
      </w:r>
      <w:proofErr w:type="gramStart"/>
      <w:r w:rsidRPr="00491ADF">
        <w:rPr>
          <w:rFonts w:asciiTheme="minorHAnsi" w:hAnsiTheme="minorHAnsi" w:cstheme="minorHAnsi"/>
          <w:color w:val="2E74B5" w:themeColor="accent5" w:themeShade="BF"/>
          <w:lang w:val="en-GB"/>
        </w:rPr>
        <w:t>infringement;</w:t>
      </w:r>
      <w:proofErr w:type="gramEnd"/>
    </w:p>
    <w:p w14:paraId="73C536C7"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2) remove the effects of the </w:t>
      </w:r>
      <w:proofErr w:type="gramStart"/>
      <w:r w:rsidRPr="00491ADF">
        <w:rPr>
          <w:rFonts w:asciiTheme="minorHAnsi" w:hAnsiTheme="minorHAnsi" w:cstheme="minorHAnsi"/>
          <w:color w:val="2E74B5" w:themeColor="accent5" w:themeShade="BF"/>
          <w:lang w:val="en-GB"/>
        </w:rPr>
        <w:t>infringement;</w:t>
      </w:r>
      <w:proofErr w:type="gramEnd"/>
    </w:p>
    <w:p w14:paraId="6FD35C56"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3) compensation for the damage caused: […].</w:t>
      </w:r>
    </w:p>
    <w:p w14:paraId="03246800" w14:textId="77777777" w:rsidR="008C11D0" w:rsidRPr="002F7E5D" w:rsidRDefault="008C11D0" w:rsidP="00110D84">
      <w:pPr>
        <w:shd w:val="clear" w:color="auto" w:fill="FFFFFF"/>
        <w:spacing w:after="0" w:line="240" w:lineRule="auto"/>
        <w:ind w:hanging="709"/>
        <w:jc w:val="both"/>
        <w:rPr>
          <w:rFonts w:eastAsia="Times New Roman" w:cstheme="minorHAnsi"/>
          <w:kern w:val="0"/>
          <w:sz w:val="10"/>
          <w:szCs w:val="10"/>
          <w:lang w:val="en-US" w:eastAsia="pl-PL"/>
          <w14:ligatures w14:val="none"/>
        </w:rPr>
      </w:pPr>
    </w:p>
    <w:p w14:paraId="45BAF385" w14:textId="0E984890" w:rsidR="008C11D0" w:rsidRDefault="008C11D0" w:rsidP="00110D84">
      <w:pPr>
        <w:pStyle w:val="nrbrzegowy2"/>
        <w:ind w:left="0" w:hanging="709"/>
      </w:pPr>
      <w:r w:rsidRPr="00186799">
        <w:t xml:space="preserve">Co więcej, </w:t>
      </w:r>
      <w:r w:rsidRPr="008C11D0">
        <w:rPr>
          <w:b/>
        </w:rPr>
        <w:t>w art. 481 UD263 właściwie doradzano</w:t>
      </w:r>
      <w:r w:rsidRPr="00186799">
        <w:t>, by w przypadku naruszyciela praw do znaku towarowego roszczenia wysuwane były także wobec krawca osoby, której zarzucono naruszenie prawa, skoro „</w:t>
      </w:r>
      <w:proofErr w:type="gramStart"/>
      <w:r w:rsidRPr="00186799">
        <w:rPr>
          <w:i/>
          <w:iCs/>
        </w:rPr>
        <w:t>2..</w:t>
      </w:r>
      <w:proofErr w:type="gramEnd"/>
      <w:r w:rsidRPr="00186799">
        <w:t> </w:t>
      </w:r>
      <w:r w:rsidRPr="00186799">
        <w:rPr>
          <w:i/>
          <w:iCs/>
        </w:rPr>
        <w:t>Z roszczeniami […] można wystąpić również przeciwko osobie […], z której usług korzystano przy naruszeniu prawa […]</w:t>
      </w:r>
      <w:r w:rsidRPr="00186799">
        <w:t>”:</w:t>
      </w:r>
    </w:p>
    <w:p w14:paraId="21B6BC77" w14:textId="153E313C" w:rsidR="008C11D0" w:rsidRPr="00186799" w:rsidRDefault="008C11D0" w:rsidP="00110D84">
      <w:pPr>
        <w:pStyle w:val="nrbrzegowy2"/>
        <w:numPr>
          <w:ilvl w:val="0"/>
          <w:numId w:val="0"/>
        </w:numPr>
        <w:ind w:hanging="709"/>
        <w:rPr>
          <w:rFonts w:asciiTheme="minorHAnsi" w:hAnsiTheme="minorHAnsi"/>
          <w:color w:val="4472C4" w:themeColor="accent1"/>
          <w:lang w:val="en-GB"/>
        </w:rPr>
      </w:pPr>
      <w:r w:rsidRPr="002F7E5D">
        <w:rPr>
          <w:rFonts w:asciiTheme="minorHAnsi" w:hAnsiTheme="minorHAnsi"/>
          <w:color w:val="4472C4" w:themeColor="accent1"/>
        </w:rPr>
        <w:t xml:space="preserve"> </w:t>
      </w:r>
      <w:r w:rsidRPr="002F7E5D">
        <w:rPr>
          <w:rFonts w:asciiTheme="minorHAnsi" w:hAnsiTheme="minorHAnsi"/>
          <w:color w:val="4472C4" w:themeColor="accent1"/>
        </w:rPr>
        <w:tab/>
      </w:r>
      <w:r w:rsidRPr="00491ADF">
        <w:rPr>
          <w:rFonts w:asciiTheme="minorHAnsi" w:hAnsiTheme="minorHAnsi"/>
          <w:color w:val="2E74B5" w:themeColor="accent5" w:themeShade="BF"/>
          <w:lang w:val="en-GB"/>
        </w:rPr>
        <w:t>Moreover,</w:t>
      </w:r>
      <w:r w:rsidRPr="00491ADF">
        <w:rPr>
          <w:rFonts w:asciiTheme="minorHAnsi" w:hAnsiTheme="minorHAnsi"/>
          <w:b/>
          <w:color w:val="2E74B5" w:themeColor="accent5" w:themeShade="BF"/>
          <w:lang w:val="en-GB"/>
        </w:rPr>
        <w:t xml:space="preserve"> in Article 481 of UD263, it has been appropriately advised</w:t>
      </w:r>
      <w:r w:rsidRPr="00491ADF">
        <w:rPr>
          <w:rFonts w:asciiTheme="minorHAnsi" w:hAnsiTheme="minorHAnsi"/>
          <w:color w:val="2E74B5" w:themeColor="accent5" w:themeShade="BF"/>
          <w:lang w:val="en-GB"/>
        </w:rPr>
        <w:t xml:space="preserve"> that in the case of an infringer of trademark rights, claims would also be made against the tailor of the person accused of infringing the law, since </w:t>
      </w:r>
      <w:r w:rsidRPr="00491ADF">
        <w:rPr>
          <w:rStyle w:val="Uwydatnienie"/>
          <w:rFonts w:asciiTheme="minorHAnsi" w:hAnsiTheme="minorHAnsi" w:cstheme="minorHAnsi"/>
          <w:color w:val="2E74B5" w:themeColor="accent5" w:themeShade="BF"/>
          <w:lang w:val="en-GB"/>
        </w:rPr>
        <w:t>“2. The claims […] may also be brought against a person […] whose services were used in violation of the trademark protection right […]”</w:t>
      </w:r>
      <w:r w:rsidRPr="00491ADF">
        <w:rPr>
          <w:rFonts w:asciiTheme="minorHAnsi" w:hAnsiTheme="minorHAnsi"/>
          <w:color w:val="2E74B5" w:themeColor="accent5" w:themeShade="BF"/>
          <w:lang w:val="en-GB"/>
        </w:rPr>
        <w:t>:</w:t>
      </w:r>
    </w:p>
    <w:p w14:paraId="301D11C7" w14:textId="77777777" w:rsidR="008C11D0" w:rsidRPr="008C11D0" w:rsidRDefault="008C11D0" w:rsidP="00110D84">
      <w:pPr>
        <w:shd w:val="clear" w:color="auto" w:fill="FFFFFF"/>
        <w:spacing w:after="0" w:line="240" w:lineRule="auto"/>
        <w:ind w:hanging="709"/>
        <w:jc w:val="both"/>
        <w:rPr>
          <w:rFonts w:eastAsia="Times New Roman" w:cstheme="minorHAnsi"/>
          <w:kern w:val="0"/>
          <w:sz w:val="10"/>
          <w:szCs w:val="10"/>
          <w:lang w:val="en-US" w:eastAsia="pl-PL"/>
          <w14:ligatures w14:val="none"/>
        </w:rPr>
      </w:pPr>
    </w:p>
    <w:p w14:paraId="663FDEAD" w14:textId="77777777" w:rsidR="008C11D0" w:rsidRPr="00186799" w:rsidRDefault="008C11D0"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b/>
          <w:bCs/>
          <w:kern w:val="0"/>
          <w:sz w:val="24"/>
          <w:szCs w:val="24"/>
          <w:lang w:eastAsia="pl-PL"/>
          <w14:ligatures w14:val="none"/>
        </w:rPr>
        <w:t xml:space="preserve">Art. 481. </w:t>
      </w:r>
      <w:r w:rsidRPr="00186799">
        <w:rPr>
          <w:rFonts w:eastAsia="Times New Roman" w:cstheme="minorHAnsi"/>
          <w:kern w:val="0"/>
          <w:sz w:val="24"/>
          <w:szCs w:val="24"/>
          <w:lang w:eastAsia="pl-PL"/>
          <w14:ligatures w14:val="none"/>
        </w:rPr>
        <w:t>1. Do prawa ochronnego na znak towarowy przepisy art. 470 stosuje się odpowiednio.</w:t>
      </w:r>
    </w:p>
    <w:p w14:paraId="3B4E7574" w14:textId="77777777" w:rsidR="008C11D0" w:rsidRPr="00186799" w:rsidRDefault="008C11D0" w:rsidP="00110D84">
      <w:pPr>
        <w:shd w:val="clear" w:color="auto" w:fill="FFFFFF"/>
        <w:spacing w:after="0" w:line="240" w:lineRule="auto"/>
        <w:ind w:left="567"/>
        <w:jc w:val="both"/>
        <w:rPr>
          <w:rFonts w:eastAsia="Times New Roman" w:cstheme="minorHAnsi"/>
          <w:kern w:val="0"/>
          <w:sz w:val="24"/>
          <w:szCs w:val="24"/>
          <w:lang w:eastAsia="pl-PL"/>
          <w14:ligatures w14:val="none"/>
        </w:rPr>
      </w:pPr>
      <w:r w:rsidRPr="00186799">
        <w:rPr>
          <w:rFonts w:eastAsia="Times New Roman" w:cstheme="minorHAnsi"/>
          <w:b/>
          <w:bCs/>
          <w:kern w:val="0"/>
          <w:sz w:val="24"/>
          <w:szCs w:val="24"/>
          <w:lang w:eastAsia="pl-PL"/>
          <w14:ligatures w14:val="none"/>
        </w:rPr>
        <w:t>2. Z roszczeniami</w:t>
      </w:r>
      <w:r w:rsidRPr="00186799">
        <w:rPr>
          <w:rFonts w:eastAsia="Times New Roman" w:cstheme="minorHAnsi"/>
          <w:kern w:val="0"/>
          <w:sz w:val="24"/>
          <w:szCs w:val="24"/>
          <w:lang w:eastAsia="pl-PL"/>
          <w14:ligatures w14:val="none"/>
        </w:rPr>
        <w:t xml:space="preserve">, o których mowa w art. 470 ust. 1, </w:t>
      </w:r>
      <w:r w:rsidRPr="00186799">
        <w:rPr>
          <w:rFonts w:eastAsia="Times New Roman" w:cstheme="minorHAnsi"/>
          <w:b/>
          <w:bCs/>
          <w:kern w:val="0"/>
          <w:sz w:val="24"/>
          <w:szCs w:val="24"/>
          <w:lang w:eastAsia="pl-PL"/>
          <w14:ligatures w14:val="none"/>
        </w:rPr>
        <w:t>można wystąpić również przeciwko osobie</w:t>
      </w:r>
      <w:r w:rsidRPr="00186799">
        <w:rPr>
          <w:rFonts w:eastAsia="Times New Roman" w:cstheme="minorHAnsi"/>
          <w:kern w:val="0"/>
          <w:sz w:val="24"/>
          <w:szCs w:val="24"/>
          <w:lang w:eastAsia="pl-PL"/>
          <w14:ligatures w14:val="none"/>
        </w:rPr>
        <w:t xml:space="preserve">, która wyłącznie wprowadza do obrotu oznaczone już znakiem towarowym towary, jeżeli nie pochodzą one od uprawnionego albo osoby, która miała jego zezwolenie na używanie znaku towarowego, jak również </w:t>
      </w:r>
      <w:r w:rsidRPr="00186799">
        <w:rPr>
          <w:rFonts w:eastAsia="Times New Roman" w:cstheme="minorHAnsi"/>
          <w:b/>
          <w:bCs/>
          <w:kern w:val="0"/>
          <w:sz w:val="24"/>
          <w:szCs w:val="24"/>
          <w:lang w:eastAsia="pl-PL"/>
          <w14:ligatures w14:val="none"/>
        </w:rPr>
        <w:t>przeciwko osobie, z której usług korzystano</w:t>
      </w:r>
      <w:r w:rsidRPr="00186799">
        <w:rPr>
          <w:rFonts w:eastAsia="Times New Roman" w:cstheme="minorHAnsi"/>
          <w:kern w:val="0"/>
          <w:sz w:val="24"/>
          <w:szCs w:val="24"/>
          <w:lang w:eastAsia="pl-PL"/>
          <w14:ligatures w14:val="none"/>
        </w:rPr>
        <w:t xml:space="preserve"> </w:t>
      </w:r>
      <w:r w:rsidRPr="00186799">
        <w:rPr>
          <w:rFonts w:eastAsia="Times New Roman" w:cstheme="minorHAnsi"/>
          <w:b/>
          <w:bCs/>
          <w:kern w:val="0"/>
          <w:sz w:val="24"/>
          <w:szCs w:val="24"/>
          <w:lang w:eastAsia="pl-PL"/>
          <w14:ligatures w14:val="none"/>
        </w:rPr>
        <w:t>przy naruszeniu</w:t>
      </w:r>
      <w:r w:rsidRPr="00186799">
        <w:rPr>
          <w:rFonts w:eastAsia="Times New Roman" w:cstheme="minorHAnsi"/>
          <w:kern w:val="0"/>
          <w:sz w:val="24"/>
          <w:szCs w:val="24"/>
          <w:lang w:eastAsia="pl-PL"/>
          <w14:ligatures w14:val="none"/>
        </w:rPr>
        <w:t xml:space="preserve"> prawa ochronnego na znak towarowy. Przepisu nie stosuje się do osoby, której odpowiedzialność jest wyłączona na podstawie art. 12–15 ustawy z dnia 18 lipca 2002 r. o świadczeniu usług drogą elektroniczną (Dz. U. z 2020 r. poz. 344).</w:t>
      </w:r>
    </w:p>
    <w:p w14:paraId="473E1330"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b/>
          <w:bCs/>
          <w:color w:val="2E74B5" w:themeColor="accent5" w:themeShade="BF"/>
          <w:lang w:val="en-GB"/>
        </w:rPr>
        <w:t>Art. 481. 1.</w:t>
      </w:r>
      <w:r w:rsidRPr="00491ADF">
        <w:rPr>
          <w:rFonts w:asciiTheme="minorHAnsi" w:hAnsiTheme="minorHAnsi" w:cstheme="minorHAnsi"/>
          <w:color w:val="2E74B5" w:themeColor="accent5" w:themeShade="BF"/>
          <w:lang w:val="en-GB"/>
        </w:rPr>
        <w:t xml:space="preserve"> The provisions of Article 470 applies accordingly.</w:t>
      </w:r>
    </w:p>
    <w:p w14:paraId="3372FB6B" w14:textId="77777777" w:rsidR="008C11D0" w:rsidRPr="00491ADF" w:rsidRDefault="008C11D0" w:rsidP="00110D84">
      <w:pPr>
        <w:pStyle w:val="NormalnyWeb"/>
        <w:shd w:val="clear" w:color="auto" w:fill="FFFFFF"/>
        <w:spacing w:before="0" w:beforeAutospacing="0" w:after="0" w:afterAutospacing="0"/>
        <w:ind w:left="567"/>
        <w:jc w:val="both"/>
        <w:rPr>
          <w:rFonts w:asciiTheme="minorHAnsi" w:hAnsiTheme="minorHAnsi" w:cstheme="minorHAnsi"/>
          <w:color w:val="2E74B5" w:themeColor="accent5" w:themeShade="BF"/>
          <w:lang w:val="en-GB"/>
        </w:rPr>
      </w:pPr>
      <w:r w:rsidRPr="00491ADF">
        <w:rPr>
          <w:rFonts w:asciiTheme="minorHAnsi" w:hAnsiTheme="minorHAnsi" w:cstheme="minorHAnsi"/>
          <w:color w:val="2E74B5" w:themeColor="accent5" w:themeShade="BF"/>
          <w:lang w:val="en-GB"/>
        </w:rPr>
        <w:t xml:space="preserve">2. </w:t>
      </w:r>
      <w:r w:rsidRPr="00491ADF">
        <w:rPr>
          <w:rStyle w:val="Pogrubienie"/>
          <w:rFonts w:asciiTheme="minorHAnsi" w:hAnsiTheme="minorHAnsi" w:cstheme="minorHAnsi"/>
          <w:color w:val="2E74B5" w:themeColor="accent5" w:themeShade="BF"/>
          <w:lang w:val="en-GB"/>
        </w:rPr>
        <w:t>The claims</w:t>
      </w:r>
      <w:r w:rsidRPr="00491ADF">
        <w:rPr>
          <w:rFonts w:asciiTheme="minorHAnsi" w:hAnsiTheme="minorHAnsi" w:cstheme="minorHAnsi"/>
          <w:color w:val="2E74B5" w:themeColor="accent5" w:themeShade="BF"/>
          <w:lang w:val="en-GB"/>
        </w:rPr>
        <w:t xml:space="preserve"> referred to in Article 470(1) </w:t>
      </w:r>
      <w:r w:rsidRPr="00491ADF">
        <w:rPr>
          <w:rStyle w:val="Pogrubienie"/>
          <w:rFonts w:asciiTheme="minorHAnsi" w:hAnsiTheme="minorHAnsi" w:cstheme="minorHAnsi"/>
          <w:color w:val="2E74B5" w:themeColor="accent5" w:themeShade="BF"/>
          <w:lang w:val="en-GB"/>
        </w:rPr>
        <w:t>may also be brought against a person</w:t>
      </w:r>
      <w:r w:rsidRPr="00491ADF">
        <w:rPr>
          <w:rFonts w:asciiTheme="minorHAnsi" w:hAnsiTheme="minorHAnsi" w:cstheme="minorHAnsi"/>
          <w:color w:val="2E74B5" w:themeColor="accent5" w:themeShade="BF"/>
          <w:lang w:val="en-GB"/>
        </w:rPr>
        <w:t xml:space="preserve"> who only places goods already marked with a trademark on the market, if they do not come from the proprietor or a person who had his permission to use the trademark, as well as </w:t>
      </w:r>
      <w:r w:rsidRPr="00491ADF">
        <w:rPr>
          <w:rStyle w:val="Pogrubienie"/>
          <w:rFonts w:asciiTheme="minorHAnsi" w:hAnsiTheme="minorHAnsi" w:cstheme="minorHAnsi"/>
          <w:color w:val="2E74B5" w:themeColor="accent5" w:themeShade="BF"/>
          <w:lang w:val="en-GB"/>
        </w:rPr>
        <w:t>against the person whose services were used in violation of the trademark protection right</w:t>
      </w:r>
      <w:r w:rsidRPr="00491ADF">
        <w:rPr>
          <w:rFonts w:asciiTheme="minorHAnsi" w:hAnsiTheme="minorHAnsi" w:cstheme="minorHAnsi"/>
          <w:color w:val="2E74B5" w:themeColor="accent5" w:themeShade="BF"/>
          <w:lang w:val="en-GB"/>
        </w:rPr>
        <w:t>. The provision does not apply to a person whose liability is excluded pursuant to art. 12-15 of the Act of 18 July 2002 on the provision of electronic services (Journal of Laws of 2020, item 344).</w:t>
      </w:r>
    </w:p>
    <w:p w14:paraId="38417DB5" w14:textId="77777777" w:rsidR="00070E92" w:rsidRPr="002F7E5D" w:rsidRDefault="00070E92" w:rsidP="00110D84">
      <w:pPr>
        <w:shd w:val="clear" w:color="auto" w:fill="FFFFFF"/>
        <w:spacing w:after="0" w:line="240" w:lineRule="auto"/>
        <w:ind w:hanging="709"/>
        <w:jc w:val="both"/>
        <w:rPr>
          <w:rFonts w:eastAsia="Times New Roman" w:cstheme="minorHAnsi"/>
          <w:kern w:val="0"/>
          <w:sz w:val="10"/>
          <w:szCs w:val="10"/>
          <w:lang w:val="en-US" w:eastAsia="pl-PL"/>
          <w14:ligatures w14:val="none"/>
        </w:rPr>
      </w:pPr>
    </w:p>
    <w:p w14:paraId="43806212" w14:textId="7C518F2B" w:rsidR="00070E92" w:rsidRPr="00186799" w:rsidRDefault="00070E92" w:rsidP="00491ADF">
      <w:pPr>
        <w:pStyle w:val="nrbrzegowy2"/>
        <w:ind w:left="0" w:hanging="851"/>
      </w:pPr>
      <w:r w:rsidRPr="00186799">
        <w:t xml:space="preserve">Przed polskim ustawodawcą postawiono zadanie uwzględniania w systemie prawa polskiego rozwiązań unijnych. Próbując zrealizować to zadanie w projekcie UD263 popełniono błąd </w:t>
      </w:r>
      <w:r w:rsidR="006606D1">
        <w:t>-</w:t>
      </w:r>
      <w:r w:rsidRPr="00186799">
        <w:t xml:space="preserve"> ustawodawca wkraczał (wydaje się, że nie zawsze świadomie) w obszary regulowane innymi dyrektywami niż ta, której implementację deklarował.</w:t>
      </w:r>
    </w:p>
    <w:p w14:paraId="1C423C6B" w14:textId="77777777" w:rsidR="00D71E6E" w:rsidRPr="00491ADF" w:rsidRDefault="00D71E6E" w:rsidP="00491ADF">
      <w:pPr>
        <w:pStyle w:val="nrbrzegowy2"/>
        <w:numPr>
          <w:ilvl w:val="0"/>
          <w:numId w:val="0"/>
        </w:numPr>
        <w:rPr>
          <w:rFonts w:asciiTheme="minorHAnsi" w:hAnsiTheme="minorHAnsi"/>
          <w:color w:val="2E74B5" w:themeColor="accent5" w:themeShade="BF"/>
          <w:lang w:val="en-GB"/>
        </w:rPr>
      </w:pPr>
      <w:r w:rsidRPr="00491ADF">
        <w:rPr>
          <w:rFonts w:asciiTheme="minorHAnsi" w:hAnsiTheme="minorHAnsi"/>
          <w:color w:val="2E74B5" w:themeColor="accent5" w:themeShade="BF"/>
          <w:lang w:val="en-GB"/>
        </w:rPr>
        <w:t xml:space="preserve">The Polish legislator was tasked with </w:t>
      </w:r>
      <w:proofErr w:type="gramStart"/>
      <w:r w:rsidRPr="00491ADF">
        <w:rPr>
          <w:rFonts w:asciiTheme="minorHAnsi" w:hAnsiTheme="minorHAnsi"/>
          <w:color w:val="2E74B5" w:themeColor="accent5" w:themeShade="BF"/>
          <w:lang w:val="en-GB"/>
        </w:rPr>
        <w:t>taking into account</w:t>
      </w:r>
      <w:proofErr w:type="gramEnd"/>
      <w:r w:rsidRPr="00491ADF">
        <w:rPr>
          <w:rFonts w:asciiTheme="minorHAnsi" w:hAnsiTheme="minorHAnsi"/>
          <w:color w:val="2E74B5" w:themeColor="accent5" w:themeShade="BF"/>
          <w:lang w:val="en-GB"/>
        </w:rPr>
        <w:t xml:space="preserve"> EU solutions in the Polish legal system. When trying to accomplish this task, a mistake was made in the UD263 draft – the legislator entered (not always consciously, it seems) into areas regulated by directives other than the one whose implementation it declared.</w:t>
      </w:r>
    </w:p>
    <w:p w14:paraId="723FFFB8" w14:textId="77777777" w:rsidR="00D71E6E" w:rsidRPr="00D71E6E" w:rsidRDefault="00D71E6E" w:rsidP="00491ADF">
      <w:pPr>
        <w:pStyle w:val="nrbrzegowy2"/>
        <w:numPr>
          <w:ilvl w:val="0"/>
          <w:numId w:val="0"/>
        </w:numPr>
        <w:ind w:hanging="851"/>
        <w:rPr>
          <w:sz w:val="10"/>
          <w:szCs w:val="10"/>
          <w:lang w:val="en-GB"/>
        </w:rPr>
      </w:pPr>
    </w:p>
    <w:p w14:paraId="21E748FC" w14:textId="77777777" w:rsidR="00070E92" w:rsidRPr="008B5A97" w:rsidRDefault="00070E92" w:rsidP="00491ADF">
      <w:pPr>
        <w:pStyle w:val="nrbrzegowy2"/>
        <w:ind w:left="0" w:hanging="851"/>
        <w:rPr>
          <w:lang w:val="en-US"/>
        </w:rPr>
      </w:pPr>
      <w:r w:rsidRPr="00186799">
        <w:t>Na szczęście udało się zatrzymać prace nad tekstem słabego projektu ustawy UD-263 Prawo własności przemysłowej. Osoby, które chwaliły projekt zagmatwanej ustawy UD-263 Prawo własności przemysłowej, chwaliły w istocie „</w:t>
      </w:r>
      <w:r w:rsidRPr="00186799">
        <w:rPr>
          <w:i/>
          <w:iCs/>
        </w:rPr>
        <w:t>sposób na patent</w:t>
      </w:r>
      <w:r w:rsidRPr="00186799">
        <w:t xml:space="preserve">”, proponowały bezrefleksyjnie pogłębienie opisanych zjawisk. Bardzo dziękujemy za takie pomysły jak te UD263 oraz koncepcje promowania innowacyjności. </w:t>
      </w:r>
      <w:proofErr w:type="spellStart"/>
      <w:r w:rsidRPr="008B5A97">
        <w:rPr>
          <w:lang w:val="en-US"/>
        </w:rPr>
        <w:t>Prosimy</w:t>
      </w:r>
      <w:proofErr w:type="spellEnd"/>
      <w:r w:rsidRPr="008B5A97">
        <w:rPr>
          <w:lang w:val="en-US"/>
        </w:rPr>
        <w:t xml:space="preserve"> i </w:t>
      </w:r>
      <w:proofErr w:type="spellStart"/>
      <w:r w:rsidRPr="008B5A97">
        <w:rPr>
          <w:lang w:val="en-US"/>
        </w:rPr>
        <w:t>proszę</w:t>
      </w:r>
      <w:proofErr w:type="spellEnd"/>
      <w:r w:rsidRPr="008B5A97">
        <w:rPr>
          <w:lang w:val="en-US"/>
        </w:rPr>
        <w:t xml:space="preserve"> o </w:t>
      </w:r>
      <w:proofErr w:type="spellStart"/>
      <w:r w:rsidRPr="008B5A97">
        <w:rPr>
          <w:lang w:val="en-US"/>
        </w:rPr>
        <w:t>lepsze</w:t>
      </w:r>
      <w:proofErr w:type="spellEnd"/>
      <w:r w:rsidRPr="008B5A97">
        <w:rPr>
          <w:lang w:val="en-US"/>
        </w:rPr>
        <w:t>.</w:t>
      </w:r>
    </w:p>
    <w:bookmarkEnd w:id="135"/>
    <w:p w14:paraId="2B7F0C5F" w14:textId="0C269C5B" w:rsidR="0021549F" w:rsidRPr="00491ADF" w:rsidRDefault="0021549F" w:rsidP="00491ADF">
      <w:pPr>
        <w:pStyle w:val="nrbrzegowy2"/>
        <w:numPr>
          <w:ilvl w:val="0"/>
          <w:numId w:val="0"/>
        </w:numPr>
        <w:rPr>
          <w:rFonts w:asciiTheme="minorHAnsi" w:hAnsiTheme="minorHAnsi"/>
          <w:color w:val="2E74B5" w:themeColor="accent5" w:themeShade="BF"/>
          <w:lang w:val="en-GB"/>
        </w:rPr>
      </w:pPr>
      <w:r w:rsidRPr="00491ADF">
        <w:rPr>
          <w:rFonts w:asciiTheme="minorHAnsi" w:hAnsiTheme="minorHAnsi"/>
          <w:color w:val="2E74B5" w:themeColor="accent5" w:themeShade="BF"/>
          <w:lang w:val="en-GB"/>
        </w:rPr>
        <w:lastRenderedPageBreak/>
        <w:t xml:space="preserve">Fortunately, it was possible to stop the work on the text of the weak draft UD-263 of the Industrial Property Act. Those who praised the confusing draft UD-263 of the Industrial Property Act were in fact praising the </w:t>
      </w:r>
      <w:r w:rsidRPr="00491ADF">
        <w:rPr>
          <w:rStyle w:val="Uwydatnienie"/>
          <w:rFonts w:asciiTheme="minorHAnsi" w:hAnsiTheme="minorHAnsi" w:cstheme="minorHAnsi"/>
          <w:color w:val="2E74B5" w:themeColor="accent5" w:themeShade="BF"/>
          <w:lang w:val="en-GB"/>
        </w:rPr>
        <w:t>“patent scam”</w:t>
      </w:r>
      <w:r w:rsidRPr="00491ADF">
        <w:rPr>
          <w:rFonts w:asciiTheme="minorHAnsi" w:hAnsiTheme="minorHAnsi"/>
          <w:color w:val="2E74B5" w:themeColor="accent5" w:themeShade="BF"/>
          <w:lang w:val="en-GB"/>
        </w:rPr>
        <w:t xml:space="preserve"> and proposing unreflectively to deepen the phenomena described. Thank you very much for ideas such as UD263 and concepts to promote innovation. We ask - and I do as well - for better ones.</w:t>
      </w:r>
    </w:p>
    <w:p w14:paraId="40E7B726" w14:textId="77777777" w:rsidR="00070E92" w:rsidRPr="0021549F" w:rsidRDefault="00070E92" w:rsidP="00070E92">
      <w:pPr>
        <w:spacing w:after="0" w:line="240" w:lineRule="auto"/>
        <w:ind w:firstLine="567"/>
        <w:jc w:val="both"/>
        <w:rPr>
          <w:b/>
          <w:bCs/>
          <w:lang w:val="en-GB"/>
        </w:rPr>
      </w:pPr>
    </w:p>
    <w:p w14:paraId="5E303E26" w14:textId="15D25BEB" w:rsidR="0001114C" w:rsidRPr="0034262F" w:rsidRDefault="0001114C" w:rsidP="0001114C">
      <w:pPr>
        <w:shd w:val="clear" w:color="auto" w:fill="FFFFFF"/>
        <w:spacing w:after="0" w:line="240" w:lineRule="auto"/>
        <w:jc w:val="center"/>
        <w:rPr>
          <w:sz w:val="24"/>
          <w:szCs w:val="24"/>
        </w:rPr>
      </w:pPr>
      <w:r w:rsidRPr="0034262F">
        <w:rPr>
          <w:sz w:val="24"/>
          <w:szCs w:val="24"/>
        </w:rPr>
        <w:t>* * *</w:t>
      </w:r>
    </w:p>
    <w:p w14:paraId="0EDEE803" w14:textId="77777777" w:rsidR="00070E92" w:rsidRPr="0034262F" w:rsidRDefault="00070E92" w:rsidP="00070E92">
      <w:pPr>
        <w:spacing w:after="0" w:line="240" w:lineRule="auto"/>
        <w:ind w:firstLine="567"/>
        <w:jc w:val="both"/>
        <w:rPr>
          <w:b/>
          <w:bCs/>
          <w:sz w:val="10"/>
          <w:szCs w:val="10"/>
        </w:rPr>
      </w:pPr>
    </w:p>
    <w:p w14:paraId="2F8C4A14" w14:textId="77777777" w:rsidR="004F40E9" w:rsidRDefault="002F7E5D" w:rsidP="002F7E5D">
      <w:pPr>
        <w:spacing w:after="0" w:line="240" w:lineRule="auto"/>
        <w:jc w:val="both"/>
        <w:rPr>
          <w:sz w:val="24"/>
          <w:szCs w:val="24"/>
        </w:rPr>
      </w:pPr>
      <w:bookmarkStart w:id="136" w:name="_Hlk169957185"/>
      <w:r w:rsidRPr="00186799">
        <w:rPr>
          <w:b/>
          <w:bCs/>
          <w:sz w:val="24"/>
          <w:szCs w:val="24"/>
        </w:rPr>
        <w:t>Krótki wyciąg:</w:t>
      </w:r>
      <w:r w:rsidRPr="00186799">
        <w:rPr>
          <w:sz w:val="24"/>
          <w:szCs w:val="24"/>
        </w:rPr>
        <w:t xml:space="preserve"> </w:t>
      </w:r>
      <w:bookmarkStart w:id="137" w:name="_Hlk160735133"/>
    </w:p>
    <w:p w14:paraId="4B01BC3F" w14:textId="3FA4C7A8" w:rsidR="002F7E5D" w:rsidRPr="004F40E9" w:rsidRDefault="002F7E5D" w:rsidP="002F7E5D">
      <w:pPr>
        <w:spacing w:after="0" w:line="240" w:lineRule="auto"/>
        <w:jc w:val="both"/>
        <w:rPr>
          <w:sz w:val="24"/>
          <w:szCs w:val="24"/>
        </w:rPr>
      </w:pPr>
      <w:r w:rsidRPr="004F40E9">
        <w:rPr>
          <w:sz w:val="24"/>
          <w:szCs w:val="24"/>
        </w:rPr>
        <w:t>Autorka opisuje sposób oszustw wykorzystujący luki w działaniu Prawa własności przemysłowej oraz wyjaśnia w jaki sposób szkodzi się polskim przedsiębiorcom i dlaczego potrzeba nowych regulacji prawnych i usprawnienia działania polskich instytucji.</w:t>
      </w:r>
      <w:bookmarkEnd w:id="137"/>
    </w:p>
    <w:p w14:paraId="1C9F8904" w14:textId="77777777" w:rsidR="002F7E5D" w:rsidRPr="004F40E9" w:rsidRDefault="002F7E5D" w:rsidP="002F7E5D">
      <w:pPr>
        <w:spacing w:after="0" w:line="240" w:lineRule="auto"/>
        <w:jc w:val="both"/>
        <w:rPr>
          <w:sz w:val="24"/>
          <w:szCs w:val="24"/>
        </w:rPr>
      </w:pPr>
      <w:r w:rsidRPr="004F40E9">
        <w:rPr>
          <w:sz w:val="24"/>
          <w:szCs w:val="24"/>
        </w:rPr>
        <w:t>Autorka nie pisze tego wprost, lecz wykorzystuje „</w:t>
      </w:r>
      <w:r w:rsidRPr="004F40E9">
        <w:rPr>
          <w:i/>
          <w:iCs/>
          <w:sz w:val="24"/>
          <w:szCs w:val="24"/>
        </w:rPr>
        <w:t>atrament sympatyczny</w:t>
      </w:r>
      <w:r w:rsidRPr="004F40E9">
        <w:rPr>
          <w:sz w:val="24"/>
          <w:szCs w:val="24"/>
        </w:rPr>
        <w:t xml:space="preserve">” by powiedzieć: </w:t>
      </w:r>
    </w:p>
    <w:p w14:paraId="2F5826E9" w14:textId="77777777" w:rsidR="002F7E5D" w:rsidRPr="00186799" w:rsidRDefault="002F7E5D" w:rsidP="002F7E5D">
      <w:pPr>
        <w:spacing w:after="0" w:line="240" w:lineRule="auto"/>
        <w:jc w:val="both"/>
        <w:rPr>
          <w:sz w:val="24"/>
          <w:szCs w:val="24"/>
        </w:rPr>
      </w:pPr>
      <w:r>
        <w:rPr>
          <w:sz w:val="24"/>
          <w:szCs w:val="24"/>
        </w:rPr>
        <w:t>„</w:t>
      </w:r>
      <w:r w:rsidRPr="008B1391">
        <w:rPr>
          <w:b/>
          <w:bCs/>
          <w:i/>
          <w:iCs/>
          <w:sz w:val="24"/>
          <w:szCs w:val="24"/>
        </w:rPr>
        <w:t>Nie wolno dopuścić, aby którakolwiek z osób współodpowiedzialnych za obecne błędy miał</w:t>
      </w:r>
      <w:r>
        <w:rPr>
          <w:b/>
          <w:bCs/>
          <w:i/>
          <w:iCs/>
          <w:sz w:val="24"/>
          <w:szCs w:val="24"/>
        </w:rPr>
        <w:t>a</w:t>
      </w:r>
      <w:r w:rsidRPr="008B1391">
        <w:rPr>
          <w:b/>
          <w:bCs/>
          <w:i/>
          <w:iCs/>
          <w:sz w:val="24"/>
          <w:szCs w:val="24"/>
        </w:rPr>
        <w:t xml:space="preserve"> wpływ na </w:t>
      </w:r>
      <w:r>
        <w:rPr>
          <w:b/>
          <w:bCs/>
          <w:i/>
          <w:iCs/>
          <w:sz w:val="24"/>
          <w:szCs w:val="24"/>
        </w:rPr>
        <w:t>tworzenie nowych rozwiązań legislacyjnych w dziedzinie prawa IP</w:t>
      </w:r>
      <w:r w:rsidRPr="008B1391">
        <w:rPr>
          <w:b/>
          <w:bCs/>
          <w:i/>
          <w:iCs/>
          <w:sz w:val="24"/>
          <w:szCs w:val="24"/>
        </w:rPr>
        <w:t>!</w:t>
      </w:r>
      <w:r>
        <w:rPr>
          <w:sz w:val="24"/>
          <w:szCs w:val="24"/>
        </w:rPr>
        <w:t>”.</w:t>
      </w:r>
    </w:p>
    <w:p w14:paraId="1351C17E" w14:textId="77777777" w:rsidR="004F40E9" w:rsidRPr="004F40E9" w:rsidRDefault="004F40E9" w:rsidP="0001114C">
      <w:pPr>
        <w:spacing w:after="0" w:line="240" w:lineRule="auto"/>
        <w:rPr>
          <w:b/>
          <w:bCs/>
          <w:sz w:val="10"/>
          <w:szCs w:val="10"/>
        </w:rPr>
      </w:pPr>
    </w:p>
    <w:p w14:paraId="522A5693" w14:textId="42E62CCE" w:rsidR="002F7E5D" w:rsidRPr="00491ADF" w:rsidRDefault="004F40E9" w:rsidP="0001114C">
      <w:pPr>
        <w:spacing w:after="0" w:line="240" w:lineRule="auto"/>
        <w:rPr>
          <w:b/>
          <w:bCs/>
          <w:color w:val="2E74B5" w:themeColor="accent5" w:themeShade="BF"/>
          <w:sz w:val="24"/>
          <w:szCs w:val="24"/>
          <w:lang w:val="en-US"/>
        </w:rPr>
      </w:pPr>
      <w:r w:rsidRPr="00491ADF">
        <w:rPr>
          <w:b/>
          <w:bCs/>
          <w:color w:val="2E74B5" w:themeColor="accent5" w:themeShade="BF"/>
          <w:sz w:val="24"/>
          <w:szCs w:val="24"/>
          <w:lang w:val="en-US"/>
        </w:rPr>
        <w:t>A short excerpt:</w:t>
      </w:r>
    </w:p>
    <w:p w14:paraId="19068539" w14:textId="77777777" w:rsidR="002F7E5D" w:rsidRPr="00491ADF" w:rsidRDefault="002F7E5D" w:rsidP="002F7E5D">
      <w:pPr>
        <w:pStyle w:val="ydp65553df7msonormal"/>
        <w:spacing w:before="0" w:beforeAutospacing="0" w:after="0" w:afterAutospacing="0"/>
        <w:rPr>
          <w:rFonts w:asciiTheme="minorHAnsi" w:hAnsiTheme="minorHAnsi" w:cstheme="minorBidi"/>
          <w:color w:val="2E74B5" w:themeColor="accent5" w:themeShade="BF"/>
          <w:kern w:val="2"/>
          <w:lang w:val="en-US" w:eastAsia="en-US"/>
          <w14:ligatures w14:val="standardContextual"/>
        </w:rPr>
      </w:pPr>
      <w:r w:rsidRPr="00491ADF">
        <w:rPr>
          <w:rFonts w:asciiTheme="minorHAnsi" w:hAnsiTheme="minorHAnsi" w:cstheme="minorBidi"/>
          <w:color w:val="2E74B5" w:themeColor="accent5" w:themeShade="BF"/>
          <w:kern w:val="2"/>
          <w:lang w:val="en-US" w:eastAsia="en-US"/>
          <w14:ligatures w14:val="standardContextual"/>
        </w:rPr>
        <w:t>The author describes how frauds exploit loopholes in the operation of the Industrial Property Law - how Polish entrepreneurs are harmed and why there is a need for new legal regulations and improvement of Polish institutions.</w:t>
      </w:r>
    </w:p>
    <w:p w14:paraId="2A319661" w14:textId="77777777" w:rsidR="002F7E5D" w:rsidRPr="00491ADF" w:rsidRDefault="002F7E5D" w:rsidP="002F7E5D">
      <w:pPr>
        <w:pStyle w:val="ydp65553df7msonormal"/>
        <w:spacing w:before="0" w:beforeAutospacing="0" w:after="0" w:afterAutospacing="0"/>
        <w:rPr>
          <w:rFonts w:asciiTheme="minorHAnsi" w:hAnsiTheme="minorHAnsi" w:cstheme="minorBidi"/>
          <w:color w:val="2E74B5" w:themeColor="accent5" w:themeShade="BF"/>
          <w:kern w:val="2"/>
          <w:lang w:val="en-US" w:eastAsia="en-US"/>
          <w14:ligatures w14:val="standardContextual"/>
        </w:rPr>
      </w:pPr>
      <w:r w:rsidRPr="00491ADF">
        <w:rPr>
          <w:rFonts w:asciiTheme="minorHAnsi" w:hAnsiTheme="minorHAnsi" w:cstheme="minorBidi"/>
          <w:color w:val="2E74B5" w:themeColor="accent5" w:themeShade="BF"/>
          <w:kern w:val="2"/>
          <w:lang w:val="en-US" w:eastAsia="en-US"/>
          <w14:ligatures w14:val="standardContextual"/>
        </w:rPr>
        <w:t>The author describes a method of fraud taking advantage of loopholes in the operation of Industrial Property Law - how Polish entrepreneurs are harmed and why new legal regulations and improvements in the operation of Polish institutions are needed.</w:t>
      </w:r>
    </w:p>
    <w:p w14:paraId="26EC6148" w14:textId="0B594956" w:rsidR="002F7E5D" w:rsidRPr="00491ADF" w:rsidRDefault="002F7E5D" w:rsidP="002F7E5D">
      <w:pPr>
        <w:pStyle w:val="ydp65553df7msonormal"/>
        <w:spacing w:before="0" w:beforeAutospacing="0" w:after="0" w:afterAutospacing="0"/>
        <w:jc w:val="both"/>
        <w:rPr>
          <w:rFonts w:asciiTheme="minorHAnsi" w:hAnsiTheme="minorHAnsi" w:cstheme="minorBidi"/>
          <w:color w:val="2E74B5" w:themeColor="accent5" w:themeShade="BF"/>
          <w:kern w:val="2"/>
          <w:lang w:val="en-US" w:eastAsia="en-US"/>
          <w14:ligatures w14:val="standardContextual"/>
        </w:rPr>
      </w:pPr>
      <w:r w:rsidRPr="00491ADF">
        <w:rPr>
          <w:rFonts w:asciiTheme="minorHAnsi" w:hAnsiTheme="minorHAnsi" w:cstheme="minorBidi"/>
          <w:color w:val="2E74B5" w:themeColor="accent5" w:themeShade="BF"/>
          <w:kern w:val="2"/>
          <w:lang w:val="en-US" w:eastAsia="en-US"/>
          <w14:ligatures w14:val="standardContextual"/>
        </w:rPr>
        <w:t xml:space="preserve">The author does not write this </w:t>
      </w:r>
      <w:proofErr w:type="gramStart"/>
      <w:r w:rsidRPr="00491ADF">
        <w:rPr>
          <w:rFonts w:asciiTheme="minorHAnsi" w:hAnsiTheme="minorHAnsi" w:cstheme="minorBidi"/>
          <w:color w:val="2E74B5" w:themeColor="accent5" w:themeShade="BF"/>
          <w:kern w:val="2"/>
          <w:lang w:val="en-US" w:eastAsia="en-US"/>
          <w14:ligatures w14:val="standardContextual"/>
        </w:rPr>
        <w:t>directly, but</w:t>
      </w:r>
      <w:proofErr w:type="gramEnd"/>
      <w:r w:rsidRPr="00491ADF">
        <w:rPr>
          <w:rFonts w:asciiTheme="minorHAnsi" w:hAnsiTheme="minorHAnsi" w:cstheme="minorBidi"/>
          <w:color w:val="2E74B5" w:themeColor="accent5" w:themeShade="BF"/>
          <w:kern w:val="2"/>
          <w:lang w:val="en-US" w:eastAsia="en-US"/>
          <w14:ligatures w14:val="standardContextual"/>
        </w:rPr>
        <w:t xml:space="preserve"> uses </w:t>
      </w:r>
      <w:r w:rsidR="00A45D2A" w:rsidRPr="00491ADF">
        <w:rPr>
          <w:rFonts w:asciiTheme="minorHAnsi" w:hAnsiTheme="minorHAnsi" w:cstheme="minorBidi"/>
          <w:color w:val="2E74B5" w:themeColor="accent5" w:themeShade="BF"/>
          <w:kern w:val="2"/>
          <w:lang w:val="en-US" w:eastAsia="en-US"/>
          <w14:ligatures w14:val="standardContextual"/>
        </w:rPr>
        <w:t>a</w:t>
      </w:r>
      <w:r w:rsidRPr="00491ADF">
        <w:rPr>
          <w:rFonts w:asciiTheme="minorHAnsi" w:hAnsiTheme="minorHAnsi" w:cstheme="minorBidi"/>
          <w:color w:val="2E74B5" w:themeColor="accent5" w:themeShade="BF"/>
          <w:kern w:val="2"/>
          <w:lang w:val="en-US" w:eastAsia="en-US"/>
          <w14:ligatures w14:val="standardContextual"/>
        </w:rPr>
        <w:t xml:space="preserve"> "</w:t>
      </w:r>
      <w:r w:rsidR="00A45D2A" w:rsidRPr="00491ADF">
        <w:rPr>
          <w:rFonts w:asciiTheme="minorHAnsi" w:hAnsiTheme="minorHAnsi" w:cstheme="minorBidi"/>
          <w:i/>
          <w:iCs/>
          <w:color w:val="2E74B5" w:themeColor="accent5" w:themeShade="BF"/>
          <w:kern w:val="2"/>
          <w:lang w:val="en-US" w:eastAsia="en-US"/>
          <w14:ligatures w14:val="standardContextual"/>
        </w:rPr>
        <w:t>fine print</w:t>
      </w:r>
      <w:r w:rsidRPr="00491ADF">
        <w:rPr>
          <w:rFonts w:asciiTheme="minorHAnsi" w:hAnsiTheme="minorHAnsi" w:cstheme="minorBidi"/>
          <w:color w:val="2E74B5" w:themeColor="accent5" w:themeShade="BF"/>
          <w:kern w:val="2"/>
          <w:lang w:val="en-US" w:eastAsia="en-US"/>
          <w14:ligatures w14:val="standardContextual"/>
        </w:rPr>
        <w:t>": “</w:t>
      </w:r>
      <w:r w:rsidRPr="00491ADF">
        <w:rPr>
          <w:rFonts w:asciiTheme="minorHAnsi" w:hAnsiTheme="minorHAnsi" w:cstheme="minorBidi"/>
          <w:b/>
          <w:bCs/>
          <w:i/>
          <w:iCs/>
          <w:color w:val="2E74B5" w:themeColor="accent5" w:themeShade="BF"/>
          <w:kern w:val="2"/>
          <w:lang w:val="en-US" w:eastAsia="en-US"/>
          <w14:ligatures w14:val="standardContextual"/>
        </w:rPr>
        <w:t>Any of the people co-responsible for the current errors must not be allowed to influence the creation of new legislative solutions in the field of IP law!</w:t>
      </w:r>
      <w:r w:rsidRPr="00491ADF">
        <w:rPr>
          <w:rFonts w:asciiTheme="minorHAnsi" w:hAnsiTheme="minorHAnsi" w:cstheme="minorBidi"/>
          <w:color w:val="2E74B5" w:themeColor="accent5" w:themeShade="BF"/>
          <w:kern w:val="2"/>
          <w:lang w:val="en-US" w:eastAsia="en-US"/>
          <w14:ligatures w14:val="standardContextual"/>
        </w:rPr>
        <w:t>”.</w:t>
      </w:r>
    </w:p>
    <w:p w14:paraId="46F6CB18" w14:textId="77777777" w:rsidR="002F7E5D" w:rsidRPr="004F40E9" w:rsidRDefault="002F7E5D" w:rsidP="0001114C">
      <w:pPr>
        <w:spacing w:after="0" w:line="240" w:lineRule="auto"/>
        <w:rPr>
          <w:b/>
          <w:bCs/>
          <w:sz w:val="10"/>
          <w:szCs w:val="10"/>
          <w:lang w:val="en-US"/>
        </w:rPr>
      </w:pPr>
    </w:p>
    <w:p w14:paraId="28E881F3" w14:textId="2BA3D388" w:rsidR="0001114C" w:rsidRPr="00186799" w:rsidRDefault="0001114C" w:rsidP="0001114C">
      <w:pPr>
        <w:spacing w:after="0" w:line="240" w:lineRule="auto"/>
        <w:rPr>
          <w:sz w:val="24"/>
          <w:szCs w:val="24"/>
        </w:rPr>
      </w:pPr>
      <w:r w:rsidRPr="00186799">
        <w:rPr>
          <w:b/>
          <w:bCs/>
          <w:sz w:val="24"/>
          <w:szCs w:val="24"/>
        </w:rPr>
        <w:t>Pojęcia kluczowe:</w:t>
      </w:r>
      <w:r w:rsidRPr="00186799">
        <w:rPr>
          <w:sz w:val="24"/>
          <w:szCs w:val="24"/>
        </w:rPr>
        <w:t xml:space="preserve"> OSZUSTWA, PATENT, UD 263, SZKODZENIE PRZEDSIĘBIORCOM,</w:t>
      </w:r>
    </w:p>
    <w:p w14:paraId="359226C5" w14:textId="77777777" w:rsidR="004F40E9" w:rsidRPr="004F40E9" w:rsidRDefault="004F40E9" w:rsidP="0001114C">
      <w:pPr>
        <w:spacing w:after="0" w:line="240" w:lineRule="auto"/>
        <w:rPr>
          <w:b/>
          <w:bCs/>
          <w:sz w:val="10"/>
          <w:szCs w:val="10"/>
        </w:rPr>
      </w:pPr>
    </w:p>
    <w:p w14:paraId="7ACE12F4" w14:textId="1BB6240F" w:rsidR="0001114C" w:rsidRDefault="0001114C" w:rsidP="0001114C">
      <w:pPr>
        <w:spacing w:after="0" w:line="240" w:lineRule="auto"/>
        <w:rPr>
          <w:sz w:val="24"/>
          <w:szCs w:val="24"/>
        </w:rPr>
      </w:pPr>
      <w:r w:rsidRPr="00186799">
        <w:rPr>
          <w:b/>
          <w:bCs/>
          <w:sz w:val="24"/>
          <w:szCs w:val="24"/>
        </w:rPr>
        <w:t>Miejsce publikacji:</w:t>
      </w:r>
      <w:r w:rsidRPr="00186799">
        <w:rPr>
          <w:sz w:val="24"/>
          <w:szCs w:val="24"/>
        </w:rPr>
        <w:t xml:space="preserve"> </w:t>
      </w:r>
      <w:hyperlink r:id="rId162" w:history="1">
        <w:r w:rsidRPr="008B1391">
          <w:rPr>
            <w:rStyle w:val="Hipercze"/>
            <w:color w:val="0070C0"/>
            <w:sz w:val="24"/>
            <w:szCs w:val="24"/>
          </w:rPr>
          <w:t>https://stowi.pl/sposob-na-wnuczka-i-sposob-na-patent/</w:t>
        </w:r>
      </w:hyperlink>
      <w:r w:rsidRPr="008B1391">
        <w:rPr>
          <w:color w:val="0070C0"/>
          <w:sz w:val="24"/>
          <w:szCs w:val="24"/>
        </w:rPr>
        <w:t xml:space="preserve">  </w:t>
      </w:r>
    </w:p>
    <w:bookmarkEnd w:id="136"/>
    <w:p w14:paraId="1E618BC0" w14:textId="77777777" w:rsidR="000C7A55" w:rsidRPr="0034262F" w:rsidRDefault="000C7A55" w:rsidP="000C7A55">
      <w:pPr>
        <w:spacing w:after="0" w:line="240" w:lineRule="auto"/>
        <w:jc w:val="both"/>
        <w:rPr>
          <w:rFonts w:cstheme="minorHAnsi"/>
        </w:rPr>
      </w:pPr>
    </w:p>
    <w:p w14:paraId="34CA5550" w14:textId="77777777" w:rsidR="000C7A55" w:rsidRPr="0034262F" w:rsidRDefault="000C7A55" w:rsidP="000C7A55">
      <w:pPr>
        <w:spacing w:after="0" w:line="240" w:lineRule="auto"/>
        <w:jc w:val="both"/>
        <w:rPr>
          <w:rFonts w:cstheme="minorHAnsi"/>
        </w:rPr>
      </w:pPr>
    </w:p>
    <w:p w14:paraId="53F2CEEF" w14:textId="77777777" w:rsidR="000C7A55" w:rsidRPr="0034262F" w:rsidRDefault="000C7A55" w:rsidP="000C7A55">
      <w:pPr>
        <w:spacing w:after="0" w:line="240" w:lineRule="auto"/>
        <w:jc w:val="both"/>
        <w:rPr>
          <w:rFonts w:cstheme="minorHAnsi"/>
        </w:rPr>
      </w:pPr>
    </w:p>
    <w:p w14:paraId="073F21DE" w14:textId="77777777" w:rsidR="000C7A55" w:rsidRPr="0034262F" w:rsidRDefault="000C7A55" w:rsidP="000C7A55">
      <w:pPr>
        <w:spacing w:after="0" w:line="240" w:lineRule="auto"/>
        <w:jc w:val="both"/>
        <w:rPr>
          <w:rFonts w:cstheme="minorHAnsi"/>
        </w:rPr>
      </w:pPr>
    </w:p>
    <w:p w14:paraId="672A3597" w14:textId="77777777" w:rsidR="000C7A55" w:rsidRPr="0034262F" w:rsidRDefault="000C7A55" w:rsidP="000C7A55">
      <w:pPr>
        <w:spacing w:after="0" w:line="240" w:lineRule="auto"/>
        <w:jc w:val="both"/>
        <w:rPr>
          <w:rFonts w:cstheme="minorHAnsi"/>
        </w:rPr>
      </w:pPr>
    </w:p>
    <w:p w14:paraId="0D210DF4" w14:textId="77777777" w:rsidR="000C7A55" w:rsidRPr="0034262F" w:rsidRDefault="000C7A55" w:rsidP="000C7A55">
      <w:pPr>
        <w:spacing w:after="0" w:line="240" w:lineRule="auto"/>
        <w:jc w:val="both"/>
        <w:rPr>
          <w:rFonts w:cstheme="minorHAnsi"/>
        </w:rPr>
      </w:pPr>
    </w:p>
    <w:p w14:paraId="21A8F13A" w14:textId="77777777" w:rsidR="000C7A55" w:rsidRPr="0034262F" w:rsidRDefault="000C7A55" w:rsidP="000C7A55">
      <w:pPr>
        <w:spacing w:after="0" w:line="240" w:lineRule="auto"/>
        <w:jc w:val="both"/>
        <w:rPr>
          <w:rFonts w:cstheme="minorHAnsi"/>
        </w:rPr>
      </w:pPr>
    </w:p>
    <w:p w14:paraId="12F66600" w14:textId="77777777" w:rsidR="000C7A55" w:rsidRPr="0034262F" w:rsidRDefault="000C7A55" w:rsidP="000C7A55">
      <w:pPr>
        <w:spacing w:after="0" w:line="240" w:lineRule="auto"/>
        <w:jc w:val="both"/>
        <w:rPr>
          <w:rFonts w:cstheme="minorHAnsi"/>
        </w:rPr>
      </w:pPr>
    </w:p>
    <w:p w14:paraId="19CE99A1" w14:textId="77777777" w:rsidR="000C7A55" w:rsidRPr="0034262F" w:rsidRDefault="000C7A55" w:rsidP="000C7A55">
      <w:pPr>
        <w:spacing w:after="0" w:line="240" w:lineRule="auto"/>
        <w:jc w:val="both"/>
        <w:rPr>
          <w:rFonts w:cstheme="minorHAnsi"/>
        </w:rPr>
      </w:pPr>
    </w:p>
    <w:p w14:paraId="2947ED20" w14:textId="77777777" w:rsidR="000C7A55" w:rsidRPr="0034262F" w:rsidRDefault="000C7A55" w:rsidP="000C7A55">
      <w:pPr>
        <w:spacing w:after="0" w:line="240" w:lineRule="auto"/>
        <w:jc w:val="both"/>
        <w:rPr>
          <w:rFonts w:cstheme="minorHAnsi"/>
        </w:rPr>
      </w:pPr>
    </w:p>
    <w:p w14:paraId="0BD10809" w14:textId="77777777" w:rsidR="000C7A55" w:rsidRPr="0034262F" w:rsidRDefault="000C7A55" w:rsidP="000C7A55">
      <w:pPr>
        <w:spacing w:after="0" w:line="240" w:lineRule="auto"/>
        <w:jc w:val="both"/>
        <w:rPr>
          <w:rFonts w:cstheme="minorHAnsi"/>
        </w:rPr>
      </w:pPr>
    </w:p>
    <w:p w14:paraId="19BAE2F6" w14:textId="77777777" w:rsidR="000C7A55" w:rsidRPr="0034262F" w:rsidRDefault="000C7A55" w:rsidP="000C7A55">
      <w:pPr>
        <w:spacing w:after="0" w:line="240" w:lineRule="auto"/>
        <w:jc w:val="both"/>
        <w:rPr>
          <w:rFonts w:cstheme="minorHAnsi"/>
        </w:rPr>
      </w:pPr>
    </w:p>
    <w:p w14:paraId="09CDD5C3" w14:textId="77777777" w:rsidR="000C7A55" w:rsidRPr="0034262F" w:rsidRDefault="000C7A55" w:rsidP="000C7A55">
      <w:pPr>
        <w:spacing w:after="0" w:line="240" w:lineRule="auto"/>
        <w:jc w:val="both"/>
        <w:rPr>
          <w:rFonts w:cstheme="minorHAnsi"/>
        </w:rPr>
      </w:pPr>
    </w:p>
    <w:p w14:paraId="3B1604C3" w14:textId="77777777" w:rsidR="000C7A55" w:rsidRPr="0034262F" w:rsidRDefault="000C7A55" w:rsidP="000C7A55">
      <w:pPr>
        <w:spacing w:after="0" w:line="240" w:lineRule="auto"/>
        <w:jc w:val="both"/>
        <w:rPr>
          <w:rFonts w:cstheme="minorHAnsi"/>
        </w:rPr>
      </w:pPr>
    </w:p>
    <w:p w14:paraId="4B6FE70D" w14:textId="77777777" w:rsidR="000C7A55" w:rsidRPr="0034262F" w:rsidRDefault="000C7A55" w:rsidP="000C7A55">
      <w:pPr>
        <w:spacing w:after="0" w:line="240" w:lineRule="auto"/>
        <w:jc w:val="both"/>
        <w:rPr>
          <w:rFonts w:cstheme="minorHAnsi"/>
        </w:rPr>
      </w:pPr>
    </w:p>
    <w:p w14:paraId="0C45592C" w14:textId="77777777" w:rsidR="000C7A55" w:rsidRPr="0034262F" w:rsidRDefault="000C7A55" w:rsidP="000C7A55">
      <w:pPr>
        <w:spacing w:after="0" w:line="240" w:lineRule="auto"/>
        <w:jc w:val="both"/>
        <w:rPr>
          <w:rFonts w:cstheme="minorHAnsi"/>
        </w:rPr>
      </w:pPr>
    </w:p>
    <w:p w14:paraId="5B9F2AC9" w14:textId="77777777" w:rsidR="000C7A55" w:rsidRPr="0034262F" w:rsidRDefault="000C7A55" w:rsidP="000C7A55">
      <w:pPr>
        <w:spacing w:after="0" w:line="240" w:lineRule="auto"/>
        <w:jc w:val="both"/>
        <w:rPr>
          <w:rFonts w:cstheme="minorHAnsi"/>
        </w:rPr>
      </w:pPr>
    </w:p>
    <w:p w14:paraId="294881A1" w14:textId="77777777" w:rsidR="000C7A55" w:rsidRPr="0034262F" w:rsidRDefault="000C7A55" w:rsidP="000C7A55">
      <w:pPr>
        <w:spacing w:after="0" w:line="240" w:lineRule="auto"/>
        <w:jc w:val="both"/>
        <w:rPr>
          <w:rFonts w:cstheme="minorHAnsi"/>
        </w:rPr>
      </w:pPr>
    </w:p>
    <w:p w14:paraId="0325B2CA" w14:textId="77777777" w:rsidR="000C7A55" w:rsidRPr="0034262F" w:rsidRDefault="000C7A55" w:rsidP="000C7A55">
      <w:pPr>
        <w:spacing w:after="0" w:line="240" w:lineRule="auto"/>
        <w:jc w:val="both"/>
        <w:rPr>
          <w:rFonts w:cstheme="minorHAnsi"/>
        </w:rPr>
      </w:pPr>
    </w:p>
    <w:p w14:paraId="556A58A3" w14:textId="77777777" w:rsidR="000C7A55" w:rsidRPr="0034262F" w:rsidRDefault="000C7A55" w:rsidP="000C7A55">
      <w:pPr>
        <w:spacing w:after="0" w:line="240" w:lineRule="auto"/>
        <w:jc w:val="both"/>
        <w:rPr>
          <w:rFonts w:cstheme="minorHAnsi"/>
        </w:rPr>
      </w:pPr>
    </w:p>
    <w:p w14:paraId="39175416" w14:textId="38A5AF93" w:rsidR="00D44AC8" w:rsidRPr="00004768" w:rsidRDefault="00004768" w:rsidP="003F6CA0">
      <w:pPr>
        <w:pStyle w:val="Nagwek2"/>
      </w:pPr>
      <w:bookmarkStart w:id="138" w:name="_Toc165709456"/>
      <w:r w:rsidRPr="002F7E5D">
        <w:lastRenderedPageBreak/>
        <w:br/>
      </w:r>
      <w:bookmarkStart w:id="139" w:name="_Toc170117991"/>
      <w:r w:rsidR="00D44AC8" w:rsidRPr="00004768">
        <w:rPr>
          <w:noProof/>
          <w:lang w:eastAsia="pl-PL"/>
        </w:rPr>
        <w:drawing>
          <wp:anchor distT="0" distB="0" distL="114300" distR="114300" simplePos="0" relativeHeight="252005376" behindDoc="0" locked="0" layoutInCell="1" allowOverlap="1" wp14:anchorId="05B11D5F" wp14:editId="682BEC1D">
            <wp:simplePos x="0" y="0"/>
            <wp:positionH relativeFrom="column">
              <wp:posOffset>-17780</wp:posOffset>
            </wp:positionH>
            <wp:positionV relativeFrom="paragraph">
              <wp:posOffset>29210</wp:posOffset>
            </wp:positionV>
            <wp:extent cx="1980000" cy="1080000"/>
            <wp:effectExtent l="0" t="0" r="1270" b="6350"/>
            <wp:wrapThrough wrapText="bothSides">
              <wp:wrapPolygon edited="0">
                <wp:start x="0" y="0"/>
                <wp:lineTo x="0" y="21346"/>
                <wp:lineTo x="21406" y="21346"/>
                <wp:lineTo x="21406" y="0"/>
                <wp:lineTo x="0" y="0"/>
              </wp:wrapPolygon>
            </wp:wrapThrough>
            <wp:docPr id="1170286568" name="Obraz 4" descr="Obraz zawierający roślina, kwiat, oset, Ostrożeń lancetowaty&#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0286568" name="Obraz 4" descr="Obraz zawierający roślina, kwiat, oset, Ostrożeń lancetowaty&#10;&#10;Opis wygenerowany automatyczni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4AC8" w:rsidRPr="00004768">
        <w:rPr>
          <w:noProof/>
          <w:lang w:eastAsia="pl-PL"/>
        </w:rPr>
        <mc:AlternateContent>
          <mc:Choice Requires="wps">
            <w:drawing>
              <wp:anchor distT="0" distB="0" distL="114300" distR="114300" simplePos="0" relativeHeight="252004352" behindDoc="0" locked="0" layoutInCell="1" allowOverlap="1" wp14:anchorId="1AEA65B5" wp14:editId="27AECD84">
                <wp:simplePos x="0" y="0"/>
                <wp:positionH relativeFrom="margin">
                  <wp:posOffset>-97861</wp:posOffset>
                </wp:positionH>
                <wp:positionV relativeFrom="paragraph">
                  <wp:posOffset>-381472</wp:posOffset>
                </wp:positionV>
                <wp:extent cx="611230" cy="372745"/>
                <wp:effectExtent l="0" t="0" r="0" b="8255"/>
                <wp:wrapNone/>
                <wp:docPr id="2025787404" name="Pole tekstowe 1"/>
                <wp:cNvGraphicFramePr/>
                <a:graphic xmlns:a="http://schemas.openxmlformats.org/drawingml/2006/main">
                  <a:graphicData uri="http://schemas.microsoft.com/office/word/2010/wordprocessingShape">
                    <wps:wsp>
                      <wps:cNvSpPr txBox="1"/>
                      <wps:spPr>
                        <a:xfrm>
                          <a:off x="0" y="0"/>
                          <a:ext cx="611230" cy="372745"/>
                        </a:xfrm>
                        <a:prstGeom prst="rect">
                          <a:avLst/>
                        </a:prstGeom>
                        <a:solidFill>
                          <a:schemeClr val="lt1"/>
                        </a:solidFill>
                        <a:ln w="6350">
                          <a:noFill/>
                        </a:ln>
                      </wps:spPr>
                      <wps:txbx>
                        <w:txbxContent>
                          <w:p w14:paraId="26811BBF" w14:textId="6F2CC51C" w:rsidR="00541DD6" w:rsidRPr="00142068" w:rsidRDefault="00530B0C" w:rsidP="00C23347">
                            <w:pPr>
                              <w:pStyle w:val="NumeracjaRozdzial"/>
                            </w:pPr>
                            <w:r>
                              <w:t>3</w:t>
                            </w:r>
                            <w:r w:rsidR="00541DD6">
                              <w:t>.</w:t>
                            </w:r>
                          </w:p>
                          <w:p w14:paraId="42123100" w14:textId="77777777" w:rsidR="00541DD6" w:rsidRDefault="00541DD6" w:rsidP="00D44A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A65B5" id="_x0000_s1046" type="#_x0000_t202" style="position:absolute;margin-left:-7.7pt;margin-top:-30.05pt;width:48.15pt;height:29.3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" fillcolor="white [3201]" stroked="f" strokeweight=".5pt">
                <v:textbox>
                  <w:txbxContent>
                    <w:p w14:paraId="26811BBF" w14:textId="6F2CC51C" w:rsidR="00541DD6" w:rsidRPr="00142068" w:rsidRDefault="00530B0C" w:rsidP="00C23347">
                      <w:pPr>
                        <w:pStyle w:val="NumeracjaRozdzial"/>
                      </w:pPr>
                      <w:r>
                        <w:t>3</w:t>
                      </w:r>
                      <w:r w:rsidR="00541DD6">
                        <w:t>.</w:t>
                      </w:r>
                    </w:p>
                    <w:p w14:paraId="42123100" w14:textId="77777777" w:rsidR="00541DD6" w:rsidRDefault="00541DD6" w:rsidP="00D44AC8"/>
                  </w:txbxContent>
                </v:textbox>
                <w10:wrap anchorx="margin"/>
              </v:shape>
            </w:pict>
          </mc:Fallback>
        </mc:AlternateContent>
      </w:r>
      <w:r w:rsidR="00D44AC8" w:rsidRPr="00004768">
        <w:t>Cudowny chwast i opatentowany sposób produkcji preparatu, który służy naszemu zdrowiu.</w:t>
      </w:r>
      <w:r w:rsidR="00945ADF" w:rsidRPr="00004768">
        <w:t xml:space="preserve"> </w:t>
      </w:r>
      <w:r w:rsidR="00D44AC8" w:rsidRPr="00004768">
        <w:t>Sylimarol – służy zdrow</w:t>
      </w:r>
      <w:r w:rsidR="00483E8F" w:rsidRPr="00004768">
        <w:t>iu i odbudowuje komórki wątroby</w:t>
      </w:r>
      <w:bookmarkEnd w:id="138"/>
      <w:bookmarkEnd w:id="139"/>
    </w:p>
    <w:p w14:paraId="3183DA4F" w14:textId="4B8C6A0E" w:rsidR="00D44AC8" w:rsidRDefault="00D44AC8" w:rsidP="00D44AC8">
      <w:pPr>
        <w:spacing w:after="0"/>
        <w:rPr>
          <w:rFonts w:ascii="Calibri" w:hAnsi="Calibri" w:cs="Calibri"/>
          <w:b/>
          <w:bCs/>
          <w:noProof/>
          <w:sz w:val="26"/>
          <w:szCs w:val="26"/>
          <w:lang w:eastAsia="pl-PL"/>
        </w:rPr>
      </w:pPr>
    </w:p>
    <w:p w14:paraId="1C58E833" w14:textId="77777777" w:rsidR="00004768" w:rsidRPr="00004768" w:rsidRDefault="00004768" w:rsidP="00D44AC8">
      <w:pPr>
        <w:spacing w:after="0"/>
        <w:rPr>
          <w:rFonts w:ascii="Calibri" w:hAnsi="Calibri" w:cs="Calibri"/>
          <w:b/>
          <w:bCs/>
          <w:noProof/>
          <w:sz w:val="10"/>
          <w:szCs w:val="10"/>
          <w:lang w:eastAsia="pl-PL"/>
        </w:rPr>
      </w:pPr>
    </w:p>
    <w:p w14:paraId="40CDDC02" w14:textId="639FD21D" w:rsidR="00483E8F" w:rsidRDefault="00483E8F" w:rsidP="00B87D77">
      <w:pPr>
        <w:spacing w:after="0" w:line="240" w:lineRule="auto"/>
        <w:jc w:val="center"/>
        <w:rPr>
          <w:rFonts w:cstheme="minorHAnsi"/>
          <w:b/>
          <w:bCs/>
          <w:sz w:val="20"/>
          <w:szCs w:val="20"/>
        </w:rPr>
      </w:pPr>
    </w:p>
    <w:tbl>
      <w:tblPr>
        <w:tblStyle w:val="Tabela-Siatka"/>
        <w:tblW w:w="97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556"/>
        <w:gridCol w:w="920"/>
      </w:tblGrid>
      <w:tr w:rsidR="001B07A5" w:rsidRPr="002969DE" w14:paraId="5677A7D9" w14:textId="77777777" w:rsidTr="00004768">
        <w:trPr>
          <w:gridAfter w:val="1"/>
          <w:wAfter w:w="920" w:type="dxa"/>
        </w:trPr>
        <w:tc>
          <w:tcPr>
            <w:tcW w:w="1276" w:type="dxa"/>
          </w:tcPr>
          <w:p w14:paraId="1C3EC2D4" w14:textId="77777777" w:rsidR="001B07A5" w:rsidRPr="002969DE" w:rsidRDefault="001B07A5" w:rsidP="005027DA">
            <w:pPr>
              <w:rPr>
                <w:rFonts w:cstheme="minorHAnsi"/>
                <w:b/>
                <w:bCs/>
                <w:noProof/>
                <w:sz w:val="24"/>
                <w:szCs w:val="24"/>
              </w:rPr>
            </w:pPr>
          </w:p>
        </w:tc>
        <w:tc>
          <w:tcPr>
            <w:tcW w:w="7556" w:type="dxa"/>
          </w:tcPr>
          <w:p w14:paraId="2EC4FF01" w14:textId="77777777" w:rsidR="001B07A5" w:rsidRPr="002969DE" w:rsidRDefault="001B07A5" w:rsidP="005027DA">
            <w:pPr>
              <w:rPr>
                <w:rFonts w:asciiTheme="minorHAnsi" w:hAnsiTheme="minorHAnsi" w:cstheme="minorHAnsi"/>
                <w:b/>
                <w:bCs/>
                <w:color w:val="000000"/>
                <w:sz w:val="24"/>
                <w:szCs w:val="24"/>
              </w:rPr>
            </w:pPr>
            <w:r w:rsidRPr="002969DE">
              <w:rPr>
                <w:rFonts w:asciiTheme="minorHAnsi" w:hAnsiTheme="minorHAnsi" w:cstheme="minorHAnsi"/>
                <w:b/>
                <w:bCs/>
                <w:color w:val="000000"/>
                <w:sz w:val="24"/>
                <w:szCs w:val="24"/>
              </w:rPr>
              <w:t>AUTORZY:</w:t>
            </w:r>
          </w:p>
        </w:tc>
      </w:tr>
      <w:tr w:rsidR="001B07A5" w:rsidRPr="001D7639" w14:paraId="78ADE2AF" w14:textId="77777777" w:rsidTr="00004768">
        <w:tc>
          <w:tcPr>
            <w:tcW w:w="1276" w:type="dxa"/>
          </w:tcPr>
          <w:p w14:paraId="476F0B8B" w14:textId="77777777" w:rsidR="001B07A5" w:rsidRPr="002969DE" w:rsidRDefault="001B07A5" w:rsidP="005027DA">
            <w:pPr>
              <w:rPr>
                <w:rFonts w:cstheme="minorHAnsi"/>
                <w:b/>
                <w:bCs/>
                <w:color w:val="000000"/>
                <w:sz w:val="24"/>
                <w:szCs w:val="24"/>
              </w:rPr>
            </w:pPr>
          </w:p>
          <w:p w14:paraId="0A1AB9ED" w14:textId="77777777" w:rsidR="001B07A5" w:rsidRPr="002969DE" w:rsidRDefault="001B07A5" w:rsidP="005027DA">
            <w:pPr>
              <w:rPr>
                <w:rFonts w:cstheme="minorHAnsi"/>
                <w:b/>
                <w:bCs/>
                <w:color w:val="000000"/>
                <w:sz w:val="24"/>
                <w:szCs w:val="24"/>
              </w:rPr>
            </w:pPr>
            <w:r w:rsidRPr="002969DE">
              <w:rPr>
                <w:noProof/>
                <w:sz w:val="24"/>
                <w:szCs w:val="24"/>
              </w:rPr>
              <w:drawing>
                <wp:inline distT="0" distB="0" distL="0" distR="0" wp14:anchorId="6CA2A3C0" wp14:editId="11DA82A4">
                  <wp:extent cx="662400" cy="900000"/>
                  <wp:effectExtent l="0" t="0" r="4445" b="0"/>
                  <wp:docPr id="167462092"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2092"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gridSpan w:val="2"/>
          </w:tcPr>
          <w:p w14:paraId="3E5B7830" w14:textId="77777777" w:rsidR="001B07A5" w:rsidRPr="00155C90" w:rsidRDefault="001B07A5" w:rsidP="005027DA">
            <w:pPr>
              <w:rPr>
                <w:rFonts w:asciiTheme="minorHAnsi" w:hAnsiTheme="minorHAnsi" w:cstheme="minorHAnsi"/>
                <w:bCs/>
                <w:color w:val="000000"/>
                <w:sz w:val="22"/>
                <w:szCs w:val="22"/>
              </w:rPr>
            </w:pPr>
            <w:r w:rsidRPr="00155C90">
              <w:rPr>
                <w:rFonts w:asciiTheme="minorHAnsi" w:hAnsiTheme="minorHAnsi" w:cstheme="minorHAnsi"/>
                <w:bCs/>
                <w:color w:val="000000"/>
                <w:sz w:val="22"/>
                <w:szCs w:val="22"/>
              </w:rPr>
              <w:t>Marek BESLER</w:t>
            </w:r>
          </w:p>
          <w:p w14:paraId="42B4FA0F" w14:textId="33E9F661" w:rsidR="00FB5369" w:rsidRPr="00FB5369" w:rsidRDefault="00FB5369" w:rsidP="001F6BE3">
            <w:pPr>
              <w:pStyle w:val="Akapitzlist"/>
              <w:numPr>
                <w:ilvl w:val="0"/>
                <w:numId w:val="47"/>
              </w:numPr>
              <w:ind w:left="320" w:hanging="334"/>
              <w:rPr>
                <w:rFonts w:eastAsia="Times New Roman" w:cstheme="minorHAnsi"/>
                <w:bCs/>
                <w:color w:val="000000"/>
                <w:sz w:val="24"/>
                <w:szCs w:val="24"/>
              </w:rPr>
            </w:pPr>
            <w:r w:rsidRPr="00FB5369">
              <w:rPr>
                <w:rFonts w:eastAsia="Times New Roman" w:cstheme="minorHAnsi"/>
                <w:bCs/>
                <w:color w:val="000000"/>
                <w:sz w:val="22"/>
                <w:szCs w:val="22"/>
              </w:rPr>
              <w:t>współorzekający w Komisji Odwoławczej przy Urzędzie Patentowym w sprawach własności przemysłowej, składom której przewodniczyli sędziowie Sądu Najwyższego, w latach 1979 -2001</w:t>
            </w:r>
          </w:p>
          <w:p w14:paraId="561EA107" w14:textId="5E0A0D81" w:rsidR="001B07A5" w:rsidRPr="00155C90" w:rsidRDefault="001B07A5" w:rsidP="001F6BE3">
            <w:pPr>
              <w:pStyle w:val="Akapitzlist"/>
              <w:numPr>
                <w:ilvl w:val="0"/>
                <w:numId w:val="47"/>
              </w:numPr>
              <w:ind w:left="320" w:hanging="334"/>
              <w:rPr>
                <w:rFonts w:eastAsia="Times New Roman" w:cstheme="minorHAnsi"/>
                <w:bCs/>
                <w:color w:val="000000"/>
                <w:sz w:val="22"/>
                <w:szCs w:val="22"/>
              </w:rPr>
            </w:pPr>
            <w:r w:rsidRPr="00155C90">
              <w:rPr>
                <w:rFonts w:eastAsia="Times New Roman" w:cstheme="minorHAnsi"/>
                <w:bCs/>
                <w:color w:val="000000"/>
                <w:sz w:val="22"/>
                <w:szCs w:val="22"/>
              </w:rPr>
              <w:t>rzecznik patentowy nr 1571</w:t>
            </w:r>
          </w:p>
          <w:p w14:paraId="70147058" w14:textId="77777777" w:rsidR="001B07A5" w:rsidRPr="00155C90" w:rsidRDefault="001B07A5" w:rsidP="001F6BE3">
            <w:pPr>
              <w:pStyle w:val="Akapitzlist"/>
              <w:numPr>
                <w:ilvl w:val="0"/>
                <w:numId w:val="47"/>
              </w:numPr>
              <w:ind w:left="320" w:hanging="334"/>
              <w:rPr>
                <w:rFonts w:eastAsia="Times New Roman" w:cstheme="minorHAnsi"/>
                <w:bCs/>
                <w:color w:val="000000"/>
                <w:sz w:val="22"/>
                <w:szCs w:val="22"/>
              </w:rPr>
            </w:pPr>
            <w:r w:rsidRPr="00155C90">
              <w:rPr>
                <w:rFonts w:eastAsia="Times New Roman" w:cstheme="minorHAnsi"/>
                <w:bCs/>
                <w:color w:val="000000"/>
                <w:sz w:val="22"/>
                <w:szCs w:val="22"/>
              </w:rPr>
              <w:t>profesjonalny pełnomocnik przed EUIPO (</w:t>
            </w:r>
            <w:r w:rsidRPr="00155C90">
              <w:rPr>
                <w:rFonts w:eastAsia="Times New Roman" w:cstheme="minorHAnsi"/>
                <w:bCs/>
                <w:i/>
                <w:color w:val="000000"/>
                <w:sz w:val="22"/>
                <w:szCs w:val="22"/>
              </w:rPr>
              <w:t>European Union Intellectual Property Office</w:t>
            </w:r>
            <w:r w:rsidRPr="00155C90">
              <w:rPr>
                <w:rFonts w:eastAsia="Times New Roman" w:cstheme="minorHAnsi"/>
                <w:bCs/>
                <w:color w:val="000000"/>
                <w:sz w:val="22"/>
                <w:szCs w:val="22"/>
              </w:rPr>
              <w:t xml:space="preserve"> – Urząd Unii Europejskiej ds. Własności Intelektualnej), nr 27177</w:t>
            </w:r>
          </w:p>
          <w:p w14:paraId="5B26C1E6" w14:textId="77777777" w:rsidR="001B07A5" w:rsidRPr="00155C90" w:rsidRDefault="001B07A5" w:rsidP="001F6BE3">
            <w:pPr>
              <w:pStyle w:val="Akapitzlist"/>
              <w:numPr>
                <w:ilvl w:val="0"/>
                <w:numId w:val="47"/>
              </w:numPr>
              <w:ind w:left="320" w:hanging="334"/>
              <w:rPr>
                <w:rFonts w:eastAsia="Times New Roman" w:cstheme="minorHAnsi"/>
                <w:bCs/>
                <w:color w:val="000000"/>
                <w:sz w:val="22"/>
                <w:szCs w:val="22"/>
              </w:rPr>
            </w:pPr>
            <w:r w:rsidRPr="00155C90">
              <w:rPr>
                <w:rFonts w:eastAsia="Times New Roman" w:cstheme="minorHAnsi"/>
                <w:bCs/>
                <w:color w:val="000000"/>
                <w:sz w:val="22"/>
                <w:szCs w:val="22"/>
              </w:rPr>
              <w:t>Europejski Rzecznik Patentowy nr 138820</w:t>
            </w:r>
          </w:p>
          <w:p w14:paraId="78E97DFA" w14:textId="77777777" w:rsidR="001B07A5" w:rsidRPr="00155C90" w:rsidRDefault="001B07A5" w:rsidP="001F6BE3">
            <w:pPr>
              <w:pStyle w:val="Akapitzlist"/>
              <w:numPr>
                <w:ilvl w:val="0"/>
                <w:numId w:val="47"/>
              </w:numPr>
              <w:ind w:left="320" w:hanging="334"/>
              <w:rPr>
                <w:rFonts w:eastAsia="Times New Roman" w:cstheme="minorHAnsi"/>
                <w:bCs/>
                <w:color w:val="000000"/>
                <w:sz w:val="22"/>
                <w:szCs w:val="22"/>
              </w:rPr>
            </w:pPr>
            <w:r w:rsidRPr="00155C90">
              <w:rPr>
                <w:rFonts w:eastAsia="Times New Roman" w:cstheme="minorHAnsi"/>
                <w:bCs/>
                <w:color w:val="000000"/>
                <w:sz w:val="22"/>
                <w:szCs w:val="22"/>
              </w:rPr>
              <w:t>Prezes Polskiej Izby Rzeczników Patentowych w latach 2002-2005</w:t>
            </w:r>
          </w:p>
          <w:p w14:paraId="3092CF77" w14:textId="77777777" w:rsidR="001B07A5" w:rsidRPr="00155C90" w:rsidRDefault="001B07A5" w:rsidP="001F6BE3">
            <w:pPr>
              <w:pStyle w:val="Akapitzlist"/>
              <w:numPr>
                <w:ilvl w:val="0"/>
                <w:numId w:val="47"/>
              </w:numPr>
              <w:ind w:left="320" w:hanging="334"/>
              <w:rPr>
                <w:rFonts w:eastAsia="Times New Roman" w:cstheme="minorHAnsi"/>
                <w:bCs/>
                <w:color w:val="000000"/>
                <w:sz w:val="22"/>
                <w:szCs w:val="22"/>
              </w:rPr>
            </w:pPr>
            <w:r w:rsidRPr="00155C90">
              <w:rPr>
                <w:rFonts w:eastAsia="Times New Roman" w:cstheme="minorHAnsi"/>
                <w:bCs/>
                <w:color w:val="000000"/>
                <w:sz w:val="22"/>
                <w:szCs w:val="22"/>
              </w:rPr>
              <w:t>Wiceprezes Zarządu StoWI od 2023 r.</w:t>
            </w:r>
          </w:p>
          <w:p w14:paraId="0B2DD496" w14:textId="550EFEA7" w:rsidR="001B07A5" w:rsidRPr="00155C90" w:rsidRDefault="001B07A5" w:rsidP="001F6BE3">
            <w:pPr>
              <w:pStyle w:val="Akapitzlist"/>
              <w:numPr>
                <w:ilvl w:val="0"/>
                <w:numId w:val="47"/>
              </w:numPr>
              <w:ind w:left="320" w:hanging="334"/>
              <w:rPr>
                <w:rFonts w:eastAsia="Times New Roman" w:cstheme="minorHAnsi"/>
                <w:bCs/>
                <w:color w:val="000000"/>
                <w:sz w:val="22"/>
                <w:szCs w:val="22"/>
              </w:rPr>
            </w:pPr>
            <w:r w:rsidRPr="00155C90">
              <w:rPr>
                <w:rFonts w:eastAsia="Times New Roman" w:cstheme="minorHAnsi"/>
                <w:bCs/>
                <w:color w:val="000000"/>
                <w:sz w:val="22"/>
                <w:szCs w:val="22"/>
              </w:rPr>
              <w:t>Redaktor naczelny Kwartalnika „THINK-TANK WSZYS</w:t>
            </w:r>
            <w:r w:rsidR="00670256" w:rsidRPr="00155C90">
              <w:rPr>
                <w:rFonts w:eastAsia="Times New Roman" w:cstheme="minorHAnsi"/>
                <w:bCs/>
                <w:color w:val="000000"/>
                <w:sz w:val="22"/>
                <w:szCs w:val="22"/>
              </w:rPr>
              <w:t>T</w:t>
            </w:r>
            <w:r w:rsidRPr="00155C90">
              <w:rPr>
                <w:rFonts w:eastAsia="Times New Roman" w:cstheme="minorHAnsi"/>
                <w:bCs/>
                <w:color w:val="000000"/>
                <w:sz w:val="22"/>
                <w:szCs w:val="22"/>
              </w:rPr>
              <w:t>KO o IP w PL” od listopada 2023 r.</w:t>
            </w:r>
          </w:p>
          <w:p w14:paraId="7841357D" w14:textId="77777777" w:rsidR="001B07A5" w:rsidRPr="00BD2FF6" w:rsidRDefault="001B07A5" w:rsidP="005027DA">
            <w:pPr>
              <w:ind w:left="658"/>
              <w:rPr>
                <w:rFonts w:cstheme="minorHAnsi"/>
                <w:bCs/>
                <w:color w:val="000000"/>
                <w:sz w:val="10"/>
                <w:szCs w:val="10"/>
              </w:rPr>
            </w:pPr>
          </w:p>
        </w:tc>
      </w:tr>
      <w:tr w:rsidR="001B07A5" w:rsidRPr="00BD2FF6" w14:paraId="02A2044C" w14:textId="77777777" w:rsidTr="00004768">
        <w:tc>
          <w:tcPr>
            <w:tcW w:w="1276" w:type="dxa"/>
          </w:tcPr>
          <w:p w14:paraId="41DE5187" w14:textId="77777777" w:rsidR="001B07A5" w:rsidRPr="00BD2FF6" w:rsidRDefault="001B07A5" w:rsidP="005027DA">
            <w:pPr>
              <w:rPr>
                <w:rFonts w:asciiTheme="minorHAnsi" w:hAnsiTheme="minorHAnsi" w:cstheme="minorHAnsi"/>
                <w:b/>
                <w:bCs/>
                <w:noProof/>
                <w:sz w:val="6"/>
                <w:szCs w:val="6"/>
              </w:rPr>
            </w:pPr>
          </w:p>
          <w:p w14:paraId="08EA8EEC" w14:textId="77777777" w:rsidR="001B07A5" w:rsidRPr="00BD2FF6" w:rsidRDefault="001B07A5" w:rsidP="005027DA">
            <w:pPr>
              <w:rPr>
                <w:rFonts w:asciiTheme="minorHAnsi" w:hAnsiTheme="minorHAnsi" w:cstheme="minorHAnsi"/>
                <w:b/>
                <w:bCs/>
                <w:noProof/>
                <w:sz w:val="18"/>
                <w:szCs w:val="18"/>
              </w:rPr>
            </w:pPr>
            <w:r w:rsidRPr="00BD2FF6">
              <w:rPr>
                <w:rFonts w:cstheme="minorHAnsi"/>
                <w:noProof/>
              </w:rPr>
              <w:drawing>
                <wp:inline distT="0" distB="0" distL="0" distR="0" wp14:anchorId="2512AC14" wp14:editId="6959280F">
                  <wp:extent cx="662400" cy="900000"/>
                  <wp:effectExtent l="0" t="0" r="4445" b="0"/>
                  <wp:docPr id="1959507429"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07429"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gridSpan w:val="2"/>
          </w:tcPr>
          <w:p w14:paraId="2979B646" w14:textId="77777777" w:rsidR="001B07A5" w:rsidRPr="00155C90" w:rsidRDefault="001B07A5" w:rsidP="005027DA">
            <w:pPr>
              <w:rPr>
                <w:rFonts w:asciiTheme="minorHAnsi" w:hAnsiTheme="minorHAnsi" w:cstheme="minorHAnsi"/>
                <w:bCs/>
                <w:color w:val="000000"/>
                <w:sz w:val="22"/>
                <w:szCs w:val="22"/>
              </w:rPr>
            </w:pPr>
            <w:r w:rsidRPr="00155C90">
              <w:rPr>
                <w:rFonts w:asciiTheme="minorHAnsi" w:hAnsiTheme="minorHAnsi" w:cstheme="minorHAnsi"/>
                <w:bCs/>
                <w:color w:val="000000"/>
                <w:sz w:val="22"/>
                <w:szCs w:val="22"/>
              </w:rPr>
              <w:t xml:space="preserve">Ryszard MATUSIAK </w:t>
            </w:r>
          </w:p>
          <w:p w14:paraId="42EEAA52"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rzecznik patentowy w latach 1978-97</w:t>
            </w:r>
          </w:p>
          <w:p w14:paraId="5908DF2F"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 xml:space="preserve">współzałożyciel Polskiej Izby Rzeczników Patentowych </w:t>
            </w:r>
          </w:p>
          <w:p w14:paraId="4466EE48"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uczestnik I Krajowego Zjazdu w dniu 28.08.1993 r.</w:t>
            </w:r>
          </w:p>
          <w:p w14:paraId="3BD022B0"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Przewodniczący Głównej Komisji Rewizyjnej SIMP 28.06.2002-26.11.2022</w:t>
            </w:r>
          </w:p>
          <w:p w14:paraId="3ACF8E4F"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 xml:space="preserve">Ekspert Urzędu Marszałkowskiego Województwa Wielkopolskiego </w:t>
            </w:r>
          </w:p>
          <w:p w14:paraId="47933468"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 xml:space="preserve">Wpisany przez Urząd Marszałkowski Województwa Wielkopolskiego na Listę Krajową Ekspertów </w:t>
            </w:r>
          </w:p>
          <w:p w14:paraId="08B72EA0" w14:textId="77777777" w:rsidR="002969DE"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 xml:space="preserve">Przewodniczący </w:t>
            </w:r>
            <w:proofErr w:type="spellStart"/>
            <w:r w:rsidRPr="00155C90">
              <w:rPr>
                <w:rFonts w:asciiTheme="minorHAnsi" w:eastAsia="Times New Roman" w:hAnsiTheme="minorHAnsi" w:cstheme="minorHAnsi"/>
                <w:bCs/>
                <w:color w:val="000000"/>
                <w:sz w:val="22"/>
                <w:szCs w:val="22"/>
              </w:rPr>
              <w:t>WKTiR</w:t>
            </w:r>
            <w:proofErr w:type="spellEnd"/>
            <w:r w:rsidRPr="00155C90">
              <w:rPr>
                <w:rFonts w:asciiTheme="minorHAnsi" w:eastAsia="Times New Roman" w:hAnsiTheme="minorHAnsi" w:cstheme="minorHAnsi"/>
                <w:bCs/>
                <w:color w:val="000000"/>
                <w:sz w:val="22"/>
                <w:szCs w:val="22"/>
              </w:rPr>
              <w:t xml:space="preserve"> w Poznaniu (1981-1985) </w:t>
            </w:r>
          </w:p>
          <w:p w14:paraId="2E533F6D" w14:textId="64BED9D2" w:rsidR="001B07A5" w:rsidRPr="00155C90" w:rsidRDefault="002969DE" w:rsidP="00355D81">
            <w:pPr>
              <w:pStyle w:val="Akapitzlist"/>
              <w:numPr>
                <w:ilvl w:val="0"/>
                <w:numId w:val="58"/>
              </w:numPr>
              <w:ind w:left="317" w:hanging="283"/>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Rzeczoznawca SIMP</w:t>
            </w:r>
          </w:p>
          <w:p w14:paraId="6F329599" w14:textId="57F0B7AF" w:rsidR="002969DE" w:rsidRPr="00BD2FF6" w:rsidRDefault="002969DE" w:rsidP="002969DE">
            <w:pPr>
              <w:rPr>
                <w:rFonts w:asciiTheme="minorHAnsi" w:hAnsiTheme="minorHAnsi" w:cstheme="minorHAnsi"/>
                <w:bCs/>
                <w:color w:val="000000"/>
                <w:sz w:val="10"/>
                <w:szCs w:val="10"/>
              </w:rPr>
            </w:pPr>
          </w:p>
        </w:tc>
      </w:tr>
      <w:tr w:rsidR="001B07A5" w:rsidRPr="00BD2FF6" w14:paraId="3CAA4EED" w14:textId="77777777" w:rsidTr="00004768">
        <w:tc>
          <w:tcPr>
            <w:tcW w:w="1276" w:type="dxa"/>
          </w:tcPr>
          <w:p w14:paraId="1C8B98E0" w14:textId="77777777" w:rsidR="001B07A5" w:rsidRPr="00BD2FF6" w:rsidRDefault="001B07A5" w:rsidP="005027DA">
            <w:pPr>
              <w:tabs>
                <w:tab w:val="left" w:pos="2261"/>
              </w:tabs>
              <w:rPr>
                <w:rFonts w:asciiTheme="minorHAnsi" w:hAnsiTheme="minorHAnsi" w:cstheme="minorHAnsi"/>
                <w:b/>
                <w:bCs/>
                <w:color w:val="000000"/>
                <w:sz w:val="6"/>
                <w:szCs w:val="6"/>
              </w:rPr>
            </w:pPr>
          </w:p>
          <w:p w14:paraId="327484DF" w14:textId="77777777" w:rsidR="001B07A5" w:rsidRPr="00BD2FF6" w:rsidRDefault="001B07A5" w:rsidP="005027DA">
            <w:pPr>
              <w:tabs>
                <w:tab w:val="left" w:pos="2261"/>
              </w:tabs>
              <w:rPr>
                <w:rFonts w:asciiTheme="minorHAnsi" w:hAnsiTheme="minorHAnsi" w:cstheme="minorHAnsi"/>
                <w:b/>
                <w:bCs/>
                <w:color w:val="000000"/>
                <w:sz w:val="26"/>
                <w:szCs w:val="26"/>
              </w:rPr>
            </w:pPr>
            <w:r w:rsidRPr="00BD2FF6">
              <w:rPr>
                <w:rFonts w:cstheme="minorHAnsi"/>
                <w:noProof/>
              </w:rPr>
              <w:drawing>
                <wp:inline distT="0" distB="0" distL="0" distR="0" wp14:anchorId="0265E1B8" wp14:editId="1C62B585">
                  <wp:extent cx="658800" cy="900000"/>
                  <wp:effectExtent l="0" t="0" r="8255" b="0"/>
                  <wp:docPr id="1936250387" name="Obraz 6" descr="Obraz zawierający osoba, ubrania, Ludzka twarz,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50387" name="Obraz 6" descr="Obraz zawierający osoba, ubrania, Ludzka twarz, tekst&#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8800" cy="900000"/>
                          </a:xfrm>
                          <a:prstGeom prst="rect">
                            <a:avLst/>
                          </a:prstGeom>
                          <a:noFill/>
                          <a:ln>
                            <a:noFill/>
                          </a:ln>
                        </pic:spPr>
                      </pic:pic>
                    </a:graphicData>
                  </a:graphic>
                </wp:inline>
              </w:drawing>
            </w:r>
          </w:p>
        </w:tc>
        <w:tc>
          <w:tcPr>
            <w:tcW w:w="8476" w:type="dxa"/>
            <w:gridSpan w:val="2"/>
          </w:tcPr>
          <w:p w14:paraId="3B1A3208" w14:textId="77777777" w:rsidR="001B07A5" w:rsidRPr="00155C90" w:rsidRDefault="001B07A5" w:rsidP="005027DA">
            <w:pPr>
              <w:rPr>
                <w:rFonts w:asciiTheme="minorHAnsi" w:hAnsiTheme="minorHAnsi" w:cstheme="minorHAnsi"/>
                <w:bCs/>
                <w:color w:val="000000"/>
                <w:sz w:val="22"/>
                <w:szCs w:val="22"/>
              </w:rPr>
            </w:pPr>
            <w:r w:rsidRPr="00155C90">
              <w:rPr>
                <w:rFonts w:asciiTheme="minorHAnsi" w:hAnsiTheme="minorHAnsi" w:cstheme="minorHAnsi"/>
                <w:bCs/>
                <w:color w:val="000000"/>
                <w:sz w:val="22"/>
                <w:szCs w:val="22"/>
              </w:rPr>
              <w:t>Anna KORBELA</w:t>
            </w:r>
          </w:p>
          <w:p w14:paraId="55F58981" w14:textId="2B7CAED7" w:rsidR="00EB7480" w:rsidRPr="00155C90" w:rsidRDefault="00FE4722"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 xml:space="preserve">w 1994 r. </w:t>
            </w:r>
            <w:r w:rsidRPr="00FE4722">
              <w:rPr>
                <w:rFonts w:asciiTheme="minorHAnsi" w:eastAsia="Times New Roman" w:hAnsiTheme="minorHAnsi" w:cstheme="minorHAnsi"/>
                <w:bCs/>
                <w:color w:val="000000"/>
                <w:sz w:val="22"/>
                <w:szCs w:val="22"/>
              </w:rPr>
              <w:t xml:space="preserve">zdała </w:t>
            </w:r>
            <w:r w:rsidR="00EB7480" w:rsidRPr="00155C90">
              <w:rPr>
                <w:rFonts w:asciiTheme="minorHAnsi" w:eastAsia="Times New Roman" w:hAnsiTheme="minorHAnsi" w:cstheme="minorHAnsi"/>
                <w:bCs/>
                <w:color w:val="000000"/>
                <w:sz w:val="22"/>
                <w:szCs w:val="22"/>
              </w:rPr>
              <w:t xml:space="preserve">egzamin sędziowski poprzedzony etatową aplikacją sędziowską (złożony z </w:t>
            </w:r>
            <w:r w:rsidR="00123357" w:rsidRPr="00155C90">
              <w:rPr>
                <w:rFonts w:asciiTheme="minorHAnsi" w:eastAsia="Times New Roman" w:hAnsiTheme="minorHAnsi" w:cstheme="minorHAnsi"/>
                <w:bCs/>
                <w:color w:val="000000"/>
                <w:sz w:val="22"/>
                <w:szCs w:val="22"/>
              </w:rPr>
              <w:t xml:space="preserve">dobrym </w:t>
            </w:r>
            <w:r w:rsidR="00EB7480" w:rsidRPr="00155C90">
              <w:rPr>
                <w:rFonts w:asciiTheme="minorHAnsi" w:eastAsia="Times New Roman" w:hAnsiTheme="minorHAnsi" w:cstheme="minorHAnsi"/>
                <w:bCs/>
                <w:color w:val="000000"/>
                <w:sz w:val="22"/>
                <w:szCs w:val="22"/>
              </w:rPr>
              <w:t>wynikiem, umożliwiającym podjęcie kariery sędziowskiej</w:t>
            </w:r>
            <w:r w:rsidR="00D76DA8" w:rsidRPr="00155C90">
              <w:rPr>
                <w:rFonts w:asciiTheme="minorHAnsi" w:eastAsia="Times New Roman" w:hAnsiTheme="minorHAnsi" w:cstheme="minorHAnsi"/>
                <w:bCs/>
                <w:color w:val="000000"/>
                <w:sz w:val="22"/>
                <w:szCs w:val="22"/>
              </w:rPr>
              <w:t>)</w:t>
            </w:r>
          </w:p>
          <w:p w14:paraId="76FE40A2" w14:textId="4DAF379E"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rzecznik patentowy nr 3040</w:t>
            </w:r>
          </w:p>
          <w:p w14:paraId="13027DFE" w14:textId="77777777"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radca prawny nr 364/96</w:t>
            </w:r>
          </w:p>
          <w:p w14:paraId="61A8258E" w14:textId="53AB02C2"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 xml:space="preserve">profesjonalny pełnomocnik przed EUIPO (European Union Intellectual Property Office </w:t>
            </w:r>
            <w:r w:rsidR="003A208A" w:rsidRPr="00155C90">
              <w:rPr>
                <w:rFonts w:asciiTheme="minorHAnsi" w:eastAsia="Times New Roman" w:hAnsiTheme="minorHAnsi" w:cstheme="minorHAnsi"/>
                <w:bCs/>
                <w:color w:val="000000"/>
                <w:sz w:val="22"/>
                <w:szCs w:val="22"/>
              </w:rPr>
              <w:t>-</w:t>
            </w:r>
            <w:r w:rsidRPr="00155C90">
              <w:rPr>
                <w:rFonts w:asciiTheme="minorHAnsi" w:eastAsia="Times New Roman" w:hAnsiTheme="minorHAnsi" w:cstheme="minorHAnsi"/>
                <w:bCs/>
                <w:color w:val="000000"/>
                <w:sz w:val="22"/>
                <w:szCs w:val="22"/>
              </w:rPr>
              <w:t xml:space="preserve"> </w:t>
            </w:r>
            <w:r w:rsidR="00F745E5" w:rsidRPr="00155C90">
              <w:rPr>
                <w:rFonts w:asciiTheme="minorHAnsi" w:eastAsia="Times New Roman" w:hAnsiTheme="minorHAnsi" w:cstheme="minorHAnsi"/>
                <w:bCs/>
                <w:color w:val="000000"/>
                <w:sz w:val="22"/>
                <w:szCs w:val="22"/>
              </w:rPr>
              <w:t>Urzędem</w:t>
            </w:r>
            <w:r w:rsidRPr="00155C90">
              <w:rPr>
                <w:rFonts w:asciiTheme="minorHAnsi" w:eastAsia="Times New Roman" w:hAnsiTheme="minorHAnsi" w:cstheme="minorHAnsi"/>
                <w:bCs/>
                <w:color w:val="000000"/>
                <w:sz w:val="22"/>
                <w:szCs w:val="22"/>
              </w:rPr>
              <w:t xml:space="preserve"> Unii Europejskiej ds. Własności Intelektualnej), nr 27595</w:t>
            </w:r>
          </w:p>
          <w:p w14:paraId="0AB59FD7" w14:textId="77777777"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Europejski Rzecznik Patentowy nr 137760</w:t>
            </w:r>
          </w:p>
          <w:p w14:paraId="74C1BA1E" w14:textId="5D1F8B9C"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pełnomocnik uprawniony do działania przed DPMA (</w:t>
            </w:r>
            <w:proofErr w:type="spellStart"/>
            <w:r w:rsidRPr="00155C90">
              <w:rPr>
                <w:rFonts w:asciiTheme="minorHAnsi" w:eastAsia="Times New Roman" w:hAnsiTheme="minorHAnsi" w:cstheme="minorHAnsi"/>
                <w:bCs/>
                <w:color w:val="000000"/>
                <w:sz w:val="22"/>
                <w:szCs w:val="22"/>
              </w:rPr>
              <w:t>Deutsches</w:t>
            </w:r>
            <w:proofErr w:type="spellEnd"/>
            <w:r w:rsidRPr="00155C90">
              <w:rPr>
                <w:rFonts w:asciiTheme="minorHAnsi" w:eastAsia="Times New Roman" w:hAnsiTheme="minorHAnsi" w:cstheme="minorHAnsi"/>
                <w:bCs/>
                <w:color w:val="000000"/>
                <w:sz w:val="22"/>
                <w:szCs w:val="22"/>
              </w:rPr>
              <w:t xml:space="preserve"> Patent- </w:t>
            </w:r>
            <w:proofErr w:type="spellStart"/>
            <w:r w:rsidRPr="00155C90">
              <w:rPr>
                <w:rFonts w:asciiTheme="minorHAnsi" w:eastAsia="Times New Roman" w:hAnsiTheme="minorHAnsi" w:cstheme="minorHAnsi"/>
                <w:bCs/>
                <w:color w:val="000000"/>
                <w:sz w:val="22"/>
                <w:szCs w:val="22"/>
              </w:rPr>
              <w:t>und</w:t>
            </w:r>
            <w:proofErr w:type="spellEnd"/>
            <w:r w:rsidRPr="00155C90">
              <w:rPr>
                <w:rFonts w:asciiTheme="minorHAnsi" w:eastAsia="Times New Roman" w:hAnsiTheme="minorHAnsi" w:cstheme="minorHAnsi"/>
                <w:bCs/>
                <w:color w:val="000000"/>
                <w:sz w:val="22"/>
                <w:szCs w:val="22"/>
              </w:rPr>
              <w:t xml:space="preserve"> </w:t>
            </w:r>
            <w:proofErr w:type="spellStart"/>
            <w:r w:rsidRPr="00155C90">
              <w:rPr>
                <w:rFonts w:asciiTheme="minorHAnsi" w:eastAsia="Times New Roman" w:hAnsiTheme="minorHAnsi" w:cstheme="minorHAnsi"/>
                <w:bCs/>
                <w:color w:val="000000"/>
                <w:sz w:val="22"/>
                <w:szCs w:val="22"/>
              </w:rPr>
              <w:t>Markenamt</w:t>
            </w:r>
            <w:proofErr w:type="spellEnd"/>
            <w:r w:rsidRPr="00155C90">
              <w:rPr>
                <w:rFonts w:asciiTheme="minorHAnsi" w:eastAsia="Times New Roman" w:hAnsiTheme="minorHAnsi" w:cstheme="minorHAnsi"/>
                <w:bCs/>
                <w:color w:val="000000"/>
                <w:sz w:val="22"/>
                <w:szCs w:val="22"/>
              </w:rPr>
              <w:t xml:space="preserve"> </w:t>
            </w:r>
            <w:r w:rsidR="003A208A" w:rsidRPr="00155C90">
              <w:rPr>
                <w:rFonts w:asciiTheme="minorHAnsi" w:eastAsia="Times New Roman" w:hAnsiTheme="minorHAnsi" w:cstheme="minorHAnsi"/>
                <w:bCs/>
                <w:color w:val="000000"/>
                <w:sz w:val="22"/>
                <w:szCs w:val="22"/>
              </w:rPr>
              <w:t>-</w:t>
            </w:r>
            <w:r w:rsidRPr="00155C90">
              <w:rPr>
                <w:rFonts w:asciiTheme="minorHAnsi" w:eastAsia="Times New Roman" w:hAnsiTheme="minorHAnsi" w:cstheme="minorHAnsi"/>
                <w:bCs/>
                <w:color w:val="000000"/>
                <w:sz w:val="22"/>
                <w:szCs w:val="22"/>
              </w:rPr>
              <w:t xml:space="preserve"> </w:t>
            </w:r>
            <w:r w:rsidR="003A208A" w:rsidRPr="00155C90">
              <w:rPr>
                <w:rFonts w:asciiTheme="minorHAnsi" w:eastAsia="Times New Roman" w:hAnsiTheme="minorHAnsi" w:cstheme="minorHAnsi"/>
                <w:bCs/>
                <w:color w:val="000000"/>
                <w:sz w:val="22"/>
                <w:szCs w:val="22"/>
              </w:rPr>
              <w:t xml:space="preserve">Niemieckim Urzędem ds. Patentów </w:t>
            </w:r>
            <w:r w:rsidRPr="00155C90">
              <w:rPr>
                <w:rFonts w:asciiTheme="minorHAnsi" w:eastAsia="Times New Roman" w:hAnsiTheme="minorHAnsi" w:cstheme="minorHAnsi"/>
                <w:bCs/>
                <w:color w:val="000000"/>
                <w:sz w:val="22"/>
                <w:szCs w:val="22"/>
              </w:rPr>
              <w:t>i Znaków Towarowych) nr 38701324</w:t>
            </w:r>
          </w:p>
          <w:p w14:paraId="470E07E2" w14:textId="247CB44A"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pełnomocnik przed UPC (</w:t>
            </w:r>
            <w:proofErr w:type="spellStart"/>
            <w:r w:rsidRPr="00155C90">
              <w:rPr>
                <w:rFonts w:asciiTheme="minorHAnsi" w:eastAsia="Times New Roman" w:hAnsiTheme="minorHAnsi" w:cstheme="minorHAnsi"/>
                <w:bCs/>
                <w:color w:val="000000"/>
                <w:sz w:val="22"/>
                <w:szCs w:val="22"/>
              </w:rPr>
              <w:t>Unitary</w:t>
            </w:r>
            <w:proofErr w:type="spellEnd"/>
            <w:r w:rsidRPr="00155C90">
              <w:rPr>
                <w:rFonts w:asciiTheme="minorHAnsi" w:eastAsia="Times New Roman" w:hAnsiTheme="minorHAnsi" w:cstheme="minorHAnsi"/>
                <w:bCs/>
                <w:color w:val="000000"/>
                <w:sz w:val="22"/>
                <w:szCs w:val="22"/>
              </w:rPr>
              <w:t xml:space="preserve"> Patent Court </w:t>
            </w:r>
            <w:r w:rsidR="003A208A" w:rsidRPr="00155C90">
              <w:rPr>
                <w:rFonts w:asciiTheme="minorHAnsi" w:eastAsia="Times New Roman" w:hAnsiTheme="minorHAnsi" w:cstheme="minorHAnsi"/>
                <w:bCs/>
                <w:color w:val="000000"/>
                <w:sz w:val="22"/>
                <w:szCs w:val="22"/>
              </w:rPr>
              <w:t>-</w:t>
            </w:r>
            <w:r w:rsidRPr="00155C90">
              <w:rPr>
                <w:rFonts w:asciiTheme="minorHAnsi" w:eastAsia="Times New Roman" w:hAnsiTheme="minorHAnsi" w:cstheme="minorHAnsi"/>
                <w:bCs/>
                <w:color w:val="000000"/>
                <w:sz w:val="22"/>
                <w:szCs w:val="22"/>
              </w:rPr>
              <w:t xml:space="preserve"> Jednolitym Sądem Patentowym) AUTH_525119/2023</w:t>
            </w:r>
          </w:p>
          <w:p w14:paraId="00515407" w14:textId="77777777" w:rsidR="001B07A5" w:rsidRPr="00155C90" w:rsidRDefault="001B07A5" w:rsidP="001F6BE3">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Prezes Polskiej Izby Rzeczników Patentowych w latach 2009-2013 i 2013-2017</w:t>
            </w:r>
          </w:p>
          <w:p w14:paraId="7193582B" w14:textId="21FB558A" w:rsidR="002969DE" w:rsidRPr="00FB5369" w:rsidRDefault="001B07A5" w:rsidP="00FB5369">
            <w:pPr>
              <w:pStyle w:val="Akapitzlist"/>
              <w:numPr>
                <w:ilvl w:val="0"/>
                <w:numId w:val="45"/>
              </w:numPr>
              <w:ind w:left="320" w:hanging="334"/>
              <w:rPr>
                <w:rFonts w:asciiTheme="minorHAnsi" w:eastAsia="Times New Roman" w:hAnsiTheme="minorHAnsi" w:cstheme="minorHAnsi"/>
                <w:bCs/>
                <w:color w:val="000000"/>
                <w:sz w:val="22"/>
                <w:szCs w:val="22"/>
              </w:rPr>
            </w:pPr>
            <w:r w:rsidRPr="00155C90">
              <w:rPr>
                <w:rFonts w:asciiTheme="minorHAnsi" w:eastAsia="Times New Roman" w:hAnsiTheme="minorHAnsi" w:cstheme="minorHAnsi"/>
                <w:bCs/>
                <w:color w:val="000000"/>
                <w:sz w:val="22"/>
                <w:szCs w:val="22"/>
              </w:rPr>
              <w:t>Prezes StoWI od 2023 r.</w:t>
            </w:r>
          </w:p>
        </w:tc>
      </w:tr>
    </w:tbl>
    <w:p w14:paraId="4058B7E1" w14:textId="021D9B55" w:rsidR="00D14D6C" w:rsidRPr="00BD2FF6" w:rsidRDefault="00D14D6C" w:rsidP="00BD2FF6">
      <w:pPr>
        <w:spacing w:after="0" w:line="240" w:lineRule="auto"/>
        <w:ind w:hanging="142"/>
        <w:jc w:val="center"/>
        <w:rPr>
          <w:rFonts w:cstheme="minorHAnsi"/>
          <w:b/>
          <w:bCs/>
          <w:sz w:val="24"/>
          <w:szCs w:val="24"/>
        </w:rPr>
      </w:pPr>
      <w:r w:rsidRPr="00BD2FF6">
        <w:rPr>
          <w:rFonts w:cstheme="minorHAnsi"/>
          <w:b/>
          <w:bCs/>
          <w:sz w:val="24"/>
          <w:szCs w:val="24"/>
        </w:rPr>
        <w:t>* * *</w:t>
      </w:r>
    </w:p>
    <w:p w14:paraId="2A85848E" w14:textId="77777777" w:rsidR="00B87D77" w:rsidRPr="00BD2FF6" w:rsidRDefault="00B87D77" w:rsidP="00B87D77">
      <w:pPr>
        <w:spacing w:after="0" w:line="240" w:lineRule="auto"/>
        <w:rPr>
          <w:rFonts w:cstheme="minorHAnsi"/>
          <w:b/>
          <w:bCs/>
          <w:sz w:val="20"/>
          <w:szCs w:val="20"/>
        </w:rPr>
      </w:pPr>
    </w:p>
    <w:p w14:paraId="5F3B03E4" w14:textId="77777777" w:rsidR="00B87D77" w:rsidRPr="00186799" w:rsidRDefault="00B87D77" w:rsidP="00B87D77">
      <w:pPr>
        <w:spacing w:after="0" w:line="240" w:lineRule="auto"/>
        <w:jc w:val="center"/>
        <w:rPr>
          <w:rFonts w:cstheme="minorHAnsi"/>
          <w:b/>
          <w:bCs/>
          <w:sz w:val="24"/>
          <w:szCs w:val="24"/>
        </w:rPr>
      </w:pPr>
      <w:bookmarkStart w:id="140" w:name="_Hlk169175231"/>
      <w:r w:rsidRPr="00186799">
        <w:rPr>
          <w:rFonts w:cstheme="minorHAnsi"/>
          <w:b/>
          <w:bCs/>
          <w:sz w:val="24"/>
          <w:szCs w:val="24"/>
        </w:rPr>
        <w:t>W POSZUKIWANIU ZAGINIONEJ WYNALAZCZOŚCI.</w:t>
      </w:r>
    </w:p>
    <w:p w14:paraId="76112687" w14:textId="77777777" w:rsidR="00B87D77" w:rsidRPr="00186799" w:rsidRDefault="00B87D77" w:rsidP="00B87D77">
      <w:pPr>
        <w:spacing w:after="0" w:line="240" w:lineRule="auto"/>
        <w:jc w:val="center"/>
        <w:rPr>
          <w:rFonts w:cstheme="minorHAnsi"/>
          <w:b/>
          <w:bCs/>
          <w:sz w:val="24"/>
          <w:szCs w:val="24"/>
        </w:rPr>
      </w:pPr>
      <w:r w:rsidRPr="00186799">
        <w:rPr>
          <w:rFonts w:cstheme="minorHAnsi"/>
          <w:b/>
          <w:bCs/>
          <w:sz w:val="24"/>
          <w:szCs w:val="24"/>
        </w:rPr>
        <w:t>Dobre rozwiązanie wpisuje się w każdy system.</w:t>
      </w:r>
    </w:p>
    <w:p w14:paraId="10776EF7" w14:textId="77777777" w:rsidR="00B137FC" w:rsidRPr="00186799" w:rsidRDefault="00B137FC" w:rsidP="00B137FC">
      <w:pPr>
        <w:spacing w:after="0" w:line="240" w:lineRule="auto"/>
        <w:jc w:val="center"/>
        <w:rPr>
          <w:rFonts w:cstheme="minorHAnsi"/>
          <w:b/>
          <w:bCs/>
          <w:color w:val="4472C4" w:themeColor="accent1"/>
          <w:sz w:val="24"/>
          <w:szCs w:val="24"/>
          <w:lang w:val="en-GB"/>
        </w:rPr>
      </w:pPr>
      <w:r w:rsidRPr="00186799">
        <w:rPr>
          <w:rFonts w:cstheme="minorHAnsi"/>
          <w:b/>
          <w:bCs/>
          <w:color w:val="4472C4" w:themeColor="accent1"/>
          <w:sz w:val="24"/>
          <w:szCs w:val="24"/>
          <w:lang w:val="en-GB"/>
        </w:rPr>
        <w:t>IN SEARCH OF THE LOST INVENTIONS.</w:t>
      </w:r>
    </w:p>
    <w:p w14:paraId="50E8A0B1" w14:textId="77777777" w:rsidR="00B137FC" w:rsidRPr="00186799" w:rsidRDefault="00B137FC" w:rsidP="00B137FC">
      <w:pPr>
        <w:spacing w:after="0" w:line="240" w:lineRule="auto"/>
        <w:jc w:val="center"/>
        <w:rPr>
          <w:rFonts w:cstheme="minorHAnsi"/>
          <w:b/>
          <w:bCs/>
          <w:color w:val="4472C4" w:themeColor="accent1"/>
          <w:sz w:val="24"/>
          <w:szCs w:val="24"/>
          <w:lang w:val="en-GB"/>
        </w:rPr>
      </w:pPr>
      <w:r w:rsidRPr="00186799">
        <w:rPr>
          <w:rFonts w:cstheme="minorHAnsi"/>
          <w:b/>
          <w:bCs/>
          <w:color w:val="4472C4" w:themeColor="accent1"/>
          <w:sz w:val="24"/>
          <w:szCs w:val="24"/>
          <w:lang w:val="en-GB"/>
        </w:rPr>
        <w:t>A good solution fits into any system.</w:t>
      </w:r>
    </w:p>
    <w:p w14:paraId="0B000E0B" w14:textId="77777777" w:rsidR="00B87D77" w:rsidRPr="00B137FC" w:rsidRDefault="00B87D77" w:rsidP="00110D84">
      <w:pPr>
        <w:spacing w:after="0" w:line="240" w:lineRule="auto"/>
        <w:ind w:hanging="709"/>
        <w:jc w:val="center"/>
        <w:rPr>
          <w:rFonts w:cstheme="minorHAnsi"/>
          <w:b/>
          <w:bCs/>
          <w:sz w:val="24"/>
          <w:szCs w:val="24"/>
          <w:lang w:val="en-GB"/>
        </w:rPr>
      </w:pPr>
    </w:p>
    <w:p w14:paraId="49F0B3C6" w14:textId="66AC4F8E" w:rsidR="00B137FC" w:rsidRPr="008B5A97" w:rsidRDefault="00B87D77" w:rsidP="00027FC3">
      <w:pPr>
        <w:pStyle w:val="nrbrzegowy2"/>
        <w:numPr>
          <w:ilvl w:val="0"/>
          <w:numId w:val="67"/>
        </w:numPr>
        <w:ind w:left="0" w:hanging="851"/>
      </w:pPr>
      <w:r w:rsidRPr="008B5A97">
        <w:t>Dobre rozwiązanie powinno być też realizowane i doceniane w każdym systemie.</w:t>
      </w:r>
    </w:p>
    <w:p w14:paraId="0A428E45" w14:textId="780098BE" w:rsidR="00B137FC" w:rsidRPr="00027FC3" w:rsidRDefault="00B137FC" w:rsidP="00027FC3">
      <w:pPr>
        <w:pStyle w:val="nrbrzegowy2"/>
        <w:numPr>
          <w:ilvl w:val="0"/>
          <w:numId w:val="0"/>
        </w:numPr>
        <w:rPr>
          <w:color w:val="2E74B5" w:themeColor="accent5" w:themeShade="BF"/>
          <w:lang w:val="en-GB"/>
        </w:rPr>
      </w:pPr>
      <w:r w:rsidRPr="00027FC3">
        <w:rPr>
          <w:color w:val="2E74B5" w:themeColor="accent5" w:themeShade="BF"/>
          <w:lang w:val="en-GB"/>
        </w:rPr>
        <w:t>A good solution should also be implemented and appreciated in every system.</w:t>
      </w:r>
    </w:p>
    <w:p w14:paraId="7A6DB017" w14:textId="77777777" w:rsidR="00B137FC" w:rsidRPr="00B137FC" w:rsidRDefault="00B137FC" w:rsidP="00027FC3">
      <w:pPr>
        <w:pStyle w:val="nrbrzegowy2"/>
        <w:numPr>
          <w:ilvl w:val="0"/>
          <w:numId w:val="0"/>
        </w:numPr>
        <w:ind w:hanging="851"/>
        <w:rPr>
          <w:sz w:val="10"/>
          <w:szCs w:val="10"/>
          <w:lang w:val="en-GB"/>
        </w:rPr>
      </w:pPr>
    </w:p>
    <w:p w14:paraId="68AE18B2" w14:textId="77777777" w:rsidR="00B87D77" w:rsidRDefault="00B87D77" w:rsidP="00027FC3">
      <w:pPr>
        <w:pStyle w:val="nrbrzegowy2"/>
        <w:ind w:left="0" w:hanging="851"/>
      </w:pPr>
      <w:r w:rsidRPr="00186799">
        <w:t>Czy wiecie Państwo, co oznacza pojęcie „</w:t>
      </w:r>
      <w:proofErr w:type="spellStart"/>
      <w:r w:rsidRPr="00186799">
        <w:rPr>
          <w:i/>
          <w:iCs/>
        </w:rPr>
        <w:t>półkownik</w:t>
      </w:r>
      <w:proofErr w:type="spellEnd"/>
      <w:r w:rsidRPr="00186799">
        <w:t>”? Był to nie tylko film o treściach niewygodnych dla władzy. Nazywano tak również wynik pracy naukowo-badawczej, który, zamiast trafić do gospodarki, ustawiony był na półce regału. To nie „</w:t>
      </w:r>
      <w:r w:rsidRPr="00186799">
        <w:rPr>
          <w:i/>
          <w:iCs/>
        </w:rPr>
        <w:t>za górami</w:t>
      </w:r>
      <w:r w:rsidRPr="00186799">
        <w:t xml:space="preserve">, </w:t>
      </w:r>
      <w:r w:rsidRPr="00186799">
        <w:rPr>
          <w:i/>
          <w:iCs/>
        </w:rPr>
        <w:t>za lasami</w:t>
      </w:r>
      <w:r w:rsidRPr="00186799">
        <w:t>” i nie „</w:t>
      </w:r>
      <w:r w:rsidRPr="00186799">
        <w:rPr>
          <w:i/>
          <w:iCs/>
        </w:rPr>
        <w:t>przed wiekami”</w:t>
      </w:r>
      <w:r w:rsidRPr="00186799">
        <w:t>,</w:t>
      </w:r>
      <w:r w:rsidRPr="00186799">
        <w:rPr>
          <w:i/>
          <w:iCs/>
        </w:rPr>
        <w:t xml:space="preserve"> </w:t>
      </w:r>
      <w:r w:rsidRPr="00186799">
        <w:t>ale w Polsce i to nie tak dawno trzej pasjonaci nazwani „</w:t>
      </w:r>
      <w:r w:rsidRPr="00186799">
        <w:rPr>
          <w:i/>
          <w:iCs/>
        </w:rPr>
        <w:t>poszukiwaczami skarbów”</w:t>
      </w:r>
      <w:r w:rsidRPr="00186799">
        <w:rPr>
          <w:rStyle w:val="Odwoanieprzypisudolnego"/>
          <w:rFonts w:cstheme="minorHAnsi"/>
          <w:i/>
          <w:iCs/>
          <w:szCs w:val="24"/>
        </w:rPr>
        <w:footnoteReference w:id="2"/>
      </w:r>
      <w:r w:rsidRPr="00186799">
        <w:t>, aby rozwiązać problem bezproduktywnego gromadzenia wartościowych opracowań naukowych, dokonali przeglądu kilku tysięcy „</w:t>
      </w:r>
      <w:proofErr w:type="spellStart"/>
      <w:r w:rsidRPr="00186799">
        <w:rPr>
          <w:i/>
          <w:iCs/>
        </w:rPr>
        <w:t>półkowników</w:t>
      </w:r>
      <w:proofErr w:type="spellEnd"/>
      <w:r w:rsidRPr="00186799">
        <w:t>”.</w:t>
      </w:r>
    </w:p>
    <w:p w14:paraId="010364B7" w14:textId="7B14364D" w:rsidR="00B137FC" w:rsidRPr="00027FC3" w:rsidRDefault="00B137FC" w:rsidP="00027FC3">
      <w:pPr>
        <w:pStyle w:val="nrbrzegowy2"/>
        <w:numPr>
          <w:ilvl w:val="0"/>
          <w:numId w:val="0"/>
        </w:numPr>
        <w:rPr>
          <w:color w:val="2E74B5" w:themeColor="accent5" w:themeShade="BF"/>
          <w:lang w:val="en-GB"/>
        </w:rPr>
      </w:pPr>
      <w:r w:rsidRPr="00027FC3">
        <w:rPr>
          <w:color w:val="2E74B5" w:themeColor="accent5" w:themeShade="BF"/>
          <w:lang w:val="en-GB"/>
        </w:rPr>
        <w:t>Do you know what the term “</w:t>
      </w:r>
      <w:proofErr w:type="spellStart"/>
      <w:r w:rsidRPr="00027FC3">
        <w:rPr>
          <w:i/>
          <w:iCs/>
          <w:color w:val="2E74B5" w:themeColor="accent5" w:themeShade="BF"/>
          <w:lang w:val="en-GB"/>
        </w:rPr>
        <w:t>półkownik</w:t>
      </w:r>
      <w:proofErr w:type="spellEnd"/>
      <w:r w:rsidRPr="00027FC3">
        <w:rPr>
          <w:color w:val="2E74B5" w:themeColor="accent5" w:themeShade="BF"/>
          <w:lang w:val="en-GB"/>
        </w:rPr>
        <w:t>” means? It was not only a film with content inconvenient for the authorities. This was also the name of the result of scientific research, which instead of being sold to the economy, was placed on a shelf. It was not "</w:t>
      </w:r>
      <w:r w:rsidRPr="00027FC3">
        <w:rPr>
          <w:i/>
          <w:iCs/>
          <w:color w:val="2E74B5" w:themeColor="accent5" w:themeShade="BF"/>
          <w:lang w:val="en-GB"/>
        </w:rPr>
        <w:t>behind the mountains, beyond the forests</w:t>
      </w:r>
      <w:r w:rsidRPr="00027FC3">
        <w:rPr>
          <w:color w:val="2E74B5" w:themeColor="accent5" w:themeShade="BF"/>
          <w:lang w:val="en-GB"/>
        </w:rPr>
        <w:t>" and anything but "</w:t>
      </w:r>
      <w:r w:rsidRPr="00027FC3">
        <w:rPr>
          <w:i/>
          <w:iCs/>
          <w:color w:val="2E74B5" w:themeColor="accent5" w:themeShade="BF"/>
          <w:lang w:val="en-GB"/>
        </w:rPr>
        <w:t>centuries ago</w:t>
      </w:r>
      <w:r w:rsidRPr="00027FC3">
        <w:rPr>
          <w:color w:val="2E74B5" w:themeColor="accent5" w:themeShade="BF"/>
          <w:lang w:val="en-GB"/>
        </w:rPr>
        <w:t>.” Rather, it wasn’t long ago in Poland that three enthusiasts, called the "</w:t>
      </w:r>
      <w:r w:rsidRPr="00027FC3">
        <w:rPr>
          <w:i/>
          <w:iCs/>
          <w:color w:val="2E74B5" w:themeColor="accent5" w:themeShade="BF"/>
          <w:lang w:val="en-GB"/>
        </w:rPr>
        <w:t>treasure hunters</w:t>
      </w:r>
      <w:r w:rsidRPr="00027FC3">
        <w:rPr>
          <w:color w:val="2E74B5" w:themeColor="accent5" w:themeShade="BF"/>
          <w:lang w:val="en-GB"/>
        </w:rPr>
        <w:t>" solved the problem of unproductive scientific studies. There is now a collective of several thousand valuable scientific studies called “</w:t>
      </w:r>
      <w:proofErr w:type="spellStart"/>
      <w:r w:rsidRPr="00027FC3">
        <w:rPr>
          <w:i/>
          <w:iCs/>
          <w:color w:val="2E74B5" w:themeColor="accent5" w:themeShade="BF"/>
          <w:lang w:val="en-GB"/>
        </w:rPr>
        <w:t>półkowniks</w:t>
      </w:r>
      <w:proofErr w:type="spellEnd"/>
      <w:r w:rsidRPr="00027FC3">
        <w:rPr>
          <w:color w:val="2E74B5" w:themeColor="accent5" w:themeShade="BF"/>
          <w:lang w:val="en-GB"/>
        </w:rPr>
        <w:t>”.</w:t>
      </w:r>
    </w:p>
    <w:p w14:paraId="79F65BF2" w14:textId="77777777" w:rsidR="00B87D77" w:rsidRPr="00B137FC" w:rsidRDefault="00B87D77" w:rsidP="00027FC3">
      <w:pPr>
        <w:pStyle w:val="nrbrzegowy2"/>
        <w:numPr>
          <w:ilvl w:val="0"/>
          <w:numId w:val="0"/>
        </w:numPr>
        <w:ind w:hanging="851"/>
        <w:rPr>
          <w:sz w:val="10"/>
          <w:szCs w:val="10"/>
          <w:lang w:val="en-US"/>
        </w:rPr>
      </w:pPr>
    </w:p>
    <w:p w14:paraId="7B3259B5" w14:textId="77777777" w:rsidR="00B87D77" w:rsidRPr="00E27C35" w:rsidRDefault="00B87D77" w:rsidP="00027FC3">
      <w:pPr>
        <w:pStyle w:val="nrbrzegowy2"/>
        <w:ind w:left="0" w:hanging="851"/>
        <w:rPr>
          <w:lang w:val="en-US"/>
        </w:rPr>
      </w:pPr>
      <w:r w:rsidRPr="00186799">
        <w:t xml:space="preserve">Krystian WITASZAK, Zbigniew KRAŚNICKI i Ryszard MATUSIAK szukali wartościowych pomysłów głównie na Politechnice Poznańskiej, w Akademii Rolniczej w Poznaniu i w innych poznańskich uczelniach i instytutach. Wybrali 149 prac. Wdrożenie 46 zapewniało uzyskanie efektów w wysokości co najmniej 54 miliardów starych złotych uzyskiwanych w świetnej relacji do ponoszonych nakładów. </w:t>
      </w:r>
      <w:proofErr w:type="spellStart"/>
      <w:r w:rsidRPr="00E27C35">
        <w:rPr>
          <w:lang w:val="en-US"/>
        </w:rPr>
        <w:t>Każda</w:t>
      </w:r>
      <w:proofErr w:type="spellEnd"/>
      <w:r w:rsidRPr="00E27C35">
        <w:rPr>
          <w:lang w:val="en-US"/>
        </w:rPr>
        <w:t xml:space="preserve"> </w:t>
      </w:r>
      <w:proofErr w:type="spellStart"/>
      <w:r w:rsidRPr="00E27C35">
        <w:rPr>
          <w:lang w:val="en-US"/>
        </w:rPr>
        <w:t>wydana</w:t>
      </w:r>
      <w:proofErr w:type="spellEnd"/>
      <w:r w:rsidRPr="00E27C35">
        <w:rPr>
          <w:lang w:val="en-US"/>
        </w:rPr>
        <w:t xml:space="preserve"> </w:t>
      </w:r>
      <w:proofErr w:type="spellStart"/>
      <w:r w:rsidRPr="00E27C35">
        <w:rPr>
          <w:lang w:val="en-US"/>
        </w:rPr>
        <w:t>złotówka</w:t>
      </w:r>
      <w:proofErr w:type="spellEnd"/>
      <w:r w:rsidRPr="00E27C35">
        <w:rPr>
          <w:lang w:val="en-US"/>
        </w:rPr>
        <w:t xml:space="preserve"> </w:t>
      </w:r>
      <w:proofErr w:type="spellStart"/>
      <w:r w:rsidRPr="00E27C35">
        <w:rPr>
          <w:lang w:val="en-US"/>
        </w:rPr>
        <w:t>przyniosła</w:t>
      </w:r>
      <w:proofErr w:type="spellEnd"/>
      <w:r w:rsidRPr="00E27C35">
        <w:rPr>
          <w:lang w:val="en-US"/>
        </w:rPr>
        <w:t xml:space="preserve"> 10 </w:t>
      </w:r>
      <w:proofErr w:type="spellStart"/>
      <w:r w:rsidRPr="00E27C35">
        <w:rPr>
          <w:lang w:val="en-US"/>
        </w:rPr>
        <w:t>zł</w:t>
      </w:r>
      <w:proofErr w:type="spellEnd"/>
      <w:r w:rsidRPr="00E27C35">
        <w:rPr>
          <w:lang w:val="en-US"/>
        </w:rPr>
        <w:t xml:space="preserve">. </w:t>
      </w:r>
    </w:p>
    <w:p w14:paraId="32E00B00" w14:textId="1854C922" w:rsidR="0090252A" w:rsidRPr="00027FC3" w:rsidRDefault="0090252A" w:rsidP="00027FC3">
      <w:pPr>
        <w:pStyle w:val="nrbrzegowy2"/>
        <w:numPr>
          <w:ilvl w:val="0"/>
          <w:numId w:val="0"/>
        </w:numPr>
        <w:rPr>
          <w:color w:val="2E74B5" w:themeColor="accent5" w:themeShade="BF"/>
          <w:sz w:val="10"/>
          <w:szCs w:val="10"/>
          <w:lang w:val="en-US"/>
        </w:rPr>
      </w:pPr>
      <w:r w:rsidRPr="00027FC3">
        <w:rPr>
          <w:color w:val="2E74B5" w:themeColor="accent5" w:themeShade="BF"/>
          <w:lang w:val="en-GB"/>
        </w:rPr>
        <w:t xml:space="preserve">Krystian WITASZAK, Zbigniew KRAŚNICKI and Ryszard MATUSIAK were looking for valuable ideas mainly at the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University of Technology, the Agricultural University in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and other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universities and institutes. They chose 149 works. Implementation of 46 works ensured the achievement of effects of at least 54 billion old zlotys obtained in excellent relation to expenditure. </w:t>
      </w:r>
      <w:proofErr w:type="spellStart"/>
      <w:r w:rsidRPr="00027FC3">
        <w:rPr>
          <w:color w:val="2E74B5" w:themeColor="accent5" w:themeShade="BF"/>
        </w:rPr>
        <w:t>Each</w:t>
      </w:r>
      <w:proofErr w:type="spellEnd"/>
      <w:r w:rsidRPr="00027FC3">
        <w:rPr>
          <w:color w:val="2E74B5" w:themeColor="accent5" w:themeShade="BF"/>
        </w:rPr>
        <w:t xml:space="preserve"> zloty </w:t>
      </w:r>
      <w:proofErr w:type="spellStart"/>
      <w:r w:rsidRPr="00027FC3">
        <w:rPr>
          <w:color w:val="2E74B5" w:themeColor="accent5" w:themeShade="BF"/>
        </w:rPr>
        <w:t>spent</w:t>
      </w:r>
      <w:proofErr w:type="spellEnd"/>
      <w:r w:rsidRPr="00027FC3">
        <w:rPr>
          <w:color w:val="2E74B5" w:themeColor="accent5" w:themeShade="BF"/>
        </w:rPr>
        <w:t xml:space="preserve"> </w:t>
      </w:r>
      <w:proofErr w:type="spellStart"/>
      <w:r w:rsidRPr="00027FC3">
        <w:rPr>
          <w:color w:val="2E74B5" w:themeColor="accent5" w:themeShade="BF"/>
        </w:rPr>
        <w:t>brought</w:t>
      </w:r>
      <w:proofErr w:type="spellEnd"/>
      <w:r w:rsidRPr="00027FC3">
        <w:rPr>
          <w:color w:val="2E74B5" w:themeColor="accent5" w:themeShade="BF"/>
        </w:rPr>
        <w:t xml:space="preserve"> PLN 10.</w:t>
      </w:r>
    </w:p>
    <w:p w14:paraId="6C271867" w14:textId="77777777" w:rsidR="0090252A" w:rsidRPr="002969DE" w:rsidRDefault="0090252A" w:rsidP="00027FC3">
      <w:pPr>
        <w:pStyle w:val="nrbrzegowy2"/>
        <w:numPr>
          <w:ilvl w:val="0"/>
          <w:numId w:val="0"/>
        </w:numPr>
        <w:ind w:hanging="851"/>
        <w:rPr>
          <w:sz w:val="10"/>
          <w:szCs w:val="10"/>
        </w:rPr>
      </w:pPr>
    </w:p>
    <w:p w14:paraId="77279761" w14:textId="77777777" w:rsidR="0090252A" w:rsidRDefault="00B87D77" w:rsidP="00027FC3">
      <w:pPr>
        <w:pStyle w:val="nrbrzegowy2"/>
        <w:ind w:left="0" w:hanging="851"/>
      </w:pPr>
      <w:r w:rsidRPr="00186799">
        <w:t>Jeden z ciekawszych tematów, które podjęto, dotyczył nasion i łusek pospolitego chwastu.</w:t>
      </w:r>
    </w:p>
    <w:p w14:paraId="67B8701E" w14:textId="33A90B69" w:rsidR="0090252A" w:rsidRPr="00027FC3" w:rsidRDefault="0090252A" w:rsidP="00027FC3">
      <w:pPr>
        <w:pStyle w:val="nrbrzegowy2"/>
        <w:numPr>
          <w:ilvl w:val="0"/>
          <w:numId w:val="0"/>
        </w:numPr>
        <w:rPr>
          <w:color w:val="2E74B5" w:themeColor="accent5" w:themeShade="BF"/>
          <w:lang w:val="en-US"/>
        </w:rPr>
      </w:pPr>
      <w:r w:rsidRPr="00027FC3">
        <w:rPr>
          <w:color w:val="2E74B5" w:themeColor="accent5" w:themeShade="BF"/>
          <w:lang w:val="en-GB"/>
        </w:rPr>
        <w:t>One of the more interesting topics that was addressed concerned the seeds and scales of the common weed.</w:t>
      </w:r>
    </w:p>
    <w:p w14:paraId="07732754" w14:textId="77777777" w:rsidR="0090252A" w:rsidRPr="00D40CAA" w:rsidRDefault="0090252A" w:rsidP="00027FC3">
      <w:pPr>
        <w:pStyle w:val="nrbrzegowy2"/>
        <w:numPr>
          <w:ilvl w:val="0"/>
          <w:numId w:val="0"/>
        </w:numPr>
        <w:ind w:hanging="851"/>
        <w:rPr>
          <w:sz w:val="10"/>
          <w:szCs w:val="10"/>
          <w:lang w:val="en-GB"/>
        </w:rPr>
      </w:pPr>
    </w:p>
    <w:p w14:paraId="083BD017" w14:textId="77777777" w:rsidR="00D40CAA" w:rsidRDefault="00B87D77" w:rsidP="00027FC3">
      <w:pPr>
        <w:pStyle w:val="nrbrzegowy2"/>
        <w:ind w:left="0" w:hanging="851"/>
      </w:pPr>
      <w:r w:rsidRPr="00186799">
        <w:t xml:space="preserve">Prześledźmy zatem wspólnie studium tego przypadku, by wyciągnąć wnioski, by zainspirować kolejne pozytywne działania - zwłaszcza, że w świecie zdominowanym przez holdingi i koncerny nie należy niszczyć małych. Utalentowane osoby należy obudowywać bezpiecznym systemem prawnym i przyjaznymi rozwiązaniami ekonomicznymi. </w:t>
      </w:r>
    </w:p>
    <w:p w14:paraId="2411896F" w14:textId="77777777" w:rsidR="00D40CAA" w:rsidRPr="00D40CAA" w:rsidRDefault="00D40CAA" w:rsidP="00027FC3">
      <w:pPr>
        <w:pStyle w:val="nrbrzegowy2"/>
        <w:numPr>
          <w:ilvl w:val="0"/>
          <w:numId w:val="0"/>
        </w:numPr>
        <w:ind w:hanging="851"/>
        <w:rPr>
          <w:sz w:val="10"/>
          <w:szCs w:val="10"/>
        </w:rPr>
      </w:pPr>
    </w:p>
    <w:p w14:paraId="6CD2AC75" w14:textId="79AAAF3C" w:rsidR="0090252A" w:rsidRPr="00027FC3" w:rsidRDefault="0090252A" w:rsidP="00027FC3">
      <w:pPr>
        <w:pStyle w:val="nrbrzegowy2"/>
        <w:numPr>
          <w:ilvl w:val="0"/>
          <w:numId w:val="0"/>
        </w:numPr>
        <w:rPr>
          <w:color w:val="2E74B5" w:themeColor="accent5" w:themeShade="BF"/>
          <w:lang w:val="en-US"/>
        </w:rPr>
      </w:pPr>
      <w:r w:rsidRPr="00027FC3">
        <w:rPr>
          <w:color w:val="2E74B5" w:themeColor="accent5" w:themeShade="BF"/>
          <w:lang w:val="en-GB"/>
        </w:rPr>
        <w:t>Therefore, let's follow the case study together to draw conclusions and inspire further positive actions. In a world dominated by holding companies and corporations, small ones should not be destroyed. Talented people should be surrounded by a safe legal system and friendly economic solutions.</w:t>
      </w:r>
    </w:p>
    <w:p w14:paraId="6975171D" w14:textId="77777777" w:rsidR="00B87D77" w:rsidRPr="00186799" w:rsidRDefault="00B87D77" w:rsidP="00027FC3">
      <w:pPr>
        <w:pStyle w:val="nrbrzegowy2"/>
        <w:ind w:left="0" w:hanging="851"/>
      </w:pPr>
      <w:r w:rsidRPr="00186799">
        <w:t>Kreatywni harcownicy odgrywali i zawsze powinni odgrywać wiodącą rolę w każdym środowisku, także w przemyśle. Państwo powinno ich doceniać i zapewnić im możliwość realizacji koncepcji, które są motorem postępu w ogóle, zwłaszcza w gospodarce.</w:t>
      </w:r>
    </w:p>
    <w:p w14:paraId="207D8890" w14:textId="1080DFDC" w:rsidR="00E7706D" w:rsidRPr="00491ADF" w:rsidRDefault="00E7706D" w:rsidP="00491ADF">
      <w:pPr>
        <w:pStyle w:val="nrbrzegowy2"/>
        <w:numPr>
          <w:ilvl w:val="0"/>
          <w:numId w:val="0"/>
        </w:numPr>
        <w:rPr>
          <w:color w:val="2E74B5" w:themeColor="accent5" w:themeShade="BF"/>
          <w:sz w:val="10"/>
          <w:szCs w:val="10"/>
          <w:lang w:val="en-US"/>
        </w:rPr>
      </w:pPr>
      <w:r w:rsidRPr="00491ADF">
        <w:rPr>
          <w:color w:val="2E74B5" w:themeColor="accent5" w:themeShade="BF"/>
          <w:lang w:val="en-GB"/>
        </w:rPr>
        <w:t>Creative “skirmishers” played, and should always play, a leading role in any environment, including industry.</w:t>
      </w:r>
      <w:r w:rsidR="00D40CAA" w:rsidRPr="00491ADF">
        <w:rPr>
          <w:color w:val="2E74B5" w:themeColor="accent5" w:themeShade="BF"/>
          <w:lang w:val="en-GB"/>
        </w:rPr>
        <w:t xml:space="preserve"> </w:t>
      </w:r>
      <w:r w:rsidRPr="00491ADF">
        <w:rPr>
          <w:color w:val="2E74B5" w:themeColor="accent5" w:themeShade="BF"/>
          <w:lang w:val="en-GB"/>
        </w:rPr>
        <w:t>The state should appreciate them and provide them with the opportunity to implement concepts that are the engine of progress, especially in the economy.</w:t>
      </w:r>
    </w:p>
    <w:p w14:paraId="56857A6F" w14:textId="77777777" w:rsidR="00E7706D" w:rsidRPr="00D40CAA" w:rsidRDefault="00E7706D" w:rsidP="00027FC3">
      <w:pPr>
        <w:pStyle w:val="nrbrzegowy2"/>
        <w:numPr>
          <w:ilvl w:val="0"/>
          <w:numId w:val="0"/>
        </w:numPr>
        <w:ind w:hanging="851"/>
        <w:rPr>
          <w:sz w:val="10"/>
          <w:szCs w:val="10"/>
          <w:lang w:val="en-GB"/>
        </w:rPr>
      </w:pPr>
    </w:p>
    <w:p w14:paraId="6A95B529" w14:textId="356DF60F" w:rsidR="00B87D77" w:rsidRDefault="00B87D77" w:rsidP="00027FC3">
      <w:pPr>
        <w:pStyle w:val="nrbrzegowy2"/>
        <w:ind w:left="0" w:hanging="851"/>
      </w:pPr>
      <w:r w:rsidRPr="00186799">
        <w:lastRenderedPageBreak/>
        <w:t xml:space="preserve">Skarb dotyczący właściwego wykorzystania ziaren i łusek </w:t>
      </w:r>
      <w:hyperlink r:id="rId164" w:tooltip="Ostropest plamisty" w:history="1">
        <w:r w:rsidRPr="00186799">
          <w:t>ostropestu plamistego</w:t>
        </w:r>
      </w:hyperlink>
      <w:r w:rsidRPr="00186799">
        <w:t xml:space="preserve"> czekał na odszukanie, gdy pod koniec 1975 r. w Poznaniu rozpoczynał pracę drugi w Polsce oddział Przedsiębiorstwa POSTEOR, czyli Przedsiębiorstwa Wdrażania i Upowszechniania Postępu Technicznego i Organizacyjnego we Wrocławiu (nazwa „</w:t>
      </w:r>
      <w:r w:rsidRPr="00186799">
        <w:rPr>
          <w:i/>
          <w:iCs/>
        </w:rPr>
        <w:t xml:space="preserve">POSTEOR” </w:t>
      </w:r>
      <w:r w:rsidRPr="00186799">
        <w:t>jest akronimem wyrazów „</w:t>
      </w:r>
      <w:r w:rsidRPr="00186799">
        <w:rPr>
          <w:i/>
          <w:iCs/>
        </w:rPr>
        <w:t>Postępu Technicznego i Organizacyjnego”</w:t>
      </w:r>
      <w:r w:rsidRPr="00186799">
        <w:t>).</w:t>
      </w:r>
    </w:p>
    <w:p w14:paraId="7FCC7DF4" w14:textId="52AC3032" w:rsidR="00D40CAA" w:rsidRPr="00491ADF" w:rsidRDefault="00D40CAA" w:rsidP="00491ADF">
      <w:pPr>
        <w:pStyle w:val="nrbrzegowy2"/>
        <w:numPr>
          <w:ilvl w:val="0"/>
          <w:numId w:val="0"/>
        </w:numPr>
        <w:rPr>
          <w:color w:val="2E74B5" w:themeColor="accent5" w:themeShade="BF"/>
          <w:lang w:val="en-GB"/>
        </w:rPr>
      </w:pPr>
      <w:r w:rsidRPr="00491ADF">
        <w:rPr>
          <w:color w:val="2E74B5" w:themeColor="accent5" w:themeShade="BF"/>
          <w:lang w:val="en-GB"/>
        </w:rPr>
        <w:t xml:space="preserve">The treasure concerning the proper use of milk thistle grains and husks was waiting to be found when, at the end of 1975, the second Polish branch of </w:t>
      </w:r>
      <w:proofErr w:type="spellStart"/>
      <w:r w:rsidRPr="00491ADF">
        <w:rPr>
          <w:color w:val="2E74B5" w:themeColor="accent5" w:themeShade="BF"/>
          <w:lang w:val="en-GB"/>
        </w:rPr>
        <w:t>Przedsiębiorstwo</w:t>
      </w:r>
      <w:proofErr w:type="spellEnd"/>
      <w:r w:rsidRPr="00491ADF">
        <w:rPr>
          <w:color w:val="2E74B5" w:themeColor="accent5" w:themeShade="BF"/>
          <w:lang w:val="en-GB"/>
        </w:rPr>
        <w:t xml:space="preserve"> POSTEOR, i.e. </w:t>
      </w:r>
      <w:proofErr w:type="spellStart"/>
      <w:r w:rsidRPr="00491ADF">
        <w:rPr>
          <w:color w:val="2E74B5" w:themeColor="accent5" w:themeShade="BF"/>
          <w:lang w:val="en-GB"/>
        </w:rPr>
        <w:t>Przedsiębiorstwo</w:t>
      </w:r>
      <w:proofErr w:type="spellEnd"/>
      <w:r w:rsidRPr="00491ADF">
        <w:rPr>
          <w:color w:val="2E74B5" w:themeColor="accent5" w:themeShade="BF"/>
          <w:lang w:val="en-GB"/>
        </w:rPr>
        <w:t xml:space="preserve"> </w:t>
      </w:r>
      <w:proofErr w:type="spellStart"/>
      <w:r w:rsidRPr="00491ADF">
        <w:rPr>
          <w:color w:val="2E74B5" w:themeColor="accent5" w:themeShade="BF"/>
          <w:lang w:val="en-GB"/>
        </w:rPr>
        <w:t>Wdrażania</w:t>
      </w:r>
      <w:proofErr w:type="spellEnd"/>
      <w:r w:rsidRPr="00491ADF">
        <w:rPr>
          <w:color w:val="2E74B5" w:themeColor="accent5" w:themeShade="BF"/>
          <w:lang w:val="en-GB"/>
        </w:rPr>
        <w:t xml:space="preserve"> i </w:t>
      </w:r>
      <w:proofErr w:type="spellStart"/>
      <w:r w:rsidRPr="00491ADF">
        <w:rPr>
          <w:color w:val="2E74B5" w:themeColor="accent5" w:themeShade="BF"/>
          <w:lang w:val="en-GB"/>
        </w:rPr>
        <w:t>Popularowania</w:t>
      </w:r>
      <w:proofErr w:type="spellEnd"/>
      <w:r w:rsidRPr="00491ADF">
        <w:rPr>
          <w:color w:val="2E74B5" w:themeColor="accent5" w:themeShade="BF"/>
          <w:lang w:val="en-GB"/>
        </w:rPr>
        <w:t xml:space="preserve"> </w:t>
      </w:r>
      <w:proofErr w:type="spellStart"/>
      <w:r w:rsidRPr="00491ADF">
        <w:rPr>
          <w:color w:val="2E74B5" w:themeColor="accent5" w:themeShade="BF"/>
          <w:lang w:val="en-GB"/>
        </w:rPr>
        <w:t>Postępu</w:t>
      </w:r>
      <w:proofErr w:type="spellEnd"/>
      <w:r w:rsidRPr="00491ADF">
        <w:rPr>
          <w:color w:val="2E74B5" w:themeColor="accent5" w:themeShade="BF"/>
          <w:lang w:val="en-GB"/>
        </w:rPr>
        <w:t xml:space="preserve"> </w:t>
      </w:r>
      <w:proofErr w:type="spellStart"/>
      <w:r w:rsidRPr="00491ADF">
        <w:rPr>
          <w:color w:val="2E74B5" w:themeColor="accent5" w:themeShade="BF"/>
          <w:lang w:val="en-GB"/>
        </w:rPr>
        <w:t>Technicznego</w:t>
      </w:r>
      <w:proofErr w:type="spellEnd"/>
      <w:r w:rsidRPr="00491ADF">
        <w:rPr>
          <w:color w:val="2E74B5" w:themeColor="accent5" w:themeShade="BF"/>
          <w:lang w:val="en-GB"/>
        </w:rPr>
        <w:t xml:space="preserve"> i </w:t>
      </w:r>
      <w:proofErr w:type="spellStart"/>
      <w:r w:rsidRPr="00491ADF">
        <w:rPr>
          <w:color w:val="2E74B5" w:themeColor="accent5" w:themeShade="BF"/>
          <w:lang w:val="en-GB"/>
        </w:rPr>
        <w:t>Organizacyjnego</w:t>
      </w:r>
      <w:proofErr w:type="spellEnd"/>
      <w:r w:rsidRPr="00491ADF">
        <w:rPr>
          <w:color w:val="2E74B5" w:themeColor="accent5" w:themeShade="BF"/>
          <w:lang w:val="en-GB"/>
        </w:rPr>
        <w:t xml:space="preserve"> in </w:t>
      </w:r>
      <w:proofErr w:type="spellStart"/>
      <w:r w:rsidRPr="00491ADF">
        <w:rPr>
          <w:color w:val="2E74B5" w:themeColor="accent5" w:themeShade="BF"/>
          <w:lang w:val="en-GB"/>
        </w:rPr>
        <w:t>Wrocław</w:t>
      </w:r>
      <w:proofErr w:type="spellEnd"/>
      <w:r w:rsidRPr="00491ADF">
        <w:rPr>
          <w:color w:val="2E74B5" w:themeColor="accent5" w:themeShade="BF"/>
          <w:lang w:val="en-GB"/>
        </w:rPr>
        <w:t xml:space="preserve"> began to work in </w:t>
      </w:r>
      <w:proofErr w:type="spellStart"/>
      <w:r w:rsidRPr="00491ADF">
        <w:rPr>
          <w:color w:val="2E74B5" w:themeColor="accent5" w:themeShade="BF"/>
          <w:lang w:val="en-GB"/>
        </w:rPr>
        <w:t>Poznań</w:t>
      </w:r>
      <w:proofErr w:type="spellEnd"/>
      <w:r w:rsidRPr="00491ADF">
        <w:rPr>
          <w:color w:val="2E74B5" w:themeColor="accent5" w:themeShade="BF"/>
          <w:lang w:val="en-GB"/>
        </w:rPr>
        <w:t xml:space="preserve"> (the name "POSTEOR" is an acronym for the </w:t>
      </w:r>
      <w:r w:rsidR="00D96C27" w:rsidRPr="00491ADF">
        <w:rPr>
          <w:color w:val="2E74B5" w:themeColor="accent5" w:themeShade="BF"/>
          <w:lang w:val="en-GB"/>
        </w:rPr>
        <w:t xml:space="preserve">Polish </w:t>
      </w:r>
      <w:r w:rsidRPr="00491ADF">
        <w:rPr>
          <w:color w:val="2E74B5" w:themeColor="accent5" w:themeShade="BF"/>
          <w:lang w:val="en-GB"/>
        </w:rPr>
        <w:t>words "</w:t>
      </w:r>
      <w:r w:rsidRPr="00491ADF">
        <w:rPr>
          <w:i/>
          <w:iCs/>
          <w:color w:val="2E74B5" w:themeColor="accent5" w:themeShade="BF"/>
          <w:lang w:val="en-GB"/>
        </w:rPr>
        <w:t>Technical and Organizational Progress</w:t>
      </w:r>
      <w:r w:rsidRPr="00491ADF">
        <w:rPr>
          <w:color w:val="2E74B5" w:themeColor="accent5" w:themeShade="BF"/>
          <w:lang w:val="en-GB"/>
        </w:rPr>
        <w:t>").</w:t>
      </w:r>
    </w:p>
    <w:p w14:paraId="3D035548" w14:textId="77777777" w:rsidR="00E7706D" w:rsidRPr="00D40CAA" w:rsidRDefault="00E7706D" w:rsidP="00916CF4">
      <w:pPr>
        <w:pStyle w:val="nrbrzegowy2"/>
        <w:numPr>
          <w:ilvl w:val="0"/>
          <w:numId w:val="0"/>
        </w:numPr>
        <w:ind w:left="567" w:hanging="567"/>
        <w:rPr>
          <w:lang w:val="en-GB"/>
        </w:rPr>
      </w:pPr>
    </w:p>
    <w:p w14:paraId="0C53C595" w14:textId="77777777" w:rsidR="00B87D77" w:rsidRPr="00D40CAA" w:rsidRDefault="00B87D77" w:rsidP="00916CF4">
      <w:pPr>
        <w:pStyle w:val="nrbrzegowy2"/>
        <w:numPr>
          <w:ilvl w:val="0"/>
          <w:numId w:val="0"/>
        </w:numPr>
        <w:ind w:left="567" w:hanging="567"/>
        <w:rPr>
          <w:sz w:val="6"/>
          <w:szCs w:val="6"/>
          <w:lang w:val="en-US"/>
        </w:rPr>
      </w:pPr>
    </w:p>
    <w:p w14:paraId="2ADC26F5" w14:textId="1E337D92" w:rsidR="00B87D77" w:rsidRPr="00EC4F25" w:rsidRDefault="00B87D77" w:rsidP="00110D84">
      <w:pPr>
        <w:pStyle w:val="nrbrzegowy2"/>
        <w:numPr>
          <w:ilvl w:val="0"/>
          <w:numId w:val="0"/>
        </w:numPr>
        <w:jc w:val="center"/>
      </w:pPr>
      <w:r w:rsidRPr="00EC4F25">
        <w:rPr>
          <w:noProof/>
        </w:rPr>
        <w:drawing>
          <wp:inline distT="0" distB="0" distL="0" distR="0" wp14:anchorId="773E29E0" wp14:editId="692D8655">
            <wp:extent cx="5810250" cy="1657219"/>
            <wp:effectExtent l="0" t="0" r="0" b="635"/>
            <wp:docPr id="35129627" name="Obraz 16" descr="Obraz zawierający roślina, fioletowy, na wolnym powietrzu, ose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9627" name="Obraz 16" descr="Obraz zawierający roślina, fioletowy, na wolnym powietrzu, oset&#10;&#10;Opis wygenerowany automatyczni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80448" cy="1677241"/>
                    </a:xfrm>
                    <a:prstGeom prst="rect">
                      <a:avLst/>
                    </a:prstGeom>
                    <a:noFill/>
                    <a:ln>
                      <a:noFill/>
                    </a:ln>
                  </pic:spPr>
                </pic:pic>
              </a:graphicData>
            </a:graphic>
          </wp:inline>
        </w:drawing>
      </w:r>
    </w:p>
    <w:p w14:paraId="0D3C0BC5" w14:textId="77777777" w:rsidR="002969DE" w:rsidRPr="002969DE" w:rsidRDefault="002969DE" w:rsidP="003C031A">
      <w:pPr>
        <w:pStyle w:val="nrbrzegowy2"/>
        <w:numPr>
          <w:ilvl w:val="0"/>
          <w:numId w:val="0"/>
        </w:numPr>
        <w:ind w:left="604"/>
        <w:rPr>
          <w:sz w:val="14"/>
          <w:szCs w:val="14"/>
        </w:rPr>
      </w:pPr>
    </w:p>
    <w:p w14:paraId="51E7A5B0" w14:textId="77777777" w:rsidR="00D40CAA" w:rsidRPr="00904172" w:rsidRDefault="00D40CAA" w:rsidP="003C031A">
      <w:pPr>
        <w:pStyle w:val="nrbrzegowy2"/>
        <w:numPr>
          <w:ilvl w:val="0"/>
          <w:numId w:val="0"/>
        </w:numPr>
        <w:ind w:left="604"/>
        <w:rPr>
          <w:sz w:val="14"/>
          <w:szCs w:val="14"/>
        </w:rPr>
      </w:pPr>
    </w:p>
    <w:p w14:paraId="5DE112EC" w14:textId="77777777" w:rsidR="00916CF4" w:rsidRDefault="00B87D77" w:rsidP="00027FC3">
      <w:pPr>
        <w:pStyle w:val="nrbrzegowy2"/>
        <w:ind w:left="0" w:hanging="851"/>
      </w:pPr>
      <w:r w:rsidRPr="00186799">
        <w:t>Polska była trzecim krajem na świecie, w którym podjęto wytwarzanie sylimaryny. Od 1976 r. Instytut Roślin i Przetworów Zielarskich w Poznaniu prowadził w warunkach laboratoryjnych prace badawcze, których celem było udoskonalenie i maksymalizacja wyników ekstrakcji roślin. Prace prowadzono w Przemysłowo-Rolnych Zakładach Zielarskich „HERBAPOL” w miejscowości Klęka (w pobliżu Jarocina). Przez około 8 lat podejmowano próby ulepszeń technologii produkcji i sprawdzano ich efektywność w warunkach przemysłowych, nie uzyskiwano jednak oczekiwanych rezultatów. Ponieważ prace nie posuwały się naprzód, gdy w 1984 r. prowadzący ten temat badawczy mgr Wojciech WIZNER został dyrektorem Oddziału POSTEOR-u w Poznaniu, poprosił dra inż. Ryszarda MATUSIAKA o przeprowadzenie rozpoznania. W czasie spotkania dyr. W. WIZNER spytał: „C</w:t>
      </w:r>
      <w:r w:rsidRPr="00186799">
        <w:rPr>
          <w:i/>
          <w:iCs/>
        </w:rPr>
        <w:t>zy uda się coś z tym zrobić, bo dotychczasowe próby trudno nazwać sukcesem?</w:t>
      </w:r>
      <w:r w:rsidRPr="00186799">
        <w:t>”.</w:t>
      </w:r>
    </w:p>
    <w:p w14:paraId="22FD7153" w14:textId="77A3B198" w:rsidR="00D40CAA" w:rsidRPr="00027FC3" w:rsidRDefault="00D40CAA" w:rsidP="00027FC3">
      <w:pPr>
        <w:pStyle w:val="nrbrzegowy2"/>
        <w:numPr>
          <w:ilvl w:val="0"/>
          <w:numId w:val="0"/>
        </w:numPr>
        <w:rPr>
          <w:color w:val="2E74B5" w:themeColor="accent5" w:themeShade="BF"/>
          <w:lang w:val="en-US"/>
        </w:rPr>
      </w:pPr>
      <w:r w:rsidRPr="00027FC3">
        <w:rPr>
          <w:color w:val="2E74B5" w:themeColor="accent5" w:themeShade="BF"/>
          <w:lang w:val="en-GB"/>
        </w:rPr>
        <w:t xml:space="preserve">Poland was the third country in the world to start producing silymarin. From 1976, the Institute of Plants and Medicinal Products in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conducted research work in laboratory conditions, the purpose of which was to improve and maximize the results of plant extraction, which was carried out in </w:t>
      </w:r>
      <w:proofErr w:type="spellStart"/>
      <w:r w:rsidRPr="00027FC3">
        <w:rPr>
          <w:color w:val="2E74B5" w:themeColor="accent5" w:themeShade="BF"/>
          <w:lang w:val="en-GB"/>
        </w:rPr>
        <w:t>Przemysłowo-Rolne</w:t>
      </w:r>
      <w:proofErr w:type="spellEnd"/>
      <w:r w:rsidRPr="00027FC3">
        <w:rPr>
          <w:color w:val="2E74B5" w:themeColor="accent5" w:themeShade="BF"/>
          <w:lang w:val="en-GB"/>
        </w:rPr>
        <w:t xml:space="preserve"> </w:t>
      </w:r>
      <w:proofErr w:type="spellStart"/>
      <w:r w:rsidRPr="00027FC3">
        <w:rPr>
          <w:color w:val="2E74B5" w:themeColor="accent5" w:themeShade="BF"/>
          <w:lang w:val="en-GB"/>
        </w:rPr>
        <w:t>Zakłady</w:t>
      </w:r>
      <w:proofErr w:type="spellEnd"/>
      <w:r w:rsidRPr="00027FC3">
        <w:rPr>
          <w:color w:val="2E74B5" w:themeColor="accent5" w:themeShade="BF"/>
          <w:lang w:val="en-GB"/>
        </w:rPr>
        <w:t xml:space="preserve"> </w:t>
      </w:r>
      <w:proofErr w:type="spellStart"/>
      <w:r w:rsidRPr="00027FC3">
        <w:rPr>
          <w:color w:val="2E74B5" w:themeColor="accent5" w:themeShade="BF"/>
          <w:lang w:val="en-GB"/>
        </w:rPr>
        <w:t>Zielarskie</w:t>
      </w:r>
      <w:proofErr w:type="spellEnd"/>
      <w:r w:rsidRPr="00027FC3">
        <w:rPr>
          <w:color w:val="2E74B5" w:themeColor="accent5" w:themeShade="BF"/>
          <w:lang w:val="en-GB"/>
        </w:rPr>
        <w:t xml:space="preserve"> "HERBAPOL" in the town of </w:t>
      </w:r>
      <w:proofErr w:type="spellStart"/>
      <w:r w:rsidRPr="00027FC3">
        <w:rPr>
          <w:color w:val="2E74B5" w:themeColor="accent5" w:themeShade="BF"/>
          <w:lang w:val="en-GB"/>
        </w:rPr>
        <w:t>Klęka</w:t>
      </w:r>
      <w:proofErr w:type="spellEnd"/>
      <w:r w:rsidRPr="00027FC3">
        <w:rPr>
          <w:color w:val="2E74B5" w:themeColor="accent5" w:themeShade="BF"/>
          <w:lang w:val="en-GB"/>
        </w:rPr>
        <w:t xml:space="preserve"> (near </w:t>
      </w:r>
      <w:proofErr w:type="spellStart"/>
      <w:r w:rsidRPr="00027FC3">
        <w:rPr>
          <w:color w:val="2E74B5" w:themeColor="accent5" w:themeShade="BF"/>
          <w:lang w:val="en-GB"/>
        </w:rPr>
        <w:t>Jarocin</w:t>
      </w:r>
      <w:proofErr w:type="spellEnd"/>
      <w:r w:rsidRPr="00027FC3">
        <w:rPr>
          <w:color w:val="2E74B5" w:themeColor="accent5" w:themeShade="BF"/>
          <w:lang w:val="en-GB"/>
        </w:rPr>
        <w:t xml:space="preserve">). For about 8 years, attempts were made to improve the production technology and their effectiveness was checked under industrial conditions. However, the expected results were not obtained. Since the work did not move forward in 1984, when Wojciech WIZNER, who was leading this research topic, became the director of the POSTEOR Branch in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he asked </w:t>
      </w:r>
      <w:proofErr w:type="spellStart"/>
      <w:r w:rsidRPr="00027FC3">
        <w:rPr>
          <w:color w:val="2E74B5" w:themeColor="accent5" w:themeShade="BF"/>
          <w:lang w:val="en-GB"/>
        </w:rPr>
        <w:t>Dr.</w:t>
      </w:r>
      <w:proofErr w:type="spellEnd"/>
      <w:r w:rsidRPr="00027FC3">
        <w:rPr>
          <w:color w:val="2E74B5" w:themeColor="accent5" w:themeShade="BF"/>
          <w:lang w:val="en-GB"/>
        </w:rPr>
        <w:t xml:space="preserve"> Eng. Ryszard MATUSIAK for reconnaissance. During the meeting, Director W. WIZNER asked: "</w:t>
      </w:r>
      <w:r w:rsidRPr="00027FC3">
        <w:rPr>
          <w:i/>
          <w:iCs/>
          <w:color w:val="2E74B5" w:themeColor="accent5" w:themeShade="BF"/>
          <w:lang w:val="en-GB"/>
        </w:rPr>
        <w:t>Will we be able to do something about it? Because the previous attempts can hardly be called a success</w:t>
      </w:r>
      <w:r w:rsidRPr="00027FC3">
        <w:rPr>
          <w:color w:val="2E74B5" w:themeColor="accent5" w:themeShade="BF"/>
          <w:lang w:val="en-GB"/>
        </w:rPr>
        <w:t>."</w:t>
      </w:r>
    </w:p>
    <w:p w14:paraId="5D5A19F6" w14:textId="77777777" w:rsidR="00B87D77" w:rsidRPr="00D40CAA" w:rsidRDefault="00B87D77" w:rsidP="00027FC3">
      <w:pPr>
        <w:pStyle w:val="nrbrzegowy2"/>
        <w:numPr>
          <w:ilvl w:val="0"/>
          <w:numId w:val="0"/>
        </w:numPr>
        <w:ind w:hanging="851"/>
        <w:rPr>
          <w:sz w:val="10"/>
          <w:szCs w:val="10"/>
          <w:lang w:val="en-US"/>
        </w:rPr>
      </w:pPr>
    </w:p>
    <w:p w14:paraId="64A2E8C1" w14:textId="77777777" w:rsidR="00B87D77" w:rsidRDefault="00B87D77" w:rsidP="00027FC3">
      <w:pPr>
        <w:pStyle w:val="nrbrzegowy2"/>
        <w:ind w:left="0" w:hanging="851"/>
      </w:pPr>
      <w:r w:rsidRPr="00186799">
        <w:t xml:space="preserve">I tak, dzięki kilku entuzjastom w Poznaniu powstał wynalazek, który udoskonalił technologię produkcji sylimaryny otrzymywanej z </w:t>
      </w:r>
      <w:hyperlink r:id="rId166" w:tooltip="Ostropest plamisty" w:history="1">
        <w:hyperlink r:id="rId167" w:tooltip="Ostropest plamisty" w:history="1">
          <w:r w:rsidRPr="00186799">
            <w:t>ostropestu plamistego</w:t>
          </w:r>
        </w:hyperlink>
        <w:r w:rsidRPr="00186799">
          <w:t xml:space="preserve"> </w:t>
        </w:r>
        <w:r w:rsidRPr="00186799">
          <w:rPr>
            <w:i/>
            <w:iCs/>
          </w:rPr>
          <w:t>(</w:t>
        </w:r>
        <w:proofErr w:type="spellStart"/>
        <w:r w:rsidRPr="00186799">
          <w:rPr>
            <w:i/>
            <w:iCs/>
          </w:rPr>
          <w:t>Silybum</w:t>
        </w:r>
        <w:proofErr w:type="spellEnd"/>
        <w:r w:rsidRPr="00186799">
          <w:rPr>
            <w:i/>
            <w:iCs/>
          </w:rPr>
          <w:t xml:space="preserve"> </w:t>
        </w:r>
        <w:proofErr w:type="spellStart"/>
        <w:r w:rsidRPr="00186799">
          <w:rPr>
            <w:i/>
            <w:iCs/>
          </w:rPr>
          <w:t>marianum</w:t>
        </w:r>
        <w:proofErr w:type="spellEnd"/>
        <w:r w:rsidRPr="00186799">
          <w:rPr>
            <w:i/>
            <w:iCs/>
          </w:rPr>
          <w:t xml:space="preserve">) </w:t>
        </w:r>
        <w:r w:rsidRPr="00186799">
          <w:t xml:space="preserve">(L) (wg </w:t>
        </w:r>
        <w:proofErr w:type="spellStart"/>
        <w:r w:rsidRPr="00186799">
          <w:t>Linneusza</w:t>
        </w:r>
        <w:proofErr w:type="spellEnd"/>
        <w:r w:rsidRPr="00186799">
          <w:t xml:space="preserve">), której nie można przedawkować (jej nadmiar organizm usuwa), która </w:t>
        </w:r>
      </w:hyperlink>
      <w:r w:rsidRPr="00186799">
        <w:t xml:space="preserve">stanowi naturalny produkt organiczny niewykazujący skutków ubocznych. Przyjmowana przez miliony </w:t>
      </w:r>
      <w:r w:rsidRPr="00186799">
        <w:lastRenderedPageBreak/>
        <w:t xml:space="preserve">osób sylimaryna jest składnikiem bazowym wielu leków. Stanowi ona mieszaninę </w:t>
      </w:r>
      <w:proofErr w:type="spellStart"/>
      <w:r w:rsidRPr="00186799">
        <w:t>sylibiny</w:t>
      </w:r>
      <w:proofErr w:type="spellEnd"/>
      <w:r w:rsidRPr="00186799">
        <w:t xml:space="preserve">, </w:t>
      </w:r>
      <w:proofErr w:type="spellStart"/>
      <w:r w:rsidRPr="00186799">
        <w:t>sylidiaminy</w:t>
      </w:r>
      <w:proofErr w:type="spellEnd"/>
      <w:r w:rsidRPr="00186799">
        <w:t xml:space="preserve"> i </w:t>
      </w:r>
      <w:proofErr w:type="spellStart"/>
      <w:r w:rsidRPr="00186799">
        <w:t>sylikrystyny</w:t>
      </w:r>
      <w:proofErr w:type="spellEnd"/>
      <w:r w:rsidRPr="00186799">
        <w:t xml:space="preserve">, czyli kompleksu flawonolignanów, które działają ochraniająco, odtruwająco, leczą schorzenia wywołane np. przez: WZW (wirusowe zapalenie wątroby), przebytą żółtaczkę, zatrucie metalami ciężkimi lub lekami, powodują </w:t>
      </w:r>
      <w:r w:rsidRPr="00186799">
        <w:rPr>
          <w:spacing w:val="60"/>
        </w:rPr>
        <w:t>przyrost miąższu wątroby</w:t>
      </w:r>
      <w:r w:rsidRPr="00186799">
        <w:t>, usuwają skutki schorzeń i leczą marskość wątroby wywołaną chorobą alkoholową.</w:t>
      </w:r>
    </w:p>
    <w:p w14:paraId="15472CB4" w14:textId="67B42551" w:rsidR="00D40CAA" w:rsidRPr="00027FC3" w:rsidRDefault="00D40CAA" w:rsidP="00027FC3">
      <w:pPr>
        <w:pStyle w:val="nrbrzegowy2"/>
        <w:numPr>
          <w:ilvl w:val="0"/>
          <w:numId w:val="0"/>
        </w:numPr>
        <w:rPr>
          <w:color w:val="2E74B5" w:themeColor="accent5" w:themeShade="BF"/>
          <w:lang w:val="en-GB"/>
        </w:rPr>
      </w:pPr>
      <w:r w:rsidRPr="00027FC3">
        <w:rPr>
          <w:color w:val="2E74B5" w:themeColor="accent5" w:themeShade="BF"/>
          <w:lang w:val="en-GB"/>
        </w:rPr>
        <w:t xml:space="preserve">And so, thanks to several enthusiasts in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an invention was created that improved the production technology of silymarin obtained from milk thistle (Silybum marianum) (L) (according to Linnaeus). This cannot be overdosed (its excess is removed by the body). It is a natural organic product with no side-effects. Taken by millions of people, silymarin is the base component of many drugs. It is a mixture of silybin, </w:t>
      </w:r>
      <w:proofErr w:type="spellStart"/>
      <w:r w:rsidRPr="00027FC3">
        <w:rPr>
          <w:color w:val="2E74B5" w:themeColor="accent5" w:themeShade="BF"/>
          <w:lang w:val="en-GB"/>
        </w:rPr>
        <w:t>silidiamine</w:t>
      </w:r>
      <w:proofErr w:type="spellEnd"/>
      <w:r w:rsidRPr="00027FC3">
        <w:rPr>
          <w:color w:val="2E74B5" w:themeColor="accent5" w:themeShade="BF"/>
          <w:lang w:val="en-GB"/>
        </w:rPr>
        <w:t xml:space="preserve"> and </w:t>
      </w:r>
      <w:proofErr w:type="spellStart"/>
      <w:r w:rsidRPr="00027FC3">
        <w:rPr>
          <w:color w:val="2E74B5" w:themeColor="accent5" w:themeShade="BF"/>
          <w:lang w:val="en-GB"/>
        </w:rPr>
        <w:t>silycristin</w:t>
      </w:r>
      <w:proofErr w:type="spellEnd"/>
      <w:r w:rsidRPr="00027FC3">
        <w:rPr>
          <w:color w:val="2E74B5" w:themeColor="accent5" w:themeShade="BF"/>
          <w:lang w:val="en-GB"/>
        </w:rPr>
        <w:t xml:space="preserve">, i.e. a complex of flavonolignans, which protect and detoxify, heal diseases caused, for example, </w:t>
      </w:r>
      <w:proofErr w:type="gramStart"/>
      <w:r w:rsidRPr="00027FC3">
        <w:rPr>
          <w:color w:val="2E74B5" w:themeColor="accent5" w:themeShade="BF"/>
          <w:lang w:val="en-GB"/>
        </w:rPr>
        <w:t>by:</w:t>
      </w:r>
      <w:proofErr w:type="gramEnd"/>
      <w:r w:rsidRPr="00027FC3">
        <w:rPr>
          <w:color w:val="2E74B5" w:themeColor="accent5" w:themeShade="BF"/>
          <w:lang w:val="en-GB"/>
        </w:rPr>
        <w:t xml:space="preserve"> hepatitis (viral hepatitis), jaundice, poisoning with heavy metals or drugs, increase liver parenchyma diseases and treat cirrhosis of the liver caused by alcoholism.</w:t>
      </w:r>
    </w:p>
    <w:p w14:paraId="668AA844" w14:textId="77777777" w:rsidR="00D40CAA" w:rsidRPr="00D40CAA" w:rsidRDefault="00D40CAA" w:rsidP="00027FC3">
      <w:pPr>
        <w:pStyle w:val="nrbrzegowy2"/>
        <w:numPr>
          <w:ilvl w:val="0"/>
          <w:numId w:val="0"/>
        </w:numPr>
        <w:ind w:hanging="851"/>
        <w:rPr>
          <w:color w:val="4472C4" w:themeColor="accent1"/>
          <w:sz w:val="10"/>
          <w:szCs w:val="10"/>
          <w:lang w:val="en-GB"/>
        </w:rPr>
      </w:pPr>
    </w:p>
    <w:p w14:paraId="0DC09BD5" w14:textId="77777777" w:rsidR="00B87D77" w:rsidRPr="008B5A97" w:rsidRDefault="00B87D77" w:rsidP="00027FC3">
      <w:pPr>
        <w:pStyle w:val="nrbrzegowy2"/>
        <w:ind w:left="0" w:hanging="851"/>
        <w:rPr>
          <w:b/>
          <w:lang w:val="en-US"/>
        </w:rPr>
      </w:pPr>
      <w:proofErr w:type="spellStart"/>
      <w:r w:rsidRPr="008B5A97">
        <w:rPr>
          <w:lang w:val="en-US"/>
        </w:rPr>
        <w:t>Opracowany</w:t>
      </w:r>
      <w:proofErr w:type="spellEnd"/>
      <w:r w:rsidRPr="008B5A97">
        <w:rPr>
          <w:lang w:val="en-US"/>
        </w:rPr>
        <w:t xml:space="preserve"> </w:t>
      </w:r>
      <w:proofErr w:type="spellStart"/>
      <w:r w:rsidRPr="008B5A97">
        <w:rPr>
          <w:lang w:val="en-US"/>
        </w:rPr>
        <w:t>wynalazek</w:t>
      </w:r>
      <w:proofErr w:type="spellEnd"/>
      <w:r w:rsidRPr="008B5A97">
        <w:rPr>
          <w:lang w:val="en-US"/>
        </w:rPr>
        <w:t xml:space="preserve"> </w:t>
      </w:r>
      <w:proofErr w:type="spellStart"/>
      <w:r w:rsidRPr="008B5A97">
        <w:rPr>
          <w:lang w:val="en-US"/>
        </w:rPr>
        <w:t>chronił</w:t>
      </w:r>
      <w:proofErr w:type="spellEnd"/>
      <w:r w:rsidRPr="008B5A97">
        <w:rPr>
          <w:lang w:val="en-US"/>
        </w:rPr>
        <w:t xml:space="preserve"> patent:</w:t>
      </w:r>
      <w:r w:rsidRPr="008B5A97">
        <w:rPr>
          <w:b/>
          <w:lang w:val="en-US"/>
        </w:rPr>
        <w:t xml:space="preserve"> </w:t>
      </w:r>
    </w:p>
    <w:p w14:paraId="380EE9BE" w14:textId="2F29FE75" w:rsidR="00D40CAA" w:rsidRPr="00027FC3" w:rsidRDefault="00D40CAA" w:rsidP="00027FC3">
      <w:pPr>
        <w:pStyle w:val="nrbrzegowy2"/>
        <w:numPr>
          <w:ilvl w:val="0"/>
          <w:numId w:val="0"/>
        </w:numPr>
        <w:rPr>
          <w:color w:val="2E74B5" w:themeColor="accent5" w:themeShade="BF"/>
          <w:lang w:val="en-GB"/>
        </w:rPr>
      </w:pPr>
      <w:r w:rsidRPr="00027FC3">
        <w:rPr>
          <w:color w:val="2E74B5" w:themeColor="accent5" w:themeShade="BF"/>
          <w:lang w:val="en-GB"/>
        </w:rPr>
        <w:t>The developed invention was protected by a patent:</w:t>
      </w:r>
    </w:p>
    <w:p w14:paraId="00DDB8C7" w14:textId="77777777" w:rsidR="00D40CAA" w:rsidRDefault="00D40CAA" w:rsidP="003C031A">
      <w:pPr>
        <w:pStyle w:val="nrbrzegowy2"/>
        <w:numPr>
          <w:ilvl w:val="0"/>
          <w:numId w:val="0"/>
        </w:numPr>
        <w:ind w:left="604"/>
        <w:rPr>
          <w:lang w:val="en-US"/>
        </w:rPr>
      </w:pPr>
    </w:p>
    <w:p w14:paraId="2985C2B4" w14:textId="532D717A" w:rsidR="00D40CAA" w:rsidRPr="00D96C27" w:rsidRDefault="00D40CAA" w:rsidP="00B87D77">
      <w:pPr>
        <w:spacing w:after="0" w:line="240" w:lineRule="auto"/>
        <w:jc w:val="both"/>
        <w:rPr>
          <w:rFonts w:cstheme="minorHAnsi"/>
          <w:sz w:val="34"/>
          <w:szCs w:val="34"/>
          <w:lang w:val="en-US"/>
        </w:rPr>
      </w:pPr>
    </w:p>
    <w:p w14:paraId="3126FDE4" w14:textId="77777777" w:rsidR="00B87D77" w:rsidRPr="00D40CAA" w:rsidRDefault="00B87D77" w:rsidP="00B87D77">
      <w:pPr>
        <w:spacing w:after="0" w:line="240" w:lineRule="auto"/>
        <w:jc w:val="center"/>
        <w:rPr>
          <w:rFonts w:cstheme="minorHAnsi"/>
          <w:b/>
          <w:bCs/>
          <w:sz w:val="34"/>
          <w:szCs w:val="34"/>
        </w:rPr>
      </w:pPr>
      <w:r w:rsidRPr="00D40CAA">
        <w:rPr>
          <w:rFonts w:cstheme="minorHAnsi"/>
          <w:b/>
          <w:bCs/>
          <w:sz w:val="34"/>
          <w:szCs w:val="34"/>
        </w:rPr>
        <w:t>PAT. 147215</w:t>
      </w:r>
    </w:p>
    <w:p w14:paraId="6DBE7D77" w14:textId="77777777" w:rsidR="00D40CAA" w:rsidRPr="00D40CAA" w:rsidRDefault="00D40CAA" w:rsidP="00B87D77">
      <w:pPr>
        <w:spacing w:after="0" w:line="240" w:lineRule="auto"/>
        <w:jc w:val="center"/>
        <w:rPr>
          <w:rFonts w:cstheme="minorHAnsi"/>
          <w:b/>
          <w:bCs/>
          <w:sz w:val="34"/>
          <w:szCs w:val="34"/>
        </w:rPr>
      </w:pPr>
    </w:p>
    <w:p w14:paraId="3FE6E08E" w14:textId="77777777" w:rsidR="00B87D77" w:rsidRPr="00D40CAA" w:rsidRDefault="00B87D77" w:rsidP="00B87D77">
      <w:pPr>
        <w:spacing w:after="0" w:line="240" w:lineRule="auto"/>
        <w:jc w:val="center"/>
        <w:rPr>
          <w:rFonts w:cstheme="minorHAnsi"/>
          <w:b/>
          <w:bCs/>
          <w:sz w:val="34"/>
          <w:szCs w:val="34"/>
        </w:rPr>
      </w:pPr>
      <w:r w:rsidRPr="00D40CAA">
        <w:rPr>
          <w:rFonts w:cstheme="minorHAnsi"/>
          <w:b/>
          <w:bCs/>
          <w:sz w:val="34"/>
          <w:szCs w:val="34"/>
        </w:rPr>
        <w:t>„Sposób wytwarzania koncentratu flawonolignanów z owoców ostropestu plamistego”</w:t>
      </w:r>
    </w:p>
    <w:p w14:paraId="22E3C935" w14:textId="623DD429" w:rsidR="00D40CAA" w:rsidRPr="008B5A97" w:rsidRDefault="00D40CAA" w:rsidP="00D40CAA">
      <w:pPr>
        <w:spacing w:after="0" w:line="240" w:lineRule="auto"/>
        <w:ind w:firstLine="567"/>
        <w:jc w:val="both"/>
        <w:rPr>
          <w:rFonts w:cstheme="minorHAnsi"/>
          <w:color w:val="4472C4" w:themeColor="accent1"/>
          <w:sz w:val="24"/>
          <w:szCs w:val="24"/>
        </w:rPr>
      </w:pPr>
    </w:p>
    <w:p w14:paraId="5381A24B" w14:textId="77777777" w:rsidR="00D40CAA" w:rsidRPr="008B5A97" w:rsidRDefault="00D40CAA" w:rsidP="00D40CAA">
      <w:pPr>
        <w:spacing w:after="0" w:line="240" w:lineRule="auto"/>
        <w:ind w:firstLine="567"/>
        <w:jc w:val="both"/>
        <w:rPr>
          <w:rFonts w:cstheme="minorHAnsi"/>
          <w:color w:val="4472C4" w:themeColor="accent1"/>
          <w:sz w:val="24"/>
          <w:szCs w:val="24"/>
        </w:rPr>
      </w:pPr>
    </w:p>
    <w:p w14:paraId="17AACD2C" w14:textId="77777777" w:rsidR="00D40CAA" w:rsidRPr="00027FC3" w:rsidRDefault="00D40CAA" w:rsidP="00D40CAA">
      <w:pPr>
        <w:spacing w:after="0" w:line="240" w:lineRule="auto"/>
        <w:jc w:val="center"/>
        <w:rPr>
          <w:rFonts w:cstheme="minorHAnsi"/>
          <w:color w:val="2E74B5" w:themeColor="accent5" w:themeShade="BF"/>
          <w:sz w:val="34"/>
          <w:szCs w:val="34"/>
          <w:lang w:val="en-GB"/>
        </w:rPr>
      </w:pPr>
      <w:r w:rsidRPr="00027FC3">
        <w:rPr>
          <w:rFonts w:cstheme="minorHAnsi"/>
          <w:color w:val="2E74B5" w:themeColor="accent5" w:themeShade="BF"/>
          <w:sz w:val="34"/>
          <w:szCs w:val="34"/>
          <w:lang w:val="en-GB"/>
        </w:rPr>
        <w:t>PAT. 147215</w:t>
      </w:r>
    </w:p>
    <w:p w14:paraId="1646F6D7" w14:textId="77777777" w:rsidR="00D40CAA" w:rsidRPr="00027FC3" w:rsidRDefault="00D40CAA" w:rsidP="00D40CAA">
      <w:pPr>
        <w:spacing w:after="0" w:line="240" w:lineRule="auto"/>
        <w:ind w:firstLine="567"/>
        <w:jc w:val="center"/>
        <w:rPr>
          <w:rFonts w:cstheme="minorHAnsi"/>
          <w:color w:val="2E74B5" w:themeColor="accent5" w:themeShade="BF"/>
          <w:sz w:val="34"/>
          <w:szCs w:val="34"/>
          <w:lang w:val="en-GB"/>
        </w:rPr>
      </w:pPr>
    </w:p>
    <w:p w14:paraId="0E8DDF70" w14:textId="77777777" w:rsidR="00D40CAA" w:rsidRPr="00027FC3" w:rsidRDefault="00D40CAA" w:rsidP="00D40CAA">
      <w:pPr>
        <w:spacing w:after="0" w:line="240" w:lineRule="auto"/>
        <w:ind w:firstLine="567"/>
        <w:jc w:val="center"/>
        <w:rPr>
          <w:rFonts w:cstheme="minorHAnsi"/>
          <w:color w:val="2E74B5" w:themeColor="accent5" w:themeShade="BF"/>
          <w:sz w:val="34"/>
          <w:szCs w:val="34"/>
          <w:lang w:val="en-GB"/>
        </w:rPr>
      </w:pPr>
      <w:r w:rsidRPr="00027FC3">
        <w:rPr>
          <w:rFonts w:cstheme="minorHAnsi"/>
          <w:color w:val="2E74B5" w:themeColor="accent5" w:themeShade="BF"/>
          <w:sz w:val="34"/>
          <w:szCs w:val="34"/>
          <w:lang w:val="en-GB"/>
        </w:rPr>
        <w:t>"Method for the production of flavonolignan concentrate from milk thistle fruit"</w:t>
      </w:r>
    </w:p>
    <w:p w14:paraId="11BEE61B" w14:textId="77777777" w:rsidR="001B2732" w:rsidRPr="00D40CAA" w:rsidRDefault="001B2732" w:rsidP="00D40CAA">
      <w:pPr>
        <w:spacing w:after="0" w:line="240" w:lineRule="auto"/>
        <w:ind w:firstLine="567"/>
        <w:jc w:val="center"/>
        <w:rPr>
          <w:rFonts w:cstheme="minorHAnsi"/>
          <w:color w:val="4472C4" w:themeColor="accent1"/>
          <w:sz w:val="34"/>
          <w:szCs w:val="34"/>
          <w:lang w:val="en-GB"/>
        </w:rPr>
      </w:pPr>
    </w:p>
    <w:p w14:paraId="066D1C4F" w14:textId="77777777" w:rsidR="00D40CAA" w:rsidRDefault="00D40CAA" w:rsidP="00B87D77">
      <w:pPr>
        <w:spacing w:after="0" w:line="240" w:lineRule="auto"/>
        <w:jc w:val="center"/>
        <w:rPr>
          <w:rFonts w:cstheme="minorHAnsi"/>
          <w:b/>
          <w:bCs/>
          <w:lang w:val="en-GB"/>
        </w:rPr>
      </w:pPr>
    </w:p>
    <w:p w14:paraId="63FE6949" w14:textId="77777777" w:rsidR="001B2732" w:rsidRDefault="001B2732" w:rsidP="00B87D77">
      <w:pPr>
        <w:spacing w:after="0" w:line="240" w:lineRule="auto"/>
        <w:jc w:val="center"/>
        <w:rPr>
          <w:rFonts w:cstheme="minorHAnsi"/>
          <w:b/>
          <w:bCs/>
          <w:lang w:val="en-GB"/>
        </w:rPr>
      </w:pPr>
    </w:p>
    <w:p w14:paraId="2C029FED" w14:textId="47893ED6" w:rsidR="00110D84" w:rsidRDefault="00110D84">
      <w:pPr>
        <w:rPr>
          <w:rFonts w:cstheme="minorHAnsi"/>
          <w:b/>
          <w:bCs/>
          <w:lang w:val="en-GB"/>
        </w:rPr>
      </w:pPr>
      <w:r>
        <w:rPr>
          <w:rFonts w:cstheme="minorHAnsi"/>
          <w:b/>
          <w:bCs/>
          <w:lang w:val="en-GB"/>
        </w:rPr>
        <w:br w:type="page"/>
      </w:r>
    </w:p>
    <w:p w14:paraId="2C56210F" w14:textId="77777777" w:rsidR="002969DE" w:rsidRPr="00D40CAA" w:rsidRDefault="002969DE" w:rsidP="002969DE">
      <w:pPr>
        <w:shd w:val="clear" w:color="auto" w:fill="E7E6E6" w:themeFill="background2"/>
        <w:spacing w:after="0" w:line="240" w:lineRule="auto"/>
        <w:jc w:val="center"/>
        <w:rPr>
          <w:rFonts w:cstheme="minorHAnsi"/>
          <w:b/>
          <w:bCs/>
          <w:sz w:val="10"/>
          <w:szCs w:val="10"/>
          <w:lang w:val="en-US"/>
        </w:rPr>
      </w:pPr>
    </w:p>
    <w:p w14:paraId="1741816E" w14:textId="77777777" w:rsidR="00B87D77" w:rsidRDefault="00B87D77" w:rsidP="002969DE">
      <w:pPr>
        <w:shd w:val="clear" w:color="auto" w:fill="E7E6E6" w:themeFill="background2"/>
        <w:spacing w:after="0" w:line="240" w:lineRule="auto"/>
        <w:jc w:val="center"/>
        <w:rPr>
          <w:rFonts w:cstheme="minorHAnsi"/>
          <w:b/>
          <w:bCs/>
        </w:rPr>
      </w:pPr>
      <w:r w:rsidRPr="00EC4F25">
        <w:rPr>
          <w:rFonts w:cstheme="minorHAnsi"/>
          <w:noProof/>
          <w:lang w:eastAsia="pl-PL"/>
        </w:rPr>
        <w:drawing>
          <wp:inline distT="0" distB="0" distL="0" distR="0" wp14:anchorId="7FD4DB71" wp14:editId="7C6F8F70">
            <wp:extent cx="5652654" cy="4426414"/>
            <wp:effectExtent l="0" t="0" r="571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24681" cy="4561123"/>
                    </a:xfrm>
                    <a:prstGeom prst="rect">
                      <a:avLst/>
                    </a:prstGeom>
                    <a:noFill/>
                    <a:ln>
                      <a:noFill/>
                    </a:ln>
                  </pic:spPr>
                </pic:pic>
              </a:graphicData>
            </a:graphic>
          </wp:inline>
        </w:drawing>
      </w:r>
    </w:p>
    <w:p w14:paraId="1FE9A207" w14:textId="10C297E0" w:rsidR="002969DE" w:rsidRPr="002969DE" w:rsidRDefault="002969DE" w:rsidP="002969DE">
      <w:pPr>
        <w:shd w:val="clear" w:color="auto" w:fill="E7E6E6" w:themeFill="background2"/>
        <w:spacing w:after="0" w:line="240" w:lineRule="auto"/>
        <w:jc w:val="center"/>
        <w:rPr>
          <w:rFonts w:cstheme="minorHAnsi"/>
          <w:b/>
          <w:bCs/>
          <w:sz w:val="10"/>
          <w:szCs w:val="10"/>
        </w:rPr>
      </w:pPr>
    </w:p>
    <w:p w14:paraId="470F0445" w14:textId="77777777" w:rsidR="00B87D77" w:rsidRPr="00EC4F25" w:rsidRDefault="00B87D77" w:rsidP="00B87D77">
      <w:pPr>
        <w:spacing w:after="0" w:line="240" w:lineRule="auto"/>
        <w:jc w:val="both"/>
        <w:rPr>
          <w:rFonts w:cstheme="minorHAnsi"/>
        </w:rPr>
      </w:pPr>
    </w:p>
    <w:p w14:paraId="2623A475" w14:textId="77777777" w:rsidR="00B87D77" w:rsidRDefault="00B87D77" w:rsidP="00027FC3">
      <w:pPr>
        <w:pStyle w:val="nrbrzegowy2"/>
        <w:ind w:left="0" w:hanging="851"/>
      </w:pPr>
      <w:r w:rsidRPr="00186799">
        <w:t>W efekcie prac odkryto skuteczną metodę wytwarzania substancji taniej, a równocześnie niezwykle cennej z tak wielu powodów.</w:t>
      </w:r>
    </w:p>
    <w:p w14:paraId="364FDE35" w14:textId="310C74EA" w:rsidR="00D40CAA" w:rsidRPr="00027FC3" w:rsidRDefault="00D40CAA" w:rsidP="00027FC3">
      <w:pPr>
        <w:pStyle w:val="nrbrzegowy2"/>
        <w:numPr>
          <w:ilvl w:val="0"/>
          <w:numId w:val="0"/>
        </w:numPr>
        <w:rPr>
          <w:color w:val="2E74B5" w:themeColor="accent5" w:themeShade="BF"/>
          <w:lang w:val="en-GB"/>
        </w:rPr>
      </w:pPr>
      <w:r w:rsidRPr="00027FC3">
        <w:rPr>
          <w:color w:val="2E74B5" w:themeColor="accent5" w:themeShade="BF"/>
          <w:lang w:val="en-GB"/>
        </w:rPr>
        <w:t>As a result of the work, an effective method of producing a substance that is cheap and, at the same time extremely valuable for so many reasons, has been discovered.</w:t>
      </w:r>
    </w:p>
    <w:p w14:paraId="1401D3B0" w14:textId="77777777" w:rsidR="00B87D77" w:rsidRDefault="00B87D77" w:rsidP="00027FC3">
      <w:pPr>
        <w:pStyle w:val="nrbrzegowy2"/>
        <w:ind w:left="0" w:hanging="851"/>
      </w:pPr>
      <w:r w:rsidRPr="00186799">
        <w:t xml:space="preserve">A wszystko zaczęło się od tego, że na początku października 1984 r. dr inż. Ryszard MATUSIAK oraz mgr. Jan MACIEJEWSKI (także pracownik POSTEOR-u) zostali zaproszeni do P.-R.Z.Z. „HERBAPOL” w </w:t>
      </w:r>
      <w:proofErr w:type="spellStart"/>
      <w:r w:rsidRPr="00186799">
        <w:t>Klęce</w:t>
      </w:r>
      <w:proofErr w:type="spellEnd"/>
      <w:r w:rsidRPr="00186799">
        <w:t>. Zapoznali się z technologią i uzyskali informację, że ekstrakcję prowadzi się statycznie. Pod kierunkiem twórców rozpoczęto wprowadzanie pozornie drobnych zmian i to, co było wcześniej niemożliwe, stało się możliwe. Obu panów zainteresowało na przykład to, że gdy analizowali warunki ekstrakcji, nie mogli uzyskać odpowiedzi na pytanie, dlaczego produkcja prowadzona jest w temperaturze otoczenia i w środowisku wodnym lub w mieszaninie wody z alkoholem o niskim stężeniu alkoholu wynoszącym do 30%.</w:t>
      </w:r>
    </w:p>
    <w:p w14:paraId="08AFDF8B" w14:textId="77777777" w:rsidR="00D40CAA" w:rsidRPr="00027FC3" w:rsidRDefault="00D40CAA" w:rsidP="00027FC3">
      <w:pPr>
        <w:pStyle w:val="nrbrzegowy2"/>
        <w:numPr>
          <w:ilvl w:val="0"/>
          <w:numId w:val="0"/>
        </w:numPr>
        <w:rPr>
          <w:color w:val="2E74B5" w:themeColor="accent5" w:themeShade="BF"/>
          <w:lang w:val="en-GB"/>
        </w:rPr>
      </w:pPr>
      <w:r w:rsidRPr="00027FC3">
        <w:rPr>
          <w:color w:val="2E74B5" w:themeColor="accent5" w:themeShade="BF"/>
          <w:lang w:val="en-GB"/>
        </w:rPr>
        <w:t xml:space="preserve">It all started with the fact that at the beginning of October 1984, </w:t>
      </w:r>
      <w:proofErr w:type="spellStart"/>
      <w:r w:rsidRPr="00027FC3">
        <w:rPr>
          <w:color w:val="2E74B5" w:themeColor="accent5" w:themeShade="BF"/>
          <w:lang w:val="en-GB"/>
        </w:rPr>
        <w:t>Dr.</w:t>
      </w:r>
      <w:proofErr w:type="spellEnd"/>
      <w:r w:rsidRPr="00027FC3">
        <w:rPr>
          <w:color w:val="2E74B5" w:themeColor="accent5" w:themeShade="BF"/>
          <w:lang w:val="en-GB"/>
        </w:rPr>
        <w:t xml:space="preserve"> Ryszard MATUSIAK and M.Sc. Jan MACIEJEWSKI (also an employee of POSTEOR) were invited to P.-R.Z.Z. "HERBAPOL" in </w:t>
      </w:r>
      <w:proofErr w:type="spellStart"/>
      <w:r w:rsidRPr="00027FC3">
        <w:rPr>
          <w:color w:val="2E74B5" w:themeColor="accent5" w:themeShade="BF"/>
          <w:lang w:val="en-GB"/>
        </w:rPr>
        <w:t>Klęka</w:t>
      </w:r>
      <w:proofErr w:type="spellEnd"/>
      <w:r w:rsidRPr="00027FC3">
        <w:rPr>
          <w:color w:val="2E74B5" w:themeColor="accent5" w:themeShade="BF"/>
          <w:lang w:val="en-GB"/>
        </w:rPr>
        <w:t>. They got acquainted with the technology and obtained information that extraction is carried out statically. Under the direction of the creators, seemingly minor changes began and what was previously impossible became possible. For example, both men were interested in the fact that when they analysed the extraction conditions, they could not get an answer to the question why the production is carried out at ambient temperature and in an aqueous environment or a mixture of water and alcohol with a low alcohol concentration of up to 30%.</w:t>
      </w:r>
    </w:p>
    <w:p w14:paraId="44023BE4" w14:textId="77777777" w:rsidR="00B87D77" w:rsidRDefault="00B87D77" w:rsidP="00027FC3">
      <w:pPr>
        <w:pStyle w:val="nrbrzegowy2"/>
        <w:ind w:left="0" w:hanging="851"/>
      </w:pPr>
      <w:r w:rsidRPr="00186799">
        <w:t xml:space="preserve">Wspólnie opracowali i wskazali właściwe parametry procesu, uporządkowali metodykę i opisali ją w wynalazku, na który, po upływie niespełna trzech lat po zgłoszeniu, udzielony </w:t>
      </w:r>
      <w:r w:rsidRPr="00186799">
        <w:lastRenderedPageBreak/>
        <w:t xml:space="preserve">został przez Urząd Patentowy Rzeczpospolitej Ludowej przedstawiony wyżej patent: PAT. 147215. </w:t>
      </w:r>
    </w:p>
    <w:p w14:paraId="7A29DE4B" w14:textId="77777777" w:rsidR="00694753" w:rsidRPr="00027FC3" w:rsidRDefault="00694753" w:rsidP="00027FC3">
      <w:pPr>
        <w:pStyle w:val="nrbrzegowy2"/>
        <w:numPr>
          <w:ilvl w:val="0"/>
          <w:numId w:val="0"/>
        </w:numPr>
        <w:rPr>
          <w:color w:val="2E74B5" w:themeColor="accent5" w:themeShade="BF"/>
          <w:lang w:val="en-GB"/>
        </w:rPr>
      </w:pPr>
      <w:r w:rsidRPr="00027FC3">
        <w:rPr>
          <w:color w:val="2E74B5" w:themeColor="accent5" w:themeShade="BF"/>
          <w:lang w:val="en-GB"/>
        </w:rPr>
        <w:t>Together, they developed and indicated the appropriate process parameters, organized the methodology and described it in the invention, for which, less than three years after the application, the Patent Office of the People's Republic of Poland issued the above-mentioned patent: PAT. 147215.</w:t>
      </w:r>
    </w:p>
    <w:p w14:paraId="055621FB" w14:textId="77777777" w:rsidR="00B87D77" w:rsidRDefault="00B87D77" w:rsidP="00027FC3">
      <w:pPr>
        <w:pStyle w:val="nrbrzegowy2"/>
        <w:ind w:left="0" w:hanging="851"/>
      </w:pPr>
      <w:r w:rsidRPr="00186799">
        <w:t>Wcześniej czas ekstrakcji wynosił 14 do 21 dni. Okazało się, że w wyniku prowadzenia procesu na drodze dynamicznej pełne wyekstrahowanie substancji czynnych trwa od 4 do 8 godzin.</w:t>
      </w:r>
    </w:p>
    <w:p w14:paraId="1007228D" w14:textId="77777777" w:rsidR="00694753" w:rsidRPr="00027FC3" w:rsidRDefault="00694753" w:rsidP="00027FC3">
      <w:pPr>
        <w:pStyle w:val="nrbrzegowy2"/>
        <w:numPr>
          <w:ilvl w:val="0"/>
          <w:numId w:val="0"/>
        </w:numPr>
        <w:rPr>
          <w:color w:val="2E74B5" w:themeColor="accent5" w:themeShade="BF"/>
          <w:lang w:val="en-GB"/>
        </w:rPr>
      </w:pPr>
      <w:r w:rsidRPr="00027FC3">
        <w:rPr>
          <w:color w:val="2E74B5" w:themeColor="accent5" w:themeShade="BF"/>
          <w:lang w:val="en-GB"/>
        </w:rPr>
        <w:t xml:space="preserve">Previously, the extraction time was 14 to 21 days. It turned out that </w:t>
      </w:r>
      <w:proofErr w:type="gramStart"/>
      <w:r w:rsidRPr="00027FC3">
        <w:rPr>
          <w:color w:val="2E74B5" w:themeColor="accent5" w:themeShade="BF"/>
          <w:lang w:val="en-GB"/>
        </w:rPr>
        <w:t>as a result of</w:t>
      </w:r>
      <w:proofErr w:type="gramEnd"/>
      <w:r w:rsidRPr="00027FC3">
        <w:rPr>
          <w:color w:val="2E74B5" w:themeColor="accent5" w:themeShade="BF"/>
          <w:lang w:val="en-GB"/>
        </w:rPr>
        <w:t xml:space="preserve"> the dynamic process, full extraction of active substances takes from 4 to 8 hours.</w:t>
      </w:r>
    </w:p>
    <w:p w14:paraId="5813D78B" w14:textId="11673B4D" w:rsidR="00B87D77" w:rsidRPr="00186799" w:rsidRDefault="00B87D77" w:rsidP="00027FC3">
      <w:pPr>
        <w:pStyle w:val="nrbrzegowy2"/>
        <w:ind w:left="0" w:hanging="851"/>
      </w:pPr>
      <w:r w:rsidRPr="00186799">
        <w:t xml:space="preserve">Ziarno i łuski ostropestu plamistego zawierają tylko 3 % aktywnych substancji leczniczych (flawonolignanów). Aby otrzymać </w:t>
      </w:r>
      <w:proofErr w:type="spellStart"/>
      <w:r w:rsidRPr="00186799">
        <w:t>sylimarynę</w:t>
      </w:r>
      <w:proofErr w:type="spellEnd"/>
      <w:r w:rsidRPr="00186799">
        <w:t xml:space="preserve"> (produkt wyjściowy wielu leków)</w:t>
      </w:r>
      <w:r w:rsidR="00D96C27">
        <w:t>,</w:t>
      </w:r>
      <w:r w:rsidRPr="00186799">
        <w:t xml:space="preserve"> uzyskiwano wcześniej zwykle od 12 do 24 % leczniczej substancji aktywnej (innymi słowy z 3 % substancji aktywnych uzyskiwano od 12 do 24 %), natomiast reszta pozostawała w śrucie ostropestowej jako odpad poprodukcyjny.</w:t>
      </w:r>
    </w:p>
    <w:p w14:paraId="17CBB3A0" w14:textId="77777777" w:rsidR="00694753" w:rsidRPr="00027FC3" w:rsidRDefault="00694753" w:rsidP="00027FC3">
      <w:pPr>
        <w:pStyle w:val="nrbrzegowy2"/>
        <w:numPr>
          <w:ilvl w:val="0"/>
          <w:numId w:val="0"/>
        </w:numPr>
        <w:rPr>
          <w:color w:val="2E74B5" w:themeColor="accent5" w:themeShade="BF"/>
          <w:lang w:val="en-GB"/>
        </w:rPr>
      </w:pPr>
      <w:r w:rsidRPr="00027FC3">
        <w:rPr>
          <w:color w:val="2E74B5" w:themeColor="accent5" w:themeShade="BF"/>
          <w:lang w:val="en-GB"/>
        </w:rPr>
        <w:t xml:space="preserve">The seeds and husks of milk thistle contain only 3% of active medicinal substances (flavonolignans). </w:t>
      </w:r>
      <w:proofErr w:type="gramStart"/>
      <w:r w:rsidRPr="00027FC3">
        <w:rPr>
          <w:color w:val="2E74B5" w:themeColor="accent5" w:themeShade="BF"/>
          <w:lang w:val="en-GB"/>
        </w:rPr>
        <w:t>In order to</w:t>
      </w:r>
      <w:proofErr w:type="gramEnd"/>
      <w:r w:rsidRPr="00027FC3">
        <w:rPr>
          <w:color w:val="2E74B5" w:themeColor="accent5" w:themeShade="BF"/>
          <w:lang w:val="en-GB"/>
        </w:rPr>
        <w:t xml:space="preserve"> obtain silymarin (the starting product of many drugs), previously usually 12 to 24% of the active drug substance was obtained (in other words, from 3% of active substances, 12 to 24% was obtained), while the rest remained in the milk thistle meal as post-production waste.</w:t>
      </w:r>
    </w:p>
    <w:p w14:paraId="2D560FF5" w14:textId="5EC65483" w:rsidR="00B87D77" w:rsidRPr="00186799" w:rsidRDefault="00B87D77" w:rsidP="00027FC3">
      <w:pPr>
        <w:pStyle w:val="nrbrzegowy2"/>
        <w:ind w:left="0" w:hanging="851"/>
      </w:pPr>
      <w:r w:rsidRPr="00186799">
        <w:t xml:space="preserve">Pan dr inż. Ryszard MATUSIAK jest twórcą technologii, której efektywność zaskoczyła i zadziwiła nie tylko pracowników Instytutu, ale również pracowników w </w:t>
      </w:r>
      <w:proofErr w:type="spellStart"/>
      <w:r w:rsidRPr="00186799">
        <w:t>Klęce</w:t>
      </w:r>
      <w:proofErr w:type="spellEnd"/>
      <w:r w:rsidRPr="00186799">
        <w:t>. Umożliwia ona wyekstrahowanie nawet 100 % leczniczych substancji aktywnych zawartych w ziarnie i łuskach ostropestu plamistego, dzięki prowadzeniu ekstrakcji dynamicznej, mieszaniną alkoholową o wyższym stężeniu roztworu ekstrakcyjnego od 55 do 60 % w temperaturze ok. 40</w:t>
      </w:r>
      <w:r w:rsidRPr="00186799">
        <w:rPr>
          <w:vertAlign w:val="superscript"/>
        </w:rPr>
        <w:t>o</w:t>
      </w:r>
      <w:r w:rsidRPr="00186799">
        <w:t xml:space="preserve">C przy nowatorsko wskazanym </w:t>
      </w:r>
      <w:proofErr w:type="spellStart"/>
      <w:r w:rsidRPr="00186799">
        <w:t>pH</w:t>
      </w:r>
      <w:proofErr w:type="spellEnd"/>
      <w:r w:rsidRPr="00186799">
        <w:t xml:space="preserve"> ok</w:t>
      </w:r>
      <w:r w:rsidR="00D96C27">
        <w:t>.</w:t>
      </w:r>
      <w:r w:rsidRPr="00186799">
        <w:t xml:space="preserve"> 5,5 (kwasowości roztworu wcześniej w ogóle nie badano).</w:t>
      </w:r>
    </w:p>
    <w:p w14:paraId="4F159E52" w14:textId="77777777" w:rsidR="00694753" w:rsidRPr="00027FC3" w:rsidRDefault="00694753" w:rsidP="00027FC3">
      <w:pPr>
        <w:pStyle w:val="nrbrzegowy2"/>
        <w:numPr>
          <w:ilvl w:val="0"/>
          <w:numId w:val="0"/>
        </w:numPr>
        <w:rPr>
          <w:color w:val="2E74B5" w:themeColor="accent5" w:themeShade="BF"/>
          <w:lang w:val="en-GB"/>
        </w:rPr>
      </w:pPr>
      <w:r w:rsidRPr="00027FC3">
        <w:rPr>
          <w:color w:val="2E74B5" w:themeColor="accent5" w:themeShade="BF"/>
          <w:lang w:val="en-GB"/>
        </w:rPr>
        <w:t xml:space="preserve">Mr. Ryszard MATUSIAK is the creator of the technology, the effectiveness of which surprised and amazed not only the employees of the Institute, but also the employees of </w:t>
      </w:r>
      <w:proofErr w:type="spellStart"/>
      <w:r w:rsidRPr="00027FC3">
        <w:rPr>
          <w:color w:val="2E74B5" w:themeColor="accent5" w:themeShade="BF"/>
          <w:lang w:val="en-GB"/>
        </w:rPr>
        <w:t>Klęka</w:t>
      </w:r>
      <w:proofErr w:type="spellEnd"/>
      <w:r w:rsidRPr="00027FC3">
        <w:rPr>
          <w:color w:val="2E74B5" w:themeColor="accent5" w:themeShade="BF"/>
          <w:lang w:val="en-GB"/>
        </w:rPr>
        <w:t>. Thanks to dynamic extraction, it is possible to extract up to 100% of medicinal active substances contained in the seeds and husks of milk thistle with an alcohol mixture with a higher concentration of the extraction solution from 55 to 60% at a temperature of approx. 40</w:t>
      </w:r>
      <w:r w:rsidRPr="00027FC3">
        <w:rPr>
          <w:color w:val="2E74B5" w:themeColor="accent5" w:themeShade="BF"/>
          <w:vertAlign w:val="superscript"/>
          <w:lang w:val="en-GB"/>
        </w:rPr>
        <w:t>o</w:t>
      </w:r>
      <w:r w:rsidRPr="00027FC3">
        <w:rPr>
          <w:color w:val="2E74B5" w:themeColor="accent5" w:themeShade="BF"/>
          <w:lang w:val="en-GB"/>
        </w:rPr>
        <w:t>C at an innovative pH of approx. 5.5 (acidity solution has not been tested at all before).</w:t>
      </w:r>
    </w:p>
    <w:p w14:paraId="289279E5" w14:textId="24CD4DCB" w:rsidR="00B87D77" w:rsidRDefault="00B87D77" w:rsidP="00027FC3">
      <w:pPr>
        <w:pStyle w:val="nrbrzegowy2"/>
        <w:ind w:left="0" w:hanging="851"/>
      </w:pPr>
      <w:r w:rsidRPr="00186799">
        <w:t xml:space="preserve">Budowę nowej hali produkcyjnej dostosowanej do realizacji procesu wg wynalazku zakończono pod koniec 1988 r., a jego przemysłowe stosowanie na dużą skalę podjęto w 1989 r. </w:t>
      </w:r>
    </w:p>
    <w:p w14:paraId="7E7509D9" w14:textId="77777777" w:rsidR="00694753" w:rsidRPr="00027FC3" w:rsidRDefault="00694753" w:rsidP="00027FC3">
      <w:pPr>
        <w:pStyle w:val="nrbrzegowy2"/>
        <w:numPr>
          <w:ilvl w:val="0"/>
          <w:numId w:val="0"/>
        </w:numPr>
        <w:rPr>
          <w:color w:val="2E74B5" w:themeColor="accent5" w:themeShade="BF"/>
          <w:lang w:val="en-GB"/>
        </w:rPr>
      </w:pPr>
      <w:r w:rsidRPr="00027FC3">
        <w:rPr>
          <w:color w:val="2E74B5" w:themeColor="accent5" w:themeShade="BF"/>
          <w:lang w:val="en-GB"/>
        </w:rPr>
        <w:t>The construction of the new production hall adapted to the implementation of the process according to the invention was completed at the end of 1988, and its industrial use on a large scale was started in 1989.</w:t>
      </w:r>
    </w:p>
    <w:p w14:paraId="3E67A16B" w14:textId="77777777" w:rsidR="00B87D77" w:rsidRPr="00186799" w:rsidRDefault="00B87D77" w:rsidP="00027FC3">
      <w:pPr>
        <w:pStyle w:val="nrbrzegowy2"/>
        <w:ind w:left="0" w:hanging="851"/>
      </w:pPr>
      <w:r w:rsidRPr="00186799">
        <w:t xml:space="preserve">Wprowadzenie tych drobnych, to znaczy genialnych zmian i wytwarzanie koncentratu wg patentu PAT. 147215 zapewniło wzrost wydajności procesu produkcji od 400 do 800 % w porównaniu z rezultatami uzyskiwanymi wcześniej. </w:t>
      </w:r>
    </w:p>
    <w:p w14:paraId="1196D2F6" w14:textId="77777777" w:rsidR="00024C56" w:rsidRPr="00027FC3" w:rsidRDefault="00024C56" w:rsidP="00027FC3">
      <w:pPr>
        <w:pStyle w:val="nrbrzegowy2"/>
        <w:numPr>
          <w:ilvl w:val="0"/>
          <w:numId w:val="0"/>
        </w:numPr>
        <w:rPr>
          <w:color w:val="2E74B5" w:themeColor="accent5" w:themeShade="BF"/>
          <w:lang w:val="en-GB"/>
        </w:rPr>
      </w:pPr>
      <w:r w:rsidRPr="00027FC3">
        <w:rPr>
          <w:color w:val="2E74B5" w:themeColor="accent5" w:themeShade="BF"/>
          <w:lang w:val="en-GB"/>
        </w:rPr>
        <w:t>Introducing these small, i.e. brilliant changes and producing the concentrate according to the patent PAT.147215 provided an increase in the efficiency of the production process from 400 to 800% compared to the results obtained earlier.</w:t>
      </w:r>
    </w:p>
    <w:p w14:paraId="5E193E8A" w14:textId="720FE40E" w:rsidR="00B87D77" w:rsidRPr="00186799" w:rsidRDefault="00B87D77" w:rsidP="00027FC3">
      <w:pPr>
        <w:pStyle w:val="nrbrzegowy2"/>
        <w:ind w:left="0" w:hanging="851"/>
      </w:pPr>
      <w:r w:rsidRPr="00186799">
        <w:t>Warto postawić pytanie, jakie wynagrodzenie otrzymali twórcy technologii, którą chronił: PAT. 147215?</w:t>
      </w:r>
    </w:p>
    <w:p w14:paraId="746FFFE6" w14:textId="77777777" w:rsidR="00024C56" w:rsidRPr="00027FC3" w:rsidRDefault="00024C56" w:rsidP="00027FC3">
      <w:pPr>
        <w:pStyle w:val="nrbrzegowy2"/>
        <w:numPr>
          <w:ilvl w:val="0"/>
          <w:numId w:val="0"/>
        </w:numPr>
        <w:rPr>
          <w:color w:val="2E74B5" w:themeColor="accent5" w:themeShade="BF"/>
          <w:lang w:val="en-GB"/>
        </w:rPr>
      </w:pPr>
      <w:r w:rsidRPr="00027FC3">
        <w:rPr>
          <w:color w:val="2E74B5" w:themeColor="accent5" w:themeShade="BF"/>
          <w:lang w:val="en-GB"/>
        </w:rPr>
        <w:lastRenderedPageBreak/>
        <w:t>It is worth asking the question of what remuneration was received by the creators of the technology it protected: PAT. 147215?</w:t>
      </w:r>
    </w:p>
    <w:p w14:paraId="379A3447" w14:textId="77777777" w:rsidR="00B87D77" w:rsidRPr="00186799" w:rsidRDefault="00B87D77" w:rsidP="00027FC3">
      <w:pPr>
        <w:pStyle w:val="nrbrzegowy2"/>
        <w:ind w:left="0" w:hanging="851"/>
      </w:pPr>
      <w:r w:rsidRPr="00186799">
        <w:t>Otóż twórcy wynalazku nie otrzymali praktycznie żadnego wynagrodzenia za jego opracowanie i wdrożenie.</w:t>
      </w:r>
    </w:p>
    <w:p w14:paraId="04744A82" w14:textId="77777777" w:rsidR="00024C56" w:rsidRPr="00027FC3" w:rsidRDefault="00024C56" w:rsidP="00027FC3">
      <w:pPr>
        <w:pStyle w:val="nrbrzegowy2"/>
        <w:numPr>
          <w:ilvl w:val="0"/>
          <w:numId w:val="0"/>
        </w:numPr>
        <w:rPr>
          <w:color w:val="2E74B5" w:themeColor="accent5" w:themeShade="BF"/>
          <w:lang w:val="en-GB"/>
        </w:rPr>
      </w:pPr>
      <w:r w:rsidRPr="00027FC3">
        <w:rPr>
          <w:color w:val="2E74B5" w:themeColor="accent5" w:themeShade="BF"/>
          <w:lang w:val="en-GB"/>
        </w:rPr>
        <w:t>Well, the inventors did not receive virtually any remuneration for its development and implementation.</w:t>
      </w:r>
    </w:p>
    <w:p w14:paraId="37A4A436" w14:textId="77777777" w:rsidR="00B87D77" w:rsidRPr="008B5A97" w:rsidRDefault="00B87D77" w:rsidP="00027FC3">
      <w:pPr>
        <w:pStyle w:val="nrbrzegowy2"/>
        <w:ind w:left="0" w:hanging="851"/>
        <w:rPr>
          <w:lang w:val="en-US"/>
        </w:rPr>
      </w:pPr>
      <w:r w:rsidRPr="00186799">
        <w:t xml:space="preserve">Przed laty grupa poznańskich pasjonatów z POSTEOR-u udowodniła, że można w każdej sytuacji być patriotą i działać dla dobra kraju oraz jego obywateli. Było to możliwe nawet w trudnych czasach PRL-u. Dziś powinniśmy wykorzystać znane i sprawdzone mechanizmy umożliwiające wykorzystywanie ogromnego potencjału intelektualnego i twórczego Polaków w praktyce gospodarczej. Ale powinniśmy to uczynić lepiej. Winni jesteśmy wdzięczność tym, którzy np. ratują nam życie i zdrowie. Fenicjanie, którzy wynaleźli pieniądze, podpowiedzieliby nam, jak właściwie wyrażać wdzięczność twórcom wynalazków. </w:t>
      </w:r>
      <w:proofErr w:type="spellStart"/>
      <w:r w:rsidRPr="008B5A97">
        <w:rPr>
          <w:lang w:val="en-US"/>
        </w:rPr>
        <w:t>Myślenie</w:t>
      </w:r>
      <w:proofErr w:type="spellEnd"/>
      <w:r w:rsidRPr="008B5A97">
        <w:rPr>
          <w:lang w:val="en-US"/>
        </w:rPr>
        <w:t xml:space="preserve"> </w:t>
      </w:r>
      <w:proofErr w:type="spellStart"/>
      <w:r w:rsidRPr="008B5A97">
        <w:rPr>
          <w:lang w:val="en-US"/>
        </w:rPr>
        <w:t>usprawniające</w:t>
      </w:r>
      <w:proofErr w:type="spellEnd"/>
      <w:r w:rsidRPr="008B5A97">
        <w:rPr>
          <w:lang w:val="en-US"/>
        </w:rPr>
        <w:t xml:space="preserve"> </w:t>
      </w:r>
      <w:proofErr w:type="spellStart"/>
      <w:r w:rsidRPr="008B5A97">
        <w:rPr>
          <w:lang w:val="en-US"/>
        </w:rPr>
        <w:t>gospodarkę</w:t>
      </w:r>
      <w:proofErr w:type="spellEnd"/>
      <w:r w:rsidRPr="008B5A97">
        <w:rPr>
          <w:lang w:val="en-US"/>
        </w:rPr>
        <w:t xml:space="preserve"> </w:t>
      </w:r>
      <w:proofErr w:type="spellStart"/>
      <w:r w:rsidRPr="008B5A97">
        <w:rPr>
          <w:lang w:val="en-US"/>
        </w:rPr>
        <w:t>powinno</w:t>
      </w:r>
      <w:proofErr w:type="spellEnd"/>
      <w:r w:rsidRPr="008B5A97">
        <w:rPr>
          <w:lang w:val="en-US"/>
        </w:rPr>
        <w:t xml:space="preserve"> </w:t>
      </w:r>
      <w:proofErr w:type="spellStart"/>
      <w:r w:rsidRPr="008B5A97">
        <w:rPr>
          <w:lang w:val="en-US"/>
        </w:rPr>
        <w:t>się</w:t>
      </w:r>
      <w:proofErr w:type="spellEnd"/>
      <w:r w:rsidRPr="008B5A97">
        <w:rPr>
          <w:lang w:val="en-US"/>
        </w:rPr>
        <w:t xml:space="preserve"> </w:t>
      </w:r>
      <w:proofErr w:type="spellStart"/>
      <w:r w:rsidRPr="008B5A97">
        <w:rPr>
          <w:lang w:val="en-US"/>
        </w:rPr>
        <w:t>opłacać</w:t>
      </w:r>
      <w:proofErr w:type="spellEnd"/>
      <w:r w:rsidRPr="008B5A97">
        <w:rPr>
          <w:lang w:val="en-US"/>
        </w:rPr>
        <w:t>.</w:t>
      </w:r>
    </w:p>
    <w:p w14:paraId="2A17DB79" w14:textId="77777777" w:rsidR="00024C56" w:rsidRPr="00027FC3" w:rsidRDefault="00024C56" w:rsidP="00027FC3">
      <w:pPr>
        <w:pStyle w:val="nrbrzegowy2"/>
        <w:numPr>
          <w:ilvl w:val="0"/>
          <w:numId w:val="0"/>
        </w:numPr>
        <w:rPr>
          <w:color w:val="2E74B5" w:themeColor="accent5" w:themeShade="BF"/>
        </w:rPr>
      </w:pPr>
      <w:r w:rsidRPr="00027FC3">
        <w:rPr>
          <w:color w:val="2E74B5" w:themeColor="accent5" w:themeShade="BF"/>
          <w:lang w:val="en-GB"/>
        </w:rPr>
        <w:t xml:space="preserve">Years ago, a group of </w:t>
      </w:r>
      <w:proofErr w:type="spellStart"/>
      <w:r w:rsidRPr="00027FC3">
        <w:rPr>
          <w:color w:val="2E74B5" w:themeColor="accent5" w:themeShade="BF"/>
          <w:lang w:val="en-GB"/>
        </w:rPr>
        <w:t>Poznań</w:t>
      </w:r>
      <w:proofErr w:type="spellEnd"/>
      <w:r w:rsidRPr="00027FC3">
        <w:rPr>
          <w:color w:val="2E74B5" w:themeColor="accent5" w:themeShade="BF"/>
          <w:lang w:val="en-GB"/>
        </w:rPr>
        <w:t xml:space="preserve"> enthusiasts from POSTEOR proved that you can be a patriot in any situation and act for the good of the country and its citizens. It was possible even in the difficult times of the Polish People's Republic. Today, we should use the well-known and proven mechanisms that enable the use of the enormous intellectual and creative potential of Poles in economic practice. But we should do better. We owe gratitude to those who, for example, save lives and keep people healthy. The Phoenicians who invented money would tell us how to properly express gratitude to the inventors. </w:t>
      </w:r>
      <w:proofErr w:type="spellStart"/>
      <w:r w:rsidRPr="00027FC3">
        <w:rPr>
          <w:color w:val="2E74B5" w:themeColor="accent5" w:themeShade="BF"/>
        </w:rPr>
        <w:t>Thinking</w:t>
      </w:r>
      <w:proofErr w:type="spellEnd"/>
      <w:r w:rsidRPr="00027FC3">
        <w:rPr>
          <w:color w:val="2E74B5" w:themeColor="accent5" w:themeShade="BF"/>
        </w:rPr>
        <w:t xml:space="preserve"> to </w:t>
      </w:r>
      <w:proofErr w:type="spellStart"/>
      <w:r w:rsidRPr="00027FC3">
        <w:rPr>
          <w:color w:val="2E74B5" w:themeColor="accent5" w:themeShade="BF"/>
        </w:rPr>
        <w:t>improve</w:t>
      </w:r>
      <w:proofErr w:type="spellEnd"/>
      <w:r w:rsidRPr="00027FC3">
        <w:rPr>
          <w:color w:val="2E74B5" w:themeColor="accent5" w:themeShade="BF"/>
        </w:rPr>
        <w:t xml:space="preserve"> the </w:t>
      </w:r>
      <w:proofErr w:type="spellStart"/>
      <w:r w:rsidRPr="00027FC3">
        <w:rPr>
          <w:color w:val="2E74B5" w:themeColor="accent5" w:themeShade="BF"/>
        </w:rPr>
        <w:t>economy</w:t>
      </w:r>
      <w:proofErr w:type="spellEnd"/>
      <w:r w:rsidRPr="00027FC3">
        <w:rPr>
          <w:color w:val="2E74B5" w:themeColor="accent5" w:themeShade="BF"/>
        </w:rPr>
        <w:t xml:space="preserve"> </w:t>
      </w:r>
      <w:proofErr w:type="spellStart"/>
      <w:r w:rsidRPr="00027FC3">
        <w:rPr>
          <w:color w:val="2E74B5" w:themeColor="accent5" w:themeShade="BF"/>
        </w:rPr>
        <w:t>should</w:t>
      </w:r>
      <w:proofErr w:type="spellEnd"/>
      <w:r w:rsidRPr="00027FC3">
        <w:rPr>
          <w:color w:val="2E74B5" w:themeColor="accent5" w:themeShade="BF"/>
        </w:rPr>
        <w:t xml:space="preserve"> </w:t>
      </w:r>
      <w:proofErr w:type="spellStart"/>
      <w:r w:rsidRPr="00027FC3">
        <w:rPr>
          <w:color w:val="2E74B5" w:themeColor="accent5" w:themeShade="BF"/>
        </w:rPr>
        <w:t>pay</w:t>
      </w:r>
      <w:proofErr w:type="spellEnd"/>
      <w:r w:rsidRPr="00027FC3">
        <w:rPr>
          <w:color w:val="2E74B5" w:themeColor="accent5" w:themeShade="BF"/>
        </w:rPr>
        <w:t xml:space="preserve"> off.</w:t>
      </w:r>
    </w:p>
    <w:p w14:paraId="25829A91" w14:textId="5432AA5E" w:rsidR="00B87D77" w:rsidRPr="00186799" w:rsidRDefault="00B87D77" w:rsidP="00027FC3">
      <w:pPr>
        <w:pStyle w:val="nrbrzegowy2"/>
        <w:ind w:left="0" w:hanging="851"/>
      </w:pPr>
      <w:r w:rsidRPr="00186799">
        <w:t>Trochę żartując (a trochę nie) prosimy ustawodawcę, by pozwolił zainspirować się istniejącą regulacją prawną i wprowadził proste i skuteczne mechanizmy wdrażania wynalazków i właściwego honorowania wszystkich „</w:t>
      </w:r>
      <w:r w:rsidRPr="00186799">
        <w:rPr>
          <w:i/>
          <w:iCs/>
        </w:rPr>
        <w:t>poszukiwaczy skarbów</w:t>
      </w:r>
      <w:r w:rsidRPr="00186799">
        <w:t>”, twórców i wynalazców. Otóż pomocną zasadę reguluje ustawa z dnia 20 lutego 2015 r. o rzeczach znalezionych (Dz. U.2019 r. poz. 908). Znalazca, „</w:t>
      </w:r>
      <w:r w:rsidRPr="00186799">
        <w:rPr>
          <w:i/>
          <w:iCs/>
        </w:rPr>
        <w:t xml:space="preserve">który uczynił zadość swoim obowiązkom, może żądać znaleźnego w wysokości jednej dziesiątej wartości rzeczy”. </w:t>
      </w:r>
      <w:r w:rsidRPr="00186799">
        <w:t>Skoro znalazcy przysługuje 1/10 wartości rzeczy znalezionej, to tym bardziej twórcy powinno przysługiwać prawo do zryczałtowanego wynagrodzenia za odkryte przez niego rozwiązanie, które przynosi przychody. Nie dopuszczajmy do pozbawiania twórców należnego im wynagrodzenia. Aby naprawić system</w:t>
      </w:r>
      <w:r w:rsidR="00DA1F6A" w:rsidRPr="00186799">
        <w:t>,</w:t>
      </w:r>
      <w:r w:rsidRPr="00186799">
        <w:t xml:space="preserve"> wystarczy wprowadzić proste i przyjazne reguły.</w:t>
      </w:r>
    </w:p>
    <w:p w14:paraId="2E96321D" w14:textId="77777777" w:rsidR="00024C56" w:rsidRPr="00027FC3" w:rsidRDefault="00024C56" w:rsidP="00027FC3">
      <w:pPr>
        <w:pStyle w:val="nrbrzegowy2"/>
        <w:numPr>
          <w:ilvl w:val="0"/>
          <w:numId w:val="0"/>
        </w:numPr>
        <w:rPr>
          <w:color w:val="2E74B5" w:themeColor="accent5" w:themeShade="BF"/>
          <w:lang w:val="en-GB"/>
        </w:rPr>
      </w:pPr>
      <w:r w:rsidRPr="00027FC3">
        <w:rPr>
          <w:color w:val="2E74B5" w:themeColor="accent5" w:themeShade="BF"/>
          <w:lang w:val="en-GB"/>
        </w:rPr>
        <w:t>Am I joking when I say we should ask the legislator to allow himself to be inspired by the existing legal regulation and introduce simple and effective mechanisms for implementing inventions and properly honouring all "</w:t>
      </w:r>
      <w:r w:rsidRPr="00027FC3">
        <w:rPr>
          <w:i/>
          <w:iCs/>
          <w:color w:val="2E74B5" w:themeColor="accent5" w:themeShade="BF"/>
          <w:lang w:val="en-GB"/>
        </w:rPr>
        <w:t>treasure hunters</w:t>
      </w:r>
      <w:r w:rsidRPr="00027FC3">
        <w:rPr>
          <w:color w:val="2E74B5" w:themeColor="accent5" w:themeShade="BF"/>
          <w:lang w:val="en-GB"/>
        </w:rPr>
        <w:t xml:space="preserve">", creators and inventors? Yes, and no. A helpful principle is regulated by the Act of February 20, </w:t>
      </w:r>
      <w:proofErr w:type="gramStart"/>
      <w:r w:rsidRPr="00027FC3">
        <w:rPr>
          <w:color w:val="2E74B5" w:themeColor="accent5" w:themeShade="BF"/>
          <w:lang w:val="en-GB"/>
        </w:rPr>
        <w:t>2015</w:t>
      </w:r>
      <w:proofErr w:type="gramEnd"/>
      <w:r w:rsidRPr="00027FC3">
        <w:rPr>
          <w:color w:val="2E74B5" w:themeColor="accent5" w:themeShade="BF"/>
          <w:lang w:val="en-GB"/>
        </w:rPr>
        <w:t xml:space="preserve"> on found things (Journal of Laws of 2019, item 908). This principle states that finder "</w:t>
      </w:r>
      <w:r w:rsidRPr="00027FC3">
        <w:rPr>
          <w:i/>
          <w:iCs/>
          <w:color w:val="2E74B5" w:themeColor="accent5" w:themeShade="BF"/>
          <w:lang w:val="en-GB"/>
        </w:rPr>
        <w:t>who has fulfilled his obligations may demand a finder in the amount of one tenth of the value of the thing</w:t>
      </w:r>
      <w:r w:rsidRPr="00027FC3">
        <w:rPr>
          <w:color w:val="2E74B5" w:themeColor="accent5" w:themeShade="BF"/>
          <w:lang w:val="en-GB"/>
        </w:rPr>
        <w:t>." Since the finder is entitled to 1/10 of the value of the found thing, the more the creator should be entitled to a flat-rate remuneration for the solution discovered by him that brings income. Let us not allow authors to be deprived of their due remuneration. To fix the system, it is enough to introduce simple and friendly rules.</w:t>
      </w:r>
    </w:p>
    <w:p w14:paraId="5C94F6C1" w14:textId="44C5B8E3" w:rsidR="00B87D77" w:rsidRPr="008B5A97" w:rsidRDefault="00B87D77" w:rsidP="00027FC3">
      <w:pPr>
        <w:pStyle w:val="nrbrzegowy2"/>
        <w:ind w:left="0" w:hanging="851"/>
        <w:rPr>
          <w:lang w:val="en-US"/>
        </w:rPr>
      </w:pPr>
      <w:r w:rsidRPr="00186799">
        <w:t>W latach 70. XX wieku rozwiązywano problem tzw. „</w:t>
      </w:r>
      <w:proofErr w:type="spellStart"/>
      <w:r w:rsidRPr="00186799">
        <w:rPr>
          <w:i/>
          <w:iCs/>
        </w:rPr>
        <w:t>półkowników</w:t>
      </w:r>
      <w:proofErr w:type="spellEnd"/>
      <w:r w:rsidRPr="00186799">
        <w:t xml:space="preserve">”. Czy nie macie Państwo wrażenia </w:t>
      </w:r>
      <w:r w:rsidRPr="00186799">
        <w:rPr>
          <w:i/>
          <w:iCs/>
        </w:rPr>
        <w:t>déjà vu</w:t>
      </w:r>
      <w:r w:rsidRPr="00186799">
        <w:t xml:space="preserve">? </w:t>
      </w:r>
      <w:r w:rsidRPr="008B5A97">
        <w:rPr>
          <w:lang w:val="en-US"/>
        </w:rPr>
        <w:t xml:space="preserve">Problem ten </w:t>
      </w:r>
      <w:proofErr w:type="spellStart"/>
      <w:r w:rsidRPr="008B5A97">
        <w:rPr>
          <w:lang w:val="en-US"/>
        </w:rPr>
        <w:t>powrócił</w:t>
      </w:r>
      <w:proofErr w:type="spellEnd"/>
      <w:r w:rsidRPr="008B5A97">
        <w:rPr>
          <w:lang w:val="en-US"/>
        </w:rPr>
        <w:t>.</w:t>
      </w:r>
    </w:p>
    <w:p w14:paraId="40352862" w14:textId="1E2D9F58" w:rsidR="00024C56" w:rsidRPr="00027FC3" w:rsidRDefault="00024C56" w:rsidP="00027FC3">
      <w:pPr>
        <w:pStyle w:val="nrbrzegowy2"/>
        <w:numPr>
          <w:ilvl w:val="0"/>
          <w:numId w:val="0"/>
        </w:numPr>
        <w:rPr>
          <w:color w:val="2E74B5" w:themeColor="accent5" w:themeShade="BF"/>
          <w:lang w:val="en-GB"/>
        </w:rPr>
      </w:pPr>
      <w:r w:rsidRPr="00027FC3">
        <w:rPr>
          <w:color w:val="2E74B5" w:themeColor="accent5" w:themeShade="BF"/>
          <w:lang w:val="en-GB"/>
        </w:rPr>
        <w:t>In the 1970s, the problem of the so-called "</w:t>
      </w:r>
      <w:proofErr w:type="spellStart"/>
      <w:r w:rsidR="00945257" w:rsidRPr="00027FC3">
        <w:rPr>
          <w:i/>
          <w:iCs/>
          <w:color w:val="2E74B5" w:themeColor="accent5" w:themeShade="BF"/>
          <w:lang w:val="en-GB"/>
        </w:rPr>
        <w:t>półkowniks</w:t>
      </w:r>
      <w:proofErr w:type="spellEnd"/>
      <w:r w:rsidRPr="00027FC3">
        <w:rPr>
          <w:color w:val="2E74B5" w:themeColor="accent5" w:themeShade="BF"/>
          <w:lang w:val="en-GB"/>
        </w:rPr>
        <w:t>" was solved. Don't you have an impression of déjà vu? The problem has returned.</w:t>
      </w:r>
    </w:p>
    <w:p w14:paraId="64625474" w14:textId="7BB7B131" w:rsidR="00B87D77" w:rsidRPr="00186799" w:rsidRDefault="00B87D77" w:rsidP="00027FC3">
      <w:pPr>
        <w:pStyle w:val="nrbrzegowy2"/>
        <w:ind w:left="0" w:hanging="851"/>
      </w:pPr>
      <w:r w:rsidRPr="00186799">
        <w:lastRenderedPageBreak/>
        <w:t xml:space="preserve">Było trudno </w:t>
      </w:r>
      <w:r w:rsidR="00945257">
        <w:t>-</w:t>
      </w:r>
      <w:r w:rsidRPr="00186799">
        <w:t xml:space="preserve"> teraz też nie jest łatwo </w:t>
      </w:r>
      <w:r w:rsidR="00252AD8">
        <w:t>-</w:t>
      </w:r>
      <w:r w:rsidRPr="00186799">
        <w:t xml:space="preserve"> trzeba uprościć</w:t>
      </w:r>
      <w:r w:rsidR="00252AD8">
        <w:t>,</w:t>
      </w:r>
      <w:r w:rsidRPr="00186799">
        <w:t xml:space="preserve"> równocześnie skutecznie usprawniając system nabywania ochrony patentowej, by lepiej żyło się nam wszystkim.</w:t>
      </w:r>
    </w:p>
    <w:p w14:paraId="6596A167" w14:textId="77777777" w:rsidR="00945257" w:rsidRPr="00027FC3" w:rsidRDefault="00945257" w:rsidP="00027FC3">
      <w:pPr>
        <w:pStyle w:val="nrbrzegowy2"/>
        <w:numPr>
          <w:ilvl w:val="0"/>
          <w:numId w:val="0"/>
        </w:numPr>
        <w:rPr>
          <w:color w:val="2E74B5" w:themeColor="accent5" w:themeShade="BF"/>
          <w:lang w:val="en-GB"/>
        </w:rPr>
      </w:pPr>
      <w:r w:rsidRPr="00027FC3">
        <w:rPr>
          <w:color w:val="2E74B5" w:themeColor="accent5" w:themeShade="BF"/>
          <w:lang w:val="en-GB"/>
        </w:rPr>
        <w:t>It was difficult, though now it has not gotten any easier either. It is necessary to simplify and, at the same time, effectively improve the system of acquiring patent protection so that we all have a better life.</w:t>
      </w:r>
    </w:p>
    <w:p w14:paraId="4AABC815" w14:textId="77777777" w:rsidR="00BD2FF6" w:rsidRPr="002F7E5D" w:rsidRDefault="00B87D77" w:rsidP="00027FC3">
      <w:pPr>
        <w:pStyle w:val="nrbrzegowy2"/>
        <w:ind w:left="0" w:hanging="851"/>
      </w:pPr>
      <w:r w:rsidRPr="002F7E5D">
        <w:t>Tak brzmi prosta odpowiedź na trudne pytania postawione w znakomitym raporcie Fundacji Warszawskiego Instytut</w:t>
      </w:r>
      <w:r w:rsidR="00252AD8" w:rsidRPr="002F7E5D">
        <w:t>u</w:t>
      </w:r>
      <w:r w:rsidRPr="002F7E5D">
        <w:t xml:space="preserve"> Studiów Ekonomicznych „</w:t>
      </w:r>
      <w:r w:rsidRPr="002F7E5D">
        <w:rPr>
          <w:i/>
          <w:iCs/>
        </w:rPr>
        <w:t>W poszukiwaniu zaginionej innowacyjności</w:t>
      </w:r>
      <w:r w:rsidRPr="002F7E5D">
        <w:t>”</w:t>
      </w:r>
      <w:r w:rsidRPr="00186799">
        <w:rPr>
          <w:rStyle w:val="Odwoanieprzypisudolnego"/>
          <w:rFonts w:cstheme="minorHAnsi"/>
          <w:szCs w:val="24"/>
        </w:rPr>
        <w:footnoteReference w:id="3"/>
      </w:r>
      <w:r w:rsidRPr="002F7E5D">
        <w:t>.</w:t>
      </w:r>
    </w:p>
    <w:p w14:paraId="391F122D" w14:textId="3E07C20A" w:rsidR="00945257" w:rsidRPr="00027FC3" w:rsidRDefault="00945257" w:rsidP="00027FC3">
      <w:pPr>
        <w:pStyle w:val="nrbrzegowy2"/>
        <w:numPr>
          <w:ilvl w:val="0"/>
          <w:numId w:val="0"/>
        </w:numPr>
        <w:rPr>
          <w:color w:val="2E74B5" w:themeColor="accent5" w:themeShade="BF"/>
          <w:lang w:val="en-US"/>
        </w:rPr>
      </w:pPr>
      <w:r w:rsidRPr="00027FC3">
        <w:rPr>
          <w:color w:val="2E74B5" w:themeColor="accent5" w:themeShade="BF"/>
          <w:lang w:val="en-GB"/>
        </w:rPr>
        <w:t>This is the simple answer to the difficult questions posed in the excellent report of the Foundation of the Warsaw Institute of Economic Studies "In search of lost innovation."</w:t>
      </w:r>
    </w:p>
    <w:p w14:paraId="64339910" w14:textId="77777777" w:rsidR="00B87D77" w:rsidRDefault="00B87D77" w:rsidP="00027FC3">
      <w:pPr>
        <w:pStyle w:val="nrbrzegowy2"/>
        <w:ind w:left="0" w:hanging="851"/>
      </w:pPr>
      <w:r w:rsidRPr="00186799">
        <w:t>Propozycje szczegółowych rozwiązań czekają. Chętnie je Państwu w najbliższym czasie przedstawimy.</w:t>
      </w:r>
    </w:p>
    <w:p w14:paraId="66952119" w14:textId="2066A6A8" w:rsidR="00945257" w:rsidRPr="00027FC3" w:rsidRDefault="00945257" w:rsidP="00027FC3">
      <w:pPr>
        <w:pStyle w:val="nrbrzegowy2"/>
        <w:numPr>
          <w:ilvl w:val="0"/>
          <w:numId w:val="0"/>
        </w:numPr>
        <w:rPr>
          <w:color w:val="2E74B5" w:themeColor="accent5" w:themeShade="BF"/>
          <w:lang w:val="en-GB"/>
        </w:rPr>
      </w:pPr>
      <w:r w:rsidRPr="00027FC3">
        <w:rPr>
          <w:color w:val="2E74B5" w:themeColor="accent5" w:themeShade="BF"/>
          <w:lang w:val="en-GB"/>
        </w:rPr>
        <w:t xml:space="preserve">Proposals for detailed solutions await. We will be happy to present them to you </w:t>
      </w:r>
      <w:proofErr w:type="gramStart"/>
      <w:r w:rsidRPr="00027FC3">
        <w:rPr>
          <w:color w:val="2E74B5" w:themeColor="accent5" w:themeShade="BF"/>
          <w:lang w:val="en-GB"/>
        </w:rPr>
        <w:t>in the near future</w:t>
      </w:r>
      <w:proofErr w:type="gramEnd"/>
      <w:r w:rsidRPr="00027FC3">
        <w:rPr>
          <w:color w:val="2E74B5" w:themeColor="accent5" w:themeShade="BF"/>
          <w:lang w:val="en-GB"/>
        </w:rPr>
        <w:t>.</w:t>
      </w:r>
    </w:p>
    <w:bookmarkEnd w:id="140"/>
    <w:p w14:paraId="7D64A794" w14:textId="77777777" w:rsidR="00D14D6C" w:rsidRDefault="00D14D6C" w:rsidP="00B87D77">
      <w:pPr>
        <w:spacing w:after="0" w:line="240" w:lineRule="auto"/>
        <w:jc w:val="center"/>
        <w:rPr>
          <w:rFonts w:cstheme="minorHAnsi"/>
          <w:b/>
          <w:bCs/>
          <w:color w:val="4472C4" w:themeColor="accent1"/>
          <w:sz w:val="24"/>
          <w:szCs w:val="24"/>
          <w:lang w:val="en-GB"/>
        </w:rPr>
      </w:pPr>
    </w:p>
    <w:p w14:paraId="0B21DD78" w14:textId="59E70F36" w:rsidR="00D14D6C" w:rsidRDefault="00D14D6C" w:rsidP="00B87D77">
      <w:pPr>
        <w:spacing w:after="0" w:line="240" w:lineRule="auto"/>
        <w:jc w:val="center"/>
        <w:rPr>
          <w:rFonts w:cstheme="minorHAnsi"/>
          <w:b/>
          <w:bCs/>
          <w:sz w:val="24"/>
          <w:szCs w:val="24"/>
        </w:rPr>
      </w:pPr>
      <w:r w:rsidRPr="00945257">
        <w:rPr>
          <w:rFonts w:cstheme="minorHAnsi"/>
          <w:b/>
          <w:bCs/>
          <w:sz w:val="24"/>
          <w:szCs w:val="24"/>
        </w:rPr>
        <w:t>* * *</w:t>
      </w:r>
    </w:p>
    <w:p w14:paraId="7C560C7E" w14:textId="77777777" w:rsidR="00BD2FF6" w:rsidRDefault="00BD2FF6" w:rsidP="00945257">
      <w:pPr>
        <w:spacing w:after="0" w:line="240" w:lineRule="auto"/>
        <w:jc w:val="both"/>
        <w:rPr>
          <w:b/>
          <w:bCs/>
          <w:sz w:val="24"/>
          <w:szCs w:val="24"/>
        </w:rPr>
      </w:pPr>
    </w:p>
    <w:p w14:paraId="0DB589EA" w14:textId="77777777" w:rsidR="00AD25B4" w:rsidRDefault="00945257" w:rsidP="00945257">
      <w:pPr>
        <w:spacing w:after="0" w:line="240" w:lineRule="auto"/>
        <w:jc w:val="both"/>
        <w:rPr>
          <w:b/>
          <w:bCs/>
          <w:sz w:val="24"/>
          <w:szCs w:val="24"/>
        </w:rPr>
      </w:pPr>
      <w:r w:rsidRPr="00186799">
        <w:rPr>
          <w:b/>
          <w:bCs/>
          <w:sz w:val="24"/>
          <w:szCs w:val="24"/>
        </w:rPr>
        <w:t xml:space="preserve">Krótki wyciąg: </w:t>
      </w:r>
    </w:p>
    <w:p w14:paraId="4D8A9559" w14:textId="1F5B5416" w:rsidR="00945257" w:rsidRPr="00186799" w:rsidRDefault="00945257" w:rsidP="00945257">
      <w:pPr>
        <w:spacing w:after="0" w:line="240" w:lineRule="auto"/>
        <w:jc w:val="both"/>
        <w:rPr>
          <w:b/>
          <w:bCs/>
          <w:sz w:val="24"/>
          <w:szCs w:val="24"/>
        </w:rPr>
      </w:pPr>
      <w:r w:rsidRPr="00186799">
        <w:rPr>
          <w:sz w:val="24"/>
          <w:szCs w:val="24"/>
        </w:rPr>
        <w:t>Historia udoskonalonego procesu ekstrakcji sylimaryny - bazowego składnika wielu leków leczących choroby wątroby - z ostropestu plamistego. Dzięki innowacyjnym, prostym rozwiązaniom entuzjastów, udoskonalono metodę jej niezwykle wydajnej ekstrakcji - wzrost wydajności procesu produkcyjnego od 400 do 800 %. Przykład niezwykle ważnej, a niedocenianej innowacji wskazującej na potrzebę uproszczenia i jednocześnie skutecznego usprawnienia systemu uzyskiwania ochrony patentowej.</w:t>
      </w:r>
    </w:p>
    <w:p w14:paraId="43AEF7C9" w14:textId="77777777" w:rsidR="00AD25B4" w:rsidRPr="00027FC3" w:rsidRDefault="00AD25B4" w:rsidP="00AD25B4">
      <w:pPr>
        <w:spacing w:after="0" w:line="240" w:lineRule="auto"/>
        <w:rPr>
          <w:b/>
          <w:bCs/>
          <w:color w:val="2E74B5" w:themeColor="accent5" w:themeShade="BF"/>
          <w:sz w:val="24"/>
          <w:szCs w:val="24"/>
          <w:lang w:val="en-US"/>
        </w:rPr>
      </w:pPr>
      <w:r w:rsidRPr="00027FC3">
        <w:rPr>
          <w:b/>
          <w:bCs/>
          <w:color w:val="2E74B5" w:themeColor="accent5" w:themeShade="BF"/>
          <w:sz w:val="24"/>
          <w:szCs w:val="24"/>
          <w:lang w:val="en-US"/>
        </w:rPr>
        <w:t>A short excerpt:</w:t>
      </w:r>
    </w:p>
    <w:p w14:paraId="0DBB309A" w14:textId="7D983440" w:rsidR="00945257" w:rsidRPr="00027FC3" w:rsidRDefault="00945257" w:rsidP="00945257">
      <w:pPr>
        <w:spacing w:after="0" w:line="240" w:lineRule="auto"/>
        <w:jc w:val="both"/>
        <w:rPr>
          <w:b/>
          <w:bCs/>
          <w:color w:val="2E74B5" w:themeColor="accent5" w:themeShade="BF"/>
          <w:sz w:val="24"/>
          <w:szCs w:val="24"/>
          <w:lang w:val="en-GB"/>
        </w:rPr>
      </w:pPr>
      <w:r w:rsidRPr="00027FC3">
        <w:rPr>
          <w:rFonts w:cstheme="minorHAnsi"/>
          <w:color w:val="2E74B5" w:themeColor="accent5" w:themeShade="BF"/>
          <w:sz w:val="24"/>
          <w:szCs w:val="24"/>
          <w:lang w:val="en-GB"/>
        </w:rPr>
        <w:t xml:space="preserve">History of improved extraction process of the silymarin – the base component of many drugs healing liver diseases </w:t>
      </w:r>
      <w:r w:rsidR="00BD2FF6" w:rsidRPr="00027FC3">
        <w:rPr>
          <w:rFonts w:cstheme="minorHAnsi"/>
          <w:color w:val="2E74B5" w:themeColor="accent5" w:themeShade="BF"/>
          <w:sz w:val="24"/>
          <w:szCs w:val="24"/>
          <w:lang w:val="en-GB"/>
        </w:rPr>
        <w:t>-</w:t>
      </w:r>
      <w:r w:rsidRPr="00027FC3">
        <w:rPr>
          <w:rFonts w:cstheme="minorHAnsi"/>
          <w:color w:val="2E74B5" w:themeColor="accent5" w:themeShade="BF"/>
          <w:sz w:val="24"/>
          <w:szCs w:val="24"/>
          <w:lang w:val="en-GB"/>
        </w:rPr>
        <w:t xml:space="preserve"> </w:t>
      </w:r>
      <w:r w:rsidRPr="00027FC3">
        <w:rPr>
          <w:rFonts w:cstheme="minorHAnsi"/>
          <w:color w:val="2E74B5" w:themeColor="accent5" w:themeShade="BF"/>
          <w:sz w:val="24"/>
          <w:szCs w:val="24"/>
          <w:lang w:val="en-US"/>
        </w:rPr>
        <w:t>from milk thistle</w:t>
      </w:r>
      <w:r w:rsidRPr="00027FC3">
        <w:rPr>
          <w:rFonts w:cstheme="minorHAnsi"/>
          <w:color w:val="2E74B5" w:themeColor="accent5" w:themeShade="BF"/>
          <w:sz w:val="24"/>
          <w:szCs w:val="24"/>
          <w:lang w:val="en-GB"/>
        </w:rPr>
        <w:t>. Thanks to the innovative, simple solutions of enthusiasts, a method has been perfected to extract it extremely efficiently – increase in the efficiency of the production process for 400 to 800 %. An example of an extremely important, yet underestimated innovation indicating the need for simplifying and, at the same time, effectively improving the system of acquiring patent protection.</w:t>
      </w:r>
    </w:p>
    <w:p w14:paraId="2D05AB55" w14:textId="77777777" w:rsidR="00945257" w:rsidRPr="00945257" w:rsidRDefault="00945257" w:rsidP="00B87D77">
      <w:pPr>
        <w:spacing w:after="0" w:line="240" w:lineRule="auto"/>
        <w:jc w:val="center"/>
        <w:rPr>
          <w:rFonts w:cstheme="minorHAnsi"/>
          <w:b/>
          <w:bCs/>
          <w:sz w:val="10"/>
          <w:szCs w:val="10"/>
          <w:lang w:val="en-GB"/>
        </w:rPr>
      </w:pPr>
    </w:p>
    <w:p w14:paraId="55E64C8B" w14:textId="77777777" w:rsidR="00844A71" w:rsidRDefault="00D14D6C" w:rsidP="00D14D6C">
      <w:pPr>
        <w:spacing w:after="0" w:line="240" w:lineRule="auto"/>
        <w:rPr>
          <w:sz w:val="24"/>
          <w:szCs w:val="24"/>
        </w:rPr>
      </w:pPr>
      <w:r w:rsidRPr="00186799">
        <w:rPr>
          <w:b/>
          <w:bCs/>
          <w:sz w:val="24"/>
          <w:szCs w:val="24"/>
        </w:rPr>
        <w:t>Pojęcia kluczowe:</w:t>
      </w:r>
      <w:r w:rsidRPr="00186799">
        <w:rPr>
          <w:sz w:val="24"/>
          <w:szCs w:val="24"/>
        </w:rPr>
        <w:t xml:space="preserve"> </w:t>
      </w:r>
    </w:p>
    <w:p w14:paraId="09DA864C" w14:textId="5C1CBF5D" w:rsidR="00D14D6C" w:rsidRPr="00186799" w:rsidRDefault="00D14D6C" w:rsidP="00D14D6C">
      <w:pPr>
        <w:spacing w:after="0" w:line="240" w:lineRule="auto"/>
        <w:rPr>
          <w:sz w:val="24"/>
          <w:szCs w:val="24"/>
        </w:rPr>
      </w:pPr>
      <w:r w:rsidRPr="00186799">
        <w:rPr>
          <w:sz w:val="24"/>
          <w:szCs w:val="24"/>
        </w:rPr>
        <w:t>WYNALAZCZOŚĆ, WYNALAZKI, OSTROPEST PLAMISTY</w:t>
      </w:r>
    </w:p>
    <w:p w14:paraId="13CE847C" w14:textId="77777777" w:rsidR="00945257" w:rsidRPr="00945257" w:rsidRDefault="00945257" w:rsidP="00D14D6C">
      <w:pPr>
        <w:spacing w:after="0" w:line="240" w:lineRule="auto"/>
        <w:rPr>
          <w:b/>
          <w:bCs/>
          <w:sz w:val="10"/>
          <w:szCs w:val="10"/>
        </w:rPr>
      </w:pPr>
    </w:p>
    <w:p w14:paraId="230BEBEC" w14:textId="77777777" w:rsidR="00844A71" w:rsidRDefault="00D14D6C" w:rsidP="00D14D6C">
      <w:pPr>
        <w:spacing w:after="0" w:line="240" w:lineRule="auto"/>
        <w:rPr>
          <w:sz w:val="24"/>
          <w:szCs w:val="24"/>
        </w:rPr>
      </w:pPr>
      <w:r w:rsidRPr="00186799">
        <w:rPr>
          <w:b/>
          <w:bCs/>
          <w:sz w:val="24"/>
          <w:szCs w:val="24"/>
        </w:rPr>
        <w:t>Miejsce publikacji:</w:t>
      </w:r>
      <w:r w:rsidRPr="00186799">
        <w:rPr>
          <w:sz w:val="24"/>
          <w:szCs w:val="24"/>
        </w:rPr>
        <w:t xml:space="preserve"> </w:t>
      </w:r>
    </w:p>
    <w:p w14:paraId="1F5EB49A" w14:textId="3D3DDAA5" w:rsidR="00D14D6C" w:rsidRPr="00844A71" w:rsidRDefault="00B82931" w:rsidP="00D14D6C">
      <w:pPr>
        <w:spacing w:after="0" w:line="240" w:lineRule="auto"/>
        <w:rPr>
          <w:color w:val="2E74B5" w:themeColor="accent5" w:themeShade="BF"/>
          <w:sz w:val="24"/>
          <w:szCs w:val="24"/>
        </w:rPr>
      </w:pPr>
      <w:hyperlink r:id="rId169" w:history="1">
        <w:r w:rsidR="00844A71" w:rsidRPr="00844A71">
          <w:rPr>
            <w:rStyle w:val="Hipercze"/>
            <w:color w:val="2E74B5" w:themeColor="accent5" w:themeShade="BF"/>
            <w:sz w:val="24"/>
            <w:szCs w:val="24"/>
          </w:rPr>
          <w:t>https://stowi.pl/silimarol/</w:t>
        </w:r>
      </w:hyperlink>
      <w:r w:rsidR="00D14D6C" w:rsidRPr="00844A71">
        <w:rPr>
          <w:color w:val="2E74B5" w:themeColor="accent5" w:themeShade="BF"/>
          <w:sz w:val="24"/>
          <w:szCs w:val="24"/>
        </w:rPr>
        <w:t xml:space="preserve">  </w:t>
      </w:r>
    </w:p>
    <w:p w14:paraId="7849F9A3" w14:textId="222C9355" w:rsidR="00B87D77" w:rsidRPr="00945257" w:rsidRDefault="00B87D77">
      <w:pPr>
        <w:rPr>
          <w:rFonts w:cstheme="minorHAnsi"/>
        </w:rPr>
      </w:pPr>
      <w:bookmarkStart w:id="141" w:name="_Hlk169709511"/>
    </w:p>
    <w:p w14:paraId="0091D991" w14:textId="77777777" w:rsidR="0082700E" w:rsidRDefault="0082700E" w:rsidP="00483E8F">
      <w:pPr>
        <w:spacing w:after="0" w:line="240" w:lineRule="auto"/>
        <w:jc w:val="both"/>
        <w:rPr>
          <w:rFonts w:cstheme="minorHAnsi"/>
          <w:color w:val="4472C4" w:themeColor="accent1"/>
          <w:sz w:val="24"/>
          <w:szCs w:val="24"/>
        </w:rPr>
      </w:pPr>
      <w:bookmarkStart w:id="142" w:name="_Hlk161417459"/>
      <w:bookmarkEnd w:id="141"/>
    </w:p>
    <w:bookmarkEnd w:id="142"/>
    <w:p w14:paraId="7DE8A7CB" w14:textId="6460F40D" w:rsidR="003C32B3" w:rsidRPr="00EC4F25" w:rsidRDefault="003C32B3">
      <w:pPr>
        <w:rPr>
          <w:rFonts w:cstheme="minorHAnsi"/>
        </w:rPr>
      </w:pPr>
    </w:p>
    <w:p w14:paraId="1B2F81F0" w14:textId="03933481" w:rsidR="002C746C" w:rsidRPr="00004768" w:rsidRDefault="00004768" w:rsidP="002C746C">
      <w:pPr>
        <w:spacing w:after="0"/>
        <w:rPr>
          <w:rStyle w:val="Nagwek2Znak"/>
        </w:rPr>
      </w:pPr>
      <w:r w:rsidRPr="00D3595F">
        <w:rPr>
          <w:rStyle w:val="Nagwek2Znak"/>
          <w:sz w:val="38"/>
          <w:szCs w:val="38"/>
        </w:rPr>
        <w:lastRenderedPageBreak/>
        <w:br/>
      </w:r>
      <w:r w:rsidR="002C746C" w:rsidRPr="00004768">
        <w:rPr>
          <w:rStyle w:val="Nagwek2Znak"/>
          <w:noProof/>
          <w:lang w:eastAsia="pl-PL"/>
        </w:rPr>
        <w:drawing>
          <wp:anchor distT="0" distB="0" distL="114300" distR="114300" simplePos="0" relativeHeight="252014592" behindDoc="0" locked="0" layoutInCell="1" allowOverlap="1" wp14:anchorId="52E6886F" wp14:editId="44B54895">
            <wp:simplePos x="0" y="0"/>
            <wp:positionH relativeFrom="column">
              <wp:posOffset>9525</wp:posOffset>
            </wp:positionH>
            <wp:positionV relativeFrom="paragraph">
              <wp:posOffset>0</wp:posOffset>
            </wp:positionV>
            <wp:extent cx="1980000" cy="1080000"/>
            <wp:effectExtent l="0" t="0" r="1270" b="6350"/>
            <wp:wrapThrough wrapText="bothSides">
              <wp:wrapPolygon edited="0">
                <wp:start x="0" y="0"/>
                <wp:lineTo x="0" y="21346"/>
                <wp:lineTo x="21406" y="21346"/>
                <wp:lineTo x="21406" y="0"/>
                <wp:lineTo x="0" y="0"/>
              </wp:wrapPolygon>
            </wp:wrapThrough>
            <wp:docPr id="1007999291" name="Obraz 13" descr="Obraz zawierający tekst, pismo odręczne, ściana, cegła&#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7999291" name="Obraz 13" descr="Obraz zawierający tekst, pismo odręczne, ściana, cegła&#10;&#10;Opis wygenerowany automatyczni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746C" w:rsidRPr="00004768">
        <w:rPr>
          <w:rStyle w:val="Nagwek2Znak"/>
          <w:noProof/>
          <w:lang w:eastAsia="pl-PL"/>
        </w:rPr>
        <mc:AlternateContent>
          <mc:Choice Requires="wps">
            <w:drawing>
              <wp:anchor distT="0" distB="0" distL="114300" distR="114300" simplePos="0" relativeHeight="252013568" behindDoc="0" locked="0" layoutInCell="1" allowOverlap="1" wp14:anchorId="3ADAE4B6" wp14:editId="72C06C3A">
                <wp:simplePos x="0" y="0"/>
                <wp:positionH relativeFrom="margin">
                  <wp:posOffset>-97862</wp:posOffset>
                </wp:positionH>
                <wp:positionV relativeFrom="paragraph">
                  <wp:posOffset>-381472</wp:posOffset>
                </wp:positionV>
                <wp:extent cx="572111" cy="372745"/>
                <wp:effectExtent l="0" t="0" r="0" b="8255"/>
                <wp:wrapNone/>
                <wp:docPr id="446264029" name="Pole tekstowe 1"/>
                <wp:cNvGraphicFramePr/>
                <a:graphic xmlns:a="http://schemas.openxmlformats.org/drawingml/2006/main">
                  <a:graphicData uri="http://schemas.microsoft.com/office/word/2010/wordprocessingShape">
                    <wps:wsp>
                      <wps:cNvSpPr txBox="1"/>
                      <wps:spPr>
                        <a:xfrm>
                          <a:off x="0" y="0"/>
                          <a:ext cx="572111" cy="372745"/>
                        </a:xfrm>
                        <a:prstGeom prst="rect">
                          <a:avLst/>
                        </a:prstGeom>
                        <a:solidFill>
                          <a:schemeClr val="lt1"/>
                        </a:solidFill>
                        <a:ln w="6350">
                          <a:noFill/>
                        </a:ln>
                      </wps:spPr>
                      <wps:txbx>
                        <w:txbxContent>
                          <w:p w14:paraId="3BE6A53C" w14:textId="4B6806DD" w:rsidR="00541DD6" w:rsidRPr="00142068" w:rsidRDefault="00C62E9E" w:rsidP="00994071">
                            <w:pPr>
                              <w:pStyle w:val="NumeracjaRozdzial"/>
                            </w:pPr>
                            <w:r>
                              <w:t>4</w:t>
                            </w:r>
                            <w:r w:rsidR="00541DD6" w:rsidRPr="00142068">
                              <w:t>.</w:t>
                            </w:r>
                          </w:p>
                          <w:p w14:paraId="1A5DD0CE" w14:textId="77777777" w:rsidR="00541DD6" w:rsidRDefault="00541DD6" w:rsidP="002C74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AE4B6" id="_x0000_s1047" type="#_x0000_t202" style="position:absolute;margin-left:-7.7pt;margin-top:-30.05pt;width:45.05pt;height:29.3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" fillcolor="white [3201]" stroked="f" strokeweight=".5pt">
                <v:textbox>
                  <w:txbxContent>
                    <w:p w14:paraId="3BE6A53C" w14:textId="4B6806DD" w:rsidR="00541DD6" w:rsidRPr="00142068" w:rsidRDefault="00C62E9E" w:rsidP="00994071">
                      <w:pPr>
                        <w:pStyle w:val="NumeracjaRozdzial"/>
                      </w:pPr>
                      <w:r>
                        <w:t>4</w:t>
                      </w:r>
                      <w:r w:rsidR="00541DD6" w:rsidRPr="00142068">
                        <w:t>.</w:t>
                      </w:r>
                    </w:p>
                    <w:p w14:paraId="1A5DD0CE" w14:textId="77777777" w:rsidR="00541DD6" w:rsidRDefault="00541DD6" w:rsidP="002C746C"/>
                  </w:txbxContent>
                </v:textbox>
                <w10:wrap anchorx="margin"/>
              </v:shape>
            </w:pict>
          </mc:Fallback>
        </mc:AlternateContent>
      </w:r>
      <w:bookmarkStart w:id="143" w:name="_Toc165709459"/>
      <w:bookmarkStart w:id="144" w:name="_Toc170117992"/>
      <w:r w:rsidR="002C746C" w:rsidRPr="00004768">
        <w:rPr>
          <w:rStyle w:val="Nagwek2Znak"/>
        </w:rPr>
        <w:t>Odpowiedzialność osoby, z usług której k</w:t>
      </w:r>
      <w:r w:rsidR="00483E8F" w:rsidRPr="00004768">
        <w:rPr>
          <w:rStyle w:val="Nagwek2Znak"/>
        </w:rPr>
        <w:t>orzystano przy naruszaniu prawa</w:t>
      </w:r>
      <w:bookmarkEnd w:id="143"/>
      <w:bookmarkEnd w:id="144"/>
    </w:p>
    <w:p w14:paraId="6982042A" w14:textId="3D30A25B" w:rsidR="002C746C" w:rsidRPr="00EC4F25" w:rsidRDefault="002C746C" w:rsidP="007F1A13">
      <w:pPr>
        <w:spacing w:after="0" w:line="240" w:lineRule="auto"/>
        <w:jc w:val="center"/>
      </w:pPr>
    </w:p>
    <w:p w14:paraId="0CAB8CF8" w14:textId="0D8EC7EF" w:rsidR="007F1A13" w:rsidRPr="00EC4F25" w:rsidRDefault="007F1A13" w:rsidP="007F1A13">
      <w:pPr>
        <w:spacing w:after="0" w:line="240" w:lineRule="auto"/>
        <w:jc w:val="center"/>
      </w:pPr>
    </w:p>
    <w:p w14:paraId="7270CCCF" w14:textId="29F44F90" w:rsidR="007F1A13" w:rsidRDefault="007F1A13" w:rsidP="007F1A13">
      <w:pPr>
        <w:spacing w:after="0" w:line="240" w:lineRule="auto"/>
      </w:pPr>
    </w:p>
    <w:p w14:paraId="5CC039E5" w14:textId="090376F2" w:rsidR="00483E8F" w:rsidRPr="00004768" w:rsidRDefault="00483E8F" w:rsidP="007F1A13">
      <w:pPr>
        <w:spacing w:after="0" w:line="240" w:lineRule="auto"/>
        <w:rPr>
          <w:sz w:val="16"/>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86"/>
      </w:tblGrid>
      <w:tr w:rsidR="00943200" w:rsidRPr="006A1234" w14:paraId="32F1F700" w14:textId="77777777" w:rsidTr="005027DA">
        <w:tc>
          <w:tcPr>
            <w:tcW w:w="1276" w:type="dxa"/>
          </w:tcPr>
          <w:p w14:paraId="10D21C1D" w14:textId="77777777" w:rsidR="00943200" w:rsidRPr="00EC4F25" w:rsidRDefault="00943200" w:rsidP="005027DA">
            <w:pPr>
              <w:rPr>
                <w:rFonts w:cstheme="minorHAnsi"/>
                <w:b/>
                <w:bCs/>
                <w:noProof/>
                <w:sz w:val="18"/>
                <w:szCs w:val="18"/>
              </w:rPr>
            </w:pPr>
          </w:p>
        </w:tc>
        <w:tc>
          <w:tcPr>
            <w:tcW w:w="7786" w:type="dxa"/>
          </w:tcPr>
          <w:p w14:paraId="678D4DE3" w14:textId="031E4339" w:rsidR="00943200" w:rsidRPr="006A1234" w:rsidRDefault="00943200" w:rsidP="005027DA">
            <w:pPr>
              <w:rPr>
                <w:rFonts w:asciiTheme="minorHAnsi" w:hAnsiTheme="minorHAnsi" w:cstheme="minorHAnsi"/>
                <w:b/>
                <w:bCs/>
                <w:color w:val="000000"/>
                <w:sz w:val="22"/>
                <w:szCs w:val="22"/>
              </w:rPr>
            </w:pPr>
            <w:r>
              <w:rPr>
                <w:rFonts w:asciiTheme="minorHAnsi" w:hAnsiTheme="minorHAnsi" w:cstheme="minorHAnsi"/>
                <w:b/>
                <w:bCs/>
                <w:color w:val="000000"/>
                <w:sz w:val="22"/>
                <w:szCs w:val="22"/>
              </w:rPr>
              <w:t>AUTOR:</w:t>
            </w:r>
          </w:p>
        </w:tc>
      </w:tr>
      <w:tr w:rsidR="00943200" w:rsidRPr="006A1234" w14:paraId="405558B7" w14:textId="77777777" w:rsidTr="005027DA">
        <w:tc>
          <w:tcPr>
            <w:tcW w:w="1276" w:type="dxa"/>
          </w:tcPr>
          <w:p w14:paraId="079D864F" w14:textId="77777777" w:rsidR="00943200" w:rsidRPr="004B308F" w:rsidRDefault="00943200" w:rsidP="005027DA">
            <w:pPr>
              <w:tabs>
                <w:tab w:val="left" w:pos="2261"/>
              </w:tabs>
              <w:rPr>
                <w:noProof/>
                <w:sz w:val="6"/>
                <w:szCs w:val="6"/>
              </w:rPr>
            </w:pPr>
          </w:p>
          <w:p w14:paraId="413626DE" w14:textId="083A3E3E" w:rsidR="00943200" w:rsidRDefault="00943200" w:rsidP="005027DA">
            <w:pPr>
              <w:tabs>
                <w:tab w:val="left" w:pos="2261"/>
              </w:tabs>
              <w:rPr>
                <w:rFonts w:cstheme="minorHAnsi"/>
                <w:b/>
                <w:bCs/>
                <w:color w:val="000000"/>
                <w:sz w:val="26"/>
                <w:szCs w:val="26"/>
              </w:rPr>
            </w:pPr>
            <w:r>
              <w:rPr>
                <w:noProof/>
              </w:rPr>
              <w:drawing>
                <wp:inline distT="0" distB="0" distL="0" distR="0" wp14:anchorId="3D72759D" wp14:editId="6B16DE80">
                  <wp:extent cx="662400" cy="900000"/>
                  <wp:effectExtent l="0" t="0" r="4445" b="0"/>
                  <wp:docPr id="1992372391" name="Obraz 8" descr="Obraz zawierający człowiek, osoba, regał na książki,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4120" name="Obraz 8" descr="Obraz zawierający człowiek, osoba, regał na książki, ubrani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7786" w:type="dxa"/>
          </w:tcPr>
          <w:p w14:paraId="557DE5E5" w14:textId="7A2E1F3D" w:rsidR="00943200" w:rsidRDefault="00943200" w:rsidP="005027DA">
            <w:pPr>
              <w:rPr>
                <w:rFonts w:asciiTheme="minorHAnsi" w:hAnsiTheme="minorHAnsi" w:cstheme="minorHAnsi"/>
                <w:bCs/>
                <w:color w:val="000000"/>
                <w:sz w:val="22"/>
                <w:szCs w:val="22"/>
              </w:rPr>
            </w:pPr>
            <w:r>
              <w:rPr>
                <w:rFonts w:asciiTheme="minorHAnsi" w:hAnsiTheme="minorHAnsi" w:cstheme="minorHAnsi"/>
                <w:bCs/>
                <w:color w:val="000000"/>
                <w:sz w:val="22"/>
                <w:szCs w:val="22"/>
              </w:rPr>
              <w:t>Marek BESLER</w:t>
            </w:r>
          </w:p>
          <w:p w14:paraId="43D4501E" w14:textId="77777777" w:rsidR="00844A71" w:rsidRPr="00FB5369" w:rsidRDefault="00844A71" w:rsidP="00844A71">
            <w:pPr>
              <w:pStyle w:val="Akapitzlist"/>
              <w:numPr>
                <w:ilvl w:val="0"/>
                <w:numId w:val="47"/>
              </w:numPr>
              <w:ind w:left="320" w:hanging="334"/>
              <w:rPr>
                <w:rFonts w:eastAsia="Times New Roman" w:cstheme="minorHAnsi"/>
                <w:bCs/>
                <w:color w:val="000000"/>
                <w:sz w:val="24"/>
                <w:szCs w:val="24"/>
              </w:rPr>
            </w:pPr>
            <w:r w:rsidRPr="00FB5369">
              <w:rPr>
                <w:rFonts w:eastAsia="Times New Roman" w:cstheme="minorHAnsi"/>
                <w:bCs/>
                <w:color w:val="000000"/>
                <w:sz w:val="22"/>
                <w:szCs w:val="22"/>
              </w:rPr>
              <w:t>współorzekający w Komisji Odwoławczej przy Urzędzie Patentowym w sprawach własności przemysłowej, składom której przewodniczyli sędziowie Sądu Najwyższego, w latach 1979 -2001</w:t>
            </w:r>
          </w:p>
          <w:p w14:paraId="0A54F0E4" w14:textId="1B106927" w:rsidR="00943200" w:rsidRPr="007A6BB7" w:rsidRDefault="00943200" w:rsidP="001F6BE3">
            <w:pPr>
              <w:pStyle w:val="Akapitzlist"/>
              <w:numPr>
                <w:ilvl w:val="0"/>
                <w:numId w:val="47"/>
              </w:numPr>
              <w:ind w:left="313" w:hanging="334"/>
              <w:rPr>
                <w:rFonts w:eastAsia="Times New Roman" w:cstheme="minorHAnsi"/>
                <w:bCs/>
                <w:color w:val="000000"/>
              </w:rPr>
            </w:pPr>
            <w:r w:rsidRPr="009265CF">
              <w:rPr>
                <w:rFonts w:eastAsia="Times New Roman" w:cstheme="minorHAnsi"/>
                <w:bCs/>
                <w:color w:val="000000"/>
              </w:rPr>
              <w:t>rzecznik patentowy nr 1571</w:t>
            </w:r>
          </w:p>
          <w:p w14:paraId="77AA00E3" w14:textId="77777777" w:rsidR="00943200" w:rsidRPr="007A6BB7" w:rsidRDefault="00943200" w:rsidP="001F6BE3">
            <w:pPr>
              <w:pStyle w:val="Akapitzlist"/>
              <w:numPr>
                <w:ilvl w:val="0"/>
                <w:numId w:val="47"/>
              </w:numPr>
              <w:ind w:left="313" w:hanging="334"/>
              <w:rPr>
                <w:rFonts w:eastAsia="Times New Roman" w:cstheme="minorHAnsi"/>
                <w:bCs/>
                <w:color w:val="000000"/>
              </w:rPr>
            </w:pPr>
            <w:r w:rsidRPr="009265CF">
              <w:rPr>
                <w:rFonts w:eastAsia="Times New Roman" w:cstheme="minorHAnsi"/>
                <w:bCs/>
                <w:color w:val="000000"/>
              </w:rPr>
              <w:t>profesjonalny pełnomocnik przed EUIPO (</w:t>
            </w:r>
            <w:r w:rsidRPr="00D01A42">
              <w:rPr>
                <w:rFonts w:eastAsia="Times New Roman" w:cstheme="minorHAnsi"/>
                <w:bCs/>
                <w:i/>
                <w:color w:val="000000"/>
              </w:rPr>
              <w:t>European Union Intellectual Property Office</w:t>
            </w:r>
            <w:r w:rsidRPr="009265CF">
              <w:rPr>
                <w:rFonts w:eastAsia="Times New Roman" w:cstheme="minorHAnsi"/>
                <w:bCs/>
                <w:color w:val="000000"/>
              </w:rPr>
              <w:t xml:space="preserve"> – Urząd Unii Europejskiej ds. Własności Intelektualnej), nr 27177</w:t>
            </w:r>
          </w:p>
          <w:p w14:paraId="4FF10F28" w14:textId="77777777" w:rsidR="00943200" w:rsidRPr="009265CF" w:rsidRDefault="00943200" w:rsidP="001F6BE3">
            <w:pPr>
              <w:pStyle w:val="Akapitzlist"/>
              <w:numPr>
                <w:ilvl w:val="0"/>
                <w:numId w:val="47"/>
              </w:numPr>
              <w:ind w:left="313" w:hanging="334"/>
              <w:rPr>
                <w:rFonts w:eastAsia="Times New Roman" w:cstheme="minorHAnsi"/>
                <w:bCs/>
                <w:color w:val="000000"/>
              </w:rPr>
            </w:pPr>
            <w:r w:rsidRPr="009265CF">
              <w:rPr>
                <w:rFonts w:eastAsia="Times New Roman" w:cstheme="minorHAnsi"/>
                <w:bCs/>
                <w:color w:val="000000"/>
              </w:rPr>
              <w:t>Europejski Rzecznik Patentowy nr 138820</w:t>
            </w:r>
          </w:p>
          <w:p w14:paraId="6DDF53C3" w14:textId="77777777" w:rsidR="00943200" w:rsidRDefault="00943200" w:rsidP="001F6BE3">
            <w:pPr>
              <w:pStyle w:val="Akapitzlist"/>
              <w:numPr>
                <w:ilvl w:val="0"/>
                <w:numId w:val="47"/>
              </w:numPr>
              <w:ind w:left="313" w:hanging="334"/>
              <w:rPr>
                <w:rFonts w:eastAsia="Times New Roman" w:cstheme="minorHAnsi"/>
                <w:bCs/>
                <w:color w:val="000000"/>
              </w:rPr>
            </w:pPr>
            <w:r w:rsidRPr="009265CF">
              <w:rPr>
                <w:rFonts w:eastAsia="Times New Roman" w:cstheme="minorHAnsi"/>
                <w:bCs/>
                <w:color w:val="000000"/>
              </w:rPr>
              <w:t>Prezes Polskiej Izby Rzeczników Patentowych w latach 2002-2005</w:t>
            </w:r>
          </w:p>
          <w:p w14:paraId="2B9D3EB3" w14:textId="77777777" w:rsidR="00943200" w:rsidRDefault="00943200" w:rsidP="001F6BE3">
            <w:pPr>
              <w:pStyle w:val="Akapitzlist"/>
              <w:numPr>
                <w:ilvl w:val="0"/>
                <w:numId w:val="47"/>
              </w:numPr>
              <w:ind w:left="313" w:hanging="334"/>
              <w:rPr>
                <w:rFonts w:eastAsia="Times New Roman" w:cstheme="minorHAnsi"/>
                <w:bCs/>
                <w:color w:val="000000"/>
              </w:rPr>
            </w:pPr>
            <w:r>
              <w:rPr>
                <w:rFonts w:eastAsia="Times New Roman" w:cstheme="minorHAnsi"/>
                <w:bCs/>
                <w:color w:val="000000"/>
              </w:rPr>
              <w:t>Wiceprezes Zarządu StoWI od 2023 r.</w:t>
            </w:r>
          </w:p>
          <w:p w14:paraId="4A7B315E" w14:textId="738DB979" w:rsidR="00943200" w:rsidRDefault="00943200" w:rsidP="001F6BE3">
            <w:pPr>
              <w:pStyle w:val="Akapitzlist"/>
              <w:numPr>
                <w:ilvl w:val="0"/>
                <w:numId w:val="47"/>
              </w:numPr>
              <w:ind w:left="313" w:hanging="334"/>
              <w:rPr>
                <w:rFonts w:eastAsia="Times New Roman" w:cstheme="minorHAnsi"/>
                <w:bCs/>
                <w:color w:val="000000"/>
              </w:rPr>
            </w:pPr>
            <w:r>
              <w:rPr>
                <w:rFonts w:eastAsia="Times New Roman" w:cstheme="minorHAnsi"/>
                <w:bCs/>
                <w:color w:val="000000"/>
              </w:rPr>
              <w:t>Redaktor naczelny Kwartalnika „THINK-TANK WSZY</w:t>
            </w:r>
            <w:r w:rsidR="00670256">
              <w:rPr>
                <w:rFonts w:eastAsia="Times New Roman" w:cstheme="minorHAnsi"/>
                <w:bCs/>
                <w:color w:val="000000"/>
              </w:rPr>
              <w:t>S</w:t>
            </w:r>
            <w:r>
              <w:rPr>
                <w:rFonts w:eastAsia="Times New Roman" w:cstheme="minorHAnsi"/>
                <w:bCs/>
                <w:color w:val="000000"/>
              </w:rPr>
              <w:t>TKO o IP w PL” od listopada 2023 r.</w:t>
            </w:r>
          </w:p>
          <w:p w14:paraId="3995BBE0" w14:textId="77777777" w:rsidR="00943200" w:rsidRPr="006A1234" w:rsidRDefault="00943200" w:rsidP="005027DA">
            <w:pPr>
              <w:pStyle w:val="Akapitzlist"/>
              <w:ind w:left="669"/>
              <w:rPr>
                <w:rFonts w:ascii="Times New Roman" w:eastAsia="Times New Roman" w:hAnsi="Times New Roman" w:cstheme="minorHAnsi"/>
                <w:b/>
                <w:bCs/>
                <w:color w:val="000000"/>
                <w:sz w:val="26"/>
                <w:szCs w:val="26"/>
              </w:rPr>
            </w:pPr>
          </w:p>
        </w:tc>
      </w:tr>
    </w:tbl>
    <w:p w14:paraId="69232F06" w14:textId="77777777" w:rsidR="007F1A13" w:rsidRPr="00EC4F25" w:rsidRDefault="007F1A13" w:rsidP="007F1A13">
      <w:pPr>
        <w:spacing w:after="0" w:line="240" w:lineRule="auto"/>
      </w:pPr>
    </w:p>
    <w:p w14:paraId="3AD6AEF9" w14:textId="7886405F" w:rsidR="002337B1" w:rsidRDefault="002337B1" w:rsidP="002337B1">
      <w:pPr>
        <w:spacing w:after="0" w:line="240" w:lineRule="auto"/>
        <w:jc w:val="center"/>
        <w:rPr>
          <w:rFonts w:cstheme="minorHAnsi"/>
          <w:sz w:val="24"/>
          <w:szCs w:val="24"/>
        </w:rPr>
      </w:pPr>
      <w:r>
        <w:rPr>
          <w:rFonts w:cstheme="minorHAnsi"/>
          <w:sz w:val="24"/>
          <w:szCs w:val="24"/>
        </w:rPr>
        <w:t>* * *</w:t>
      </w:r>
    </w:p>
    <w:p w14:paraId="05CFE3BB" w14:textId="2C6F09C6" w:rsidR="007F1A13" w:rsidRPr="00186799" w:rsidRDefault="007F1A13" w:rsidP="007F1A13">
      <w:pPr>
        <w:spacing w:after="0" w:line="240" w:lineRule="auto"/>
        <w:jc w:val="right"/>
        <w:rPr>
          <w:rFonts w:cstheme="minorHAnsi"/>
          <w:sz w:val="24"/>
          <w:szCs w:val="24"/>
        </w:rPr>
      </w:pPr>
      <w:r w:rsidRPr="00186799">
        <w:rPr>
          <w:rFonts w:cstheme="minorHAnsi"/>
          <w:sz w:val="24"/>
          <w:szCs w:val="24"/>
        </w:rPr>
        <w:t>Poznań, 29 listopada 2019 r.</w:t>
      </w:r>
    </w:p>
    <w:p w14:paraId="13603BA7" w14:textId="77777777" w:rsidR="007F1A13" w:rsidRPr="00186799" w:rsidRDefault="007F1A13" w:rsidP="007F1A13">
      <w:pPr>
        <w:spacing w:after="0" w:line="240" w:lineRule="auto"/>
        <w:jc w:val="right"/>
        <w:rPr>
          <w:rFonts w:cstheme="minorHAnsi"/>
          <w:b/>
          <w:bCs/>
          <w:sz w:val="24"/>
          <w:szCs w:val="24"/>
        </w:rPr>
      </w:pPr>
    </w:p>
    <w:p w14:paraId="6DDD2A6A" w14:textId="77777777" w:rsidR="007F1A13" w:rsidRPr="00186799" w:rsidRDefault="007F1A13" w:rsidP="007F1A13">
      <w:pPr>
        <w:spacing w:after="0" w:line="240" w:lineRule="auto"/>
        <w:jc w:val="center"/>
        <w:rPr>
          <w:rFonts w:cstheme="minorHAnsi"/>
          <w:b/>
          <w:bCs/>
          <w:sz w:val="24"/>
          <w:szCs w:val="24"/>
        </w:rPr>
      </w:pPr>
      <w:r w:rsidRPr="00186799">
        <w:rPr>
          <w:rFonts w:cstheme="minorHAnsi"/>
          <w:b/>
          <w:bCs/>
          <w:sz w:val="24"/>
          <w:szCs w:val="24"/>
        </w:rPr>
        <w:t>Odpowiedzialność osoby, z usług której korzystano przy naruszeniu prawa ochronnego na znak towarowy, w ustawie Prawo własności przemysłowej.</w:t>
      </w:r>
    </w:p>
    <w:p w14:paraId="58B11FEA" w14:textId="77777777" w:rsidR="007F1A13" w:rsidRPr="00186799" w:rsidRDefault="007F1A13" w:rsidP="007F1A13">
      <w:pPr>
        <w:spacing w:after="0" w:line="240" w:lineRule="auto"/>
        <w:jc w:val="center"/>
        <w:rPr>
          <w:rFonts w:cstheme="minorHAnsi"/>
          <w:sz w:val="24"/>
          <w:szCs w:val="24"/>
        </w:rPr>
      </w:pPr>
    </w:p>
    <w:p w14:paraId="1F4A0887"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Ustawą z dnia 20 lutego 2019 r. o zmianie ustawy - Prawo własności przemysłowej (Dz. U. poz. 501), którą dalej określać będę jako „</w:t>
      </w:r>
      <w:r w:rsidR="007F1A13" w:rsidRPr="00D334F0">
        <w:rPr>
          <w:rFonts w:cstheme="minorHAnsi"/>
          <w:i/>
          <w:iCs/>
          <w:sz w:val="24"/>
          <w:szCs w:val="24"/>
        </w:rPr>
        <w:t>ustawę nowelizującą</w:t>
      </w:r>
      <w:r w:rsidR="007F1A13" w:rsidRPr="00D334F0">
        <w:rPr>
          <w:rFonts w:cstheme="minorHAnsi"/>
          <w:sz w:val="24"/>
          <w:szCs w:val="24"/>
        </w:rPr>
        <w:t>”, została wprowadzona do naszego systemu prawnego regulacja przyznająca podmiotowi uprawnionemu, którego prawo ochronne na znak towarowy zostało naruszone, możliwość skierowania wszystkich roszczeń, które przysługują mu wobec naruszyciela, również względem osób, z usług których korzystano przy naruszeniu prawa ochronnego. Nowa regulacja weszła w życie z dniem 16 marca 2019 r. (art. 6 ustawy nowelizującej).</w:t>
      </w:r>
    </w:p>
    <w:p w14:paraId="0F2507EF" w14:textId="77777777" w:rsidR="00D334F0" w:rsidRPr="0082700E" w:rsidRDefault="00D334F0" w:rsidP="00D334F0">
      <w:pPr>
        <w:pStyle w:val="Akapitzlist"/>
        <w:tabs>
          <w:tab w:val="left" w:pos="567"/>
        </w:tabs>
        <w:ind w:left="0"/>
        <w:jc w:val="both"/>
        <w:rPr>
          <w:rFonts w:cstheme="minorHAnsi"/>
          <w:sz w:val="10"/>
          <w:szCs w:val="10"/>
        </w:rPr>
      </w:pPr>
    </w:p>
    <w:p w14:paraId="6418F4B0"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 xml:space="preserve">Zgodnie z nowym brzmieniem art. 296 ust. 3 ustawy Prawo własności przemysłowej (dalej określanej jako </w:t>
      </w:r>
      <w:r w:rsidR="007F1A13" w:rsidRPr="00D334F0">
        <w:rPr>
          <w:rFonts w:cstheme="minorHAnsi"/>
          <w:i/>
          <w:iCs/>
          <w:sz w:val="24"/>
          <w:szCs w:val="24"/>
        </w:rPr>
        <w:t>„p.w.p.</w:t>
      </w:r>
      <w:r w:rsidR="007F1A13" w:rsidRPr="00D334F0">
        <w:rPr>
          <w:rFonts w:cstheme="minorHAnsi"/>
          <w:sz w:val="24"/>
          <w:szCs w:val="24"/>
        </w:rPr>
        <w:t xml:space="preserve">”) - „Z roszczeniami, o których mowa w ust. 1, można wystąpić również przeciwko osobie, która tylko wprowadza do obrotu oznaczone już znakiem towarowym towary, jeżeli nie pochodzą one od uprawnionego albo osoby, która miała jego zezwolenie na używanie znaku towarowego, </w:t>
      </w:r>
      <w:r w:rsidR="007F1A13" w:rsidRPr="00D334F0">
        <w:rPr>
          <w:rFonts w:cstheme="minorHAnsi"/>
          <w:i/>
          <w:iCs/>
          <w:sz w:val="24"/>
          <w:szCs w:val="24"/>
        </w:rPr>
        <w:t>jak również przeciwko osobie, z usług której korzystano przy naruszeniu prawa ochronnego na znak towarowy. Przepisu nie stosuje się do osoby, której odpowiedzialność jest wyłączona na podstawie art. 12-15 ustawy z dnia 18 lipca 2002 r. o świadczeniu usług drogą elektroniczną.”</w:t>
      </w:r>
      <w:r w:rsidR="007F1A13" w:rsidRPr="00D334F0">
        <w:rPr>
          <w:rFonts w:cstheme="minorHAnsi"/>
          <w:sz w:val="24"/>
          <w:szCs w:val="24"/>
        </w:rPr>
        <w:t xml:space="preserve"> (nową treść uzupełniającą dotychczasowe brzmienie znowelizowanego przepisu zaznaczyłem kursywą).</w:t>
      </w:r>
    </w:p>
    <w:p w14:paraId="2C6FEA84" w14:textId="77777777" w:rsidR="00D334F0" w:rsidRPr="0082700E" w:rsidRDefault="00D334F0" w:rsidP="00D334F0">
      <w:pPr>
        <w:pStyle w:val="Akapitzlist"/>
        <w:rPr>
          <w:rFonts w:cstheme="minorHAnsi"/>
          <w:sz w:val="10"/>
          <w:szCs w:val="10"/>
        </w:rPr>
      </w:pPr>
    </w:p>
    <w:p w14:paraId="2714B6DB" w14:textId="2467A028" w:rsidR="007F1A13" w:rsidRP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Cel nowej regulacji został wskazany w uzasadnieniu rządowego projektu ustawy (druk nr 3107 Sejmu RP VIII kadencji) na str. 13:</w:t>
      </w:r>
    </w:p>
    <w:p w14:paraId="60B7B70A" w14:textId="77777777" w:rsidR="007F1A13" w:rsidRPr="002337B1" w:rsidRDefault="007F1A13" w:rsidP="007F1A13">
      <w:pPr>
        <w:spacing w:after="0" w:line="240" w:lineRule="auto"/>
        <w:ind w:firstLine="567"/>
        <w:jc w:val="both"/>
        <w:rPr>
          <w:rFonts w:cstheme="minorHAnsi"/>
          <w:sz w:val="10"/>
          <w:szCs w:val="10"/>
        </w:rPr>
      </w:pPr>
    </w:p>
    <w:p w14:paraId="02F5DF6A" w14:textId="77777777" w:rsidR="007F1A13" w:rsidRPr="00186799" w:rsidRDefault="007F1A13" w:rsidP="002337B1">
      <w:pPr>
        <w:spacing w:after="0" w:line="240" w:lineRule="auto"/>
        <w:ind w:left="567"/>
        <w:jc w:val="both"/>
        <w:rPr>
          <w:rFonts w:cstheme="minorHAnsi"/>
          <w:i/>
          <w:iCs/>
          <w:sz w:val="24"/>
          <w:szCs w:val="24"/>
        </w:rPr>
      </w:pPr>
      <w:r w:rsidRPr="00186799">
        <w:rPr>
          <w:rFonts w:cstheme="minorHAnsi"/>
          <w:i/>
          <w:iCs/>
          <w:sz w:val="24"/>
          <w:szCs w:val="24"/>
        </w:rPr>
        <w:t>„Nowelizacja art. 296 ust. 3 p.w.p. wynika z potrzeby uwzględnienia w polskim porządku prawnym wyroku Trybunału z dnia 7 lipca 2016 r. w sprawie C-494/15 (EU:</w:t>
      </w:r>
      <w:proofErr w:type="gramStart"/>
      <w:r w:rsidRPr="00186799">
        <w:rPr>
          <w:rFonts w:cstheme="minorHAnsi"/>
          <w:i/>
          <w:iCs/>
          <w:sz w:val="24"/>
          <w:szCs w:val="24"/>
        </w:rPr>
        <w:t>C:2016:528</w:t>
      </w:r>
      <w:proofErr w:type="gramEnd"/>
      <w:r w:rsidRPr="00186799">
        <w:rPr>
          <w:rFonts w:cstheme="minorHAnsi"/>
          <w:i/>
          <w:iCs/>
          <w:sz w:val="24"/>
          <w:szCs w:val="24"/>
        </w:rPr>
        <w:t xml:space="preserve">). </w:t>
      </w:r>
      <w:r w:rsidRPr="00186799">
        <w:rPr>
          <w:rFonts w:cstheme="minorHAnsi"/>
          <w:i/>
          <w:iCs/>
          <w:sz w:val="24"/>
          <w:szCs w:val="24"/>
        </w:rPr>
        <w:lastRenderedPageBreak/>
        <w:t>W wyroku tym stwierdzono, że art. 11 zdanie 3 Dyrektywy 2004/48/WE należy interpretować w ten sposób, że zakresem pojęcia pośrednika, z usług którego korzysta osoba trzecia do naruszenia prawa własności intelektualnej, objęty jest m. in. dzierżawca hal targowych, który poddzierżawia usytuowane w tych halach stanowiska handlowe indywidualnym podmiotom handlującym, spośród których to podmiotów niektóre wykorzystują swe miejsce do sprzedaży towarów będących podróbkami towarów markowych. Trybunał przesądził również, że warunki, którym podlega nakaz skierowany wobec ww. pośrednika, są identyczne z warunkami odnoszącymi się do nakazów, które mogą być skierowane do pośredników na rynku elektronicznym Online. Z uwagi na to, że obecnie obowiązujące brzmienie art. 296 ust. 3 p.w.p. nie zapewnia ochrony w tak szerokim zakresie konieczna jest nowelizacja.”</w:t>
      </w:r>
    </w:p>
    <w:p w14:paraId="2D88A4C0" w14:textId="77777777" w:rsidR="007F1A13" w:rsidRDefault="007F1A13" w:rsidP="007F1A13">
      <w:pPr>
        <w:spacing w:after="0" w:line="240" w:lineRule="auto"/>
        <w:ind w:firstLine="567"/>
        <w:jc w:val="both"/>
        <w:rPr>
          <w:rFonts w:cstheme="minorHAnsi"/>
          <w:i/>
          <w:iCs/>
          <w:sz w:val="10"/>
          <w:szCs w:val="10"/>
        </w:rPr>
      </w:pPr>
    </w:p>
    <w:p w14:paraId="25E358EC"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Pomimo tego, że w odnośniku ¹ do tytułu ustawy nowelizującej podano, iż wdraża ona dyrektywę Parlamentu Europejskiego i Rady (UE) 2015/2436 z dnia 16 grudnia 2015 r. mającą na celu zbliżenie ustawodawstw państw członkowskich odnoszących się do znaków towarowych (wersja przekształcona) (Dz. Urz. UE L 336 z dnia 23.12.2015, str. 1 oraz Dz. Urz. UE L 110 z dnia 26.04.2016, str. 5), nowa regulacja transponuje jeden z przepisów innej dyrektywy niż wyżej powołana, a mianowicie art.</w:t>
      </w:r>
      <w:r w:rsidR="006A6C81" w:rsidRPr="00D334F0">
        <w:rPr>
          <w:rFonts w:cstheme="minorHAnsi"/>
          <w:sz w:val="24"/>
          <w:szCs w:val="24"/>
        </w:rPr>
        <w:t xml:space="preserve"> </w:t>
      </w:r>
      <w:r w:rsidR="007F1A13" w:rsidRPr="00D334F0">
        <w:rPr>
          <w:rFonts w:cstheme="minorHAnsi"/>
          <w:sz w:val="24"/>
          <w:szCs w:val="24"/>
        </w:rPr>
        <w:t>11 zdanie trzecie dyrektywy Parlamentu Europejskiego i Rady 2004/48/WE z dnia 29 kwietnia 2004 r. w sprawie egzekwowania praw własności intelektualnej (Dz. Urz. UE L 157 z dnia 30.4.2004).</w:t>
      </w:r>
    </w:p>
    <w:p w14:paraId="6320ADE2" w14:textId="77777777" w:rsidR="00D334F0" w:rsidRPr="00D334F0" w:rsidRDefault="00D334F0" w:rsidP="00D334F0">
      <w:pPr>
        <w:pStyle w:val="Akapitzlist"/>
        <w:tabs>
          <w:tab w:val="left" w:pos="567"/>
        </w:tabs>
        <w:ind w:left="0"/>
        <w:jc w:val="both"/>
        <w:rPr>
          <w:rFonts w:cstheme="minorHAnsi"/>
          <w:sz w:val="10"/>
          <w:szCs w:val="10"/>
        </w:rPr>
      </w:pPr>
    </w:p>
    <w:p w14:paraId="6B9396C0"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Wskazana wyżej dyrektywa 2004/48/WE była zasadniczo przedmiotem implementacji dokonanej ustawą z dnia 9 maja 2007 r. o zmianie ustawy o prawie autorskim i prawach pokrewnych oraz niektórych innych ustaw (Dz. U. Nr 99, poz. 662), jednak wspomniany art. 11 zdanie trzecie został, z przyczyn bliżej nieznanych, pominięty.</w:t>
      </w:r>
    </w:p>
    <w:p w14:paraId="180B23E3" w14:textId="77777777" w:rsidR="00D334F0" w:rsidRPr="00D334F0" w:rsidRDefault="00D334F0" w:rsidP="00D334F0">
      <w:pPr>
        <w:pStyle w:val="Akapitzlist"/>
        <w:rPr>
          <w:rFonts w:cstheme="minorHAnsi"/>
          <w:sz w:val="10"/>
          <w:szCs w:val="10"/>
        </w:rPr>
      </w:pPr>
    </w:p>
    <w:p w14:paraId="7BAC8B1B"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Zgodnie z powołanym przepisem - „</w:t>
      </w:r>
      <w:r w:rsidR="007F1A13" w:rsidRPr="00D334F0">
        <w:rPr>
          <w:rFonts w:cstheme="minorHAnsi"/>
          <w:i/>
          <w:iCs/>
          <w:sz w:val="24"/>
          <w:szCs w:val="24"/>
        </w:rPr>
        <w:t>Państwa Członkowskie zapewniają też właścicielom możliwość składania wniosku o zakaz wobec pośredników, z usług których korzysta strona trzecia do naruszania prawa własności intelektualnej.”</w:t>
      </w:r>
      <w:r w:rsidR="006A6C81" w:rsidRPr="00D334F0">
        <w:rPr>
          <w:rFonts w:cstheme="minorHAnsi"/>
          <w:i/>
          <w:iCs/>
          <w:sz w:val="24"/>
          <w:szCs w:val="24"/>
        </w:rPr>
        <w:t>.</w:t>
      </w:r>
      <w:r w:rsidR="007F1A13" w:rsidRPr="00D334F0">
        <w:rPr>
          <w:rFonts w:cstheme="minorHAnsi"/>
          <w:sz w:val="24"/>
          <w:szCs w:val="24"/>
        </w:rPr>
        <w:t xml:space="preserve"> Uzasadnienie rządowego projektu ustawy nowelizującej odwołuje się zresztą, pośrednio, do art. 11 zdanie trzecie dyrektywy 2004/48/WE.</w:t>
      </w:r>
    </w:p>
    <w:p w14:paraId="25617F79" w14:textId="77777777" w:rsidR="00D334F0" w:rsidRPr="00D334F0" w:rsidRDefault="00D334F0" w:rsidP="00D334F0">
      <w:pPr>
        <w:pStyle w:val="Akapitzlist"/>
        <w:rPr>
          <w:rFonts w:cstheme="minorHAnsi"/>
          <w:sz w:val="10"/>
          <w:szCs w:val="10"/>
        </w:rPr>
      </w:pPr>
    </w:p>
    <w:p w14:paraId="574B2797" w14:textId="187EC9DA" w:rsidR="007F1A13" w:rsidRP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Konfrontacja nowej regulacji z celem określonym w uzasadnieniu rządowego projektu ustawy pozwala na dostrzeżenie kilku istotnych rozbieżności:</w:t>
      </w:r>
    </w:p>
    <w:p w14:paraId="793A9EA6" w14:textId="77777777" w:rsidR="007F1A13" w:rsidRPr="003E6B41" w:rsidRDefault="007F1A13" w:rsidP="007F1A13">
      <w:pPr>
        <w:spacing w:after="0" w:line="240" w:lineRule="auto"/>
        <w:ind w:firstLine="567"/>
        <w:jc w:val="both"/>
        <w:rPr>
          <w:rFonts w:cstheme="minorHAnsi"/>
          <w:sz w:val="10"/>
          <w:szCs w:val="10"/>
        </w:rPr>
      </w:pPr>
    </w:p>
    <w:p w14:paraId="58E53B7E" w14:textId="2716B196" w:rsidR="007F1A13" w:rsidRPr="00186799" w:rsidRDefault="007F1A13" w:rsidP="007F1A13">
      <w:pPr>
        <w:spacing w:after="0" w:line="240" w:lineRule="auto"/>
        <w:jc w:val="both"/>
        <w:rPr>
          <w:rFonts w:cstheme="minorHAnsi"/>
          <w:sz w:val="24"/>
          <w:szCs w:val="24"/>
        </w:rPr>
      </w:pPr>
      <w:r w:rsidRPr="00186799">
        <w:rPr>
          <w:rFonts w:cstheme="minorHAnsi"/>
          <w:sz w:val="24"/>
          <w:szCs w:val="24"/>
        </w:rPr>
        <w:t>1/ nowy tekst uzupełniający brzmienie art. 296 ust. 3 p.w.p. pomija określenie „pośrednik”, kluczowe dla art.</w:t>
      </w:r>
      <w:r w:rsidR="006C4E75" w:rsidRPr="00186799">
        <w:rPr>
          <w:rFonts w:cstheme="minorHAnsi"/>
          <w:sz w:val="24"/>
          <w:szCs w:val="24"/>
        </w:rPr>
        <w:t xml:space="preserve"> </w:t>
      </w:r>
      <w:r w:rsidRPr="00186799">
        <w:rPr>
          <w:rFonts w:cstheme="minorHAnsi"/>
          <w:sz w:val="24"/>
          <w:szCs w:val="24"/>
        </w:rPr>
        <w:t>11 zdanie trzecie ww. dyrektywy,</w:t>
      </w:r>
    </w:p>
    <w:p w14:paraId="6D282DE8" w14:textId="77777777" w:rsidR="007F1A13" w:rsidRPr="003E6B41" w:rsidRDefault="007F1A13" w:rsidP="007F1A13">
      <w:pPr>
        <w:spacing w:after="0" w:line="240" w:lineRule="auto"/>
        <w:jc w:val="both"/>
        <w:rPr>
          <w:rFonts w:cstheme="minorHAnsi"/>
          <w:sz w:val="10"/>
          <w:szCs w:val="10"/>
        </w:rPr>
      </w:pPr>
    </w:p>
    <w:p w14:paraId="39761504" w14:textId="34529DA8" w:rsidR="007F1A13" w:rsidRPr="00186799" w:rsidRDefault="007F1A13" w:rsidP="007F1A13">
      <w:pPr>
        <w:spacing w:after="0" w:line="240" w:lineRule="auto"/>
        <w:jc w:val="both"/>
        <w:rPr>
          <w:rFonts w:cstheme="minorHAnsi"/>
          <w:sz w:val="24"/>
          <w:szCs w:val="24"/>
        </w:rPr>
      </w:pPr>
      <w:r w:rsidRPr="00186799">
        <w:rPr>
          <w:rFonts w:cstheme="minorHAnsi"/>
          <w:sz w:val="24"/>
          <w:szCs w:val="24"/>
        </w:rPr>
        <w:t>2/ nowy tekst uzupełniający brzmienie art. 296 ust. 3 p.w.p. odwołuje się do przepisów ustawy z dnia 18 lipca 2002 r. o świadczeniu usług drogą elektroniczną (Dz. U. z 2019 r. poz. 123 z późn. zm.), której adresatem są usługodawcy świadczący usługi drog</w:t>
      </w:r>
      <w:r w:rsidR="006C4E75" w:rsidRPr="00186799">
        <w:rPr>
          <w:rFonts w:cstheme="minorHAnsi"/>
          <w:sz w:val="24"/>
          <w:szCs w:val="24"/>
        </w:rPr>
        <w:t>ą</w:t>
      </w:r>
      <w:r w:rsidRPr="00186799">
        <w:rPr>
          <w:rFonts w:cstheme="minorHAnsi"/>
          <w:sz w:val="24"/>
          <w:szCs w:val="24"/>
        </w:rPr>
        <w:t xml:space="preserve"> elektroniczną, a zatem krąg podmiotów zasadniczo różny od dzierżawców hal targowych,</w:t>
      </w:r>
    </w:p>
    <w:p w14:paraId="02111E7D" w14:textId="77777777" w:rsidR="007F1A13" w:rsidRPr="003E6B41" w:rsidRDefault="007F1A13" w:rsidP="007F1A13">
      <w:pPr>
        <w:spacing w:after="0" w:line="240" w:lineRule="auto"/>
        <w:jc w:val="both"/>
        <w:rPr>
          <w:rFonts w:cstheme="minorHAnsi"/>
          <w:sz w:val="10"/>
          <w:szCs w:val="10"/>
        </w:rPr>
      </w:pPr>
    </w:p>
    <w:p w14:paraId="65CB4154" w14:textId="77777777" w:rsidR="007F1A13" w:rsidRPr="00186799" w:rsidRDefault="007F1A13" w:rsidP="007F1A13">
      <w:pPr>
        <w:spacing w:after="0" w:line="240" w:lineRule="auto"/>
        <w:jc w:val="both"/>
        <w:rPr>
          <w:rFonts w:cstheme="minorHAnsi"/>
          <w:sz w:val="24"/>
          <w:szCs w:val="24"/>
        </w:rPr>
      </w:pPr>
      <w:r w:rsidRPr="00186799">
        <w:rPr>
          <w:rFonts w:cstheme="minorHAnsi"/>
          <w:sz w:val="24"/>
          <w:szCs w:val="24"/>
        </w:rPr>
        <w:t>3/ nowy tekst uzupełniający brzmienie art. 296 ust. 3 p.w.p. pozwala skierować wobec osoby, z usług której korzystano przy naruszeniu prawa ochronnego na znak towarowy, pełen wachlarz roszczeń przysługujących uprawnionemu wobec naruszyciela, wskazanych w ust. 1 artykułu 296, podczas gdy art. 11 ust. 3 dyrektywy 2004/48/WE ogranicza się do roszczenia zakazowego,</w:t>
      </w:r>
    </w:p>
    <w:p w14:paraId="41961BE5" w14:textId="77777777" w:rsidR="007F1A13" w:rsidRPr="003E6B41" w:rsidRDefault="007F1A13" w:rsidP="007F1A13">
      <w:pPr>
        <w:spacing w:after="0" w:line="240" w:lineRule="auto"/>
        <w:jc w:val="both"/>
        <w:rPr>
          <w:rFonts w:cstheme="minorHAnsi"/>
          <w:sz w:val="10"/>
          <w:szCs w:val="10"/>
        </w:rPr>
      </w:pPr>
    </w:p>
    <w:p w14:paraId="36B8EBA5" w14:textId="77777777" w:rsidR="007F1A13" w:rsidRPr="00186799" w:rsidRDefault="007F1A13" w:rsidP="007F1A13">
      <w:pPr>
        <w:spacing w:after="0" w:line="240" w:lineRule="auto"/>
        <w:jc w:val="both"/>
        <w:rPr>
          <w:rFonts w:cstheme="minorHAnsi"/>
          <w:sz w:val="24"/>
          <w:szCs w:val="24"/>
        </w:rPr>
      </w:pPr>
      <w:r w:rsidRPr="00186799">
        <w:rPr>
          <w:rFonts w:cstheme="minorHAnsi"/>
          <w:sz w:val="24"/>
          <w:szCs w:val="24"/>
        </w:rPr>
        <w:t>4/ art. 11 zdanie trzecie dyrektywy 2004/48/WE odnosi się do wszelkich praw własności intelektualnej, podczas gdy zakres zastosowania nowej regulacji ograniczony jest do praw ochronnych na znaki towarowe.</w:t>
      </w:r>
    </w:p>
    <w:p w14:paraId="6F34EF68" w14:textId="77777777" w:rsidR="007F1A13" w:rsidRDefault="007F1A13" w:rsidP="007F1A13">
      <w:pPr>
        <w:spacing w:after="0" w:line="240" w:lineRule="auto"/>
        <w:jc w:val="both"/>
        <w:rPr>
          <w:rFonts w:cstheme="minorHAnsi"/>
          <w:sz w:val="10"/>
          <w:szCs w:val="10"/>
        </w:rPr>
      </w:pPr>
    </w:p>
    <w:p w14:paraId="28AAB272" w14:textId="77777777" w:rsidR="00D334F0" w:rsidRPr="00D334F0" w:rsidRDefault="00D334F0" w:rsidP="00D334F0">
      <w:pPr>
        <w:pStyle w:val="Akapitzlist"/>
        <w:rPr>
          <w:rFonts w:cstheme="minorHAnsi"/>
          <w:sz w:val="24"/>
          <w:szCs w:val="24"/>
        </w:rPr>
      </w:pPr>
    </w:p>
    <w:p w14:paraId="5CD15A25" w14:textId="10568085" w:rsidR="007F1A13" w:rsidRP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Wyrok Trybunału (druga izba) z dnia 7 lipca 2016 r. w sprawie C- 494/15, przywołany w uzasadnieniu projektu ustawy nowelizującej, został wydany w trybie prejudycjalnym w odpowiedzi na następujące pytania sformułowane przez Sąd Najwyższy Republiki Czeskiej:</w:t>
      </w:r>
    </w:p>
    <w:p w14:paraId="667C36E6" w14:textId="77777777" w:rsidR="007F1A13" w:rsidRPr="003E6B41" w:rsidRDefault="007F1A13" w:rsidP="007F1A13">
      <w:pPr>
        <w:spacing w:after="0" w:line="240" w:lineRule="auto"/>
        <w:ind w:firstLine="567"/>
        <w:jc w:val="both"/>
        <w:rPr>
          <w:rFonts w:cstheme="minorHAnsi"/>
          <w:sz w:val="10"/>
          <w:szCs w:val="10"/>
        </w:rPr>
      </w:pPr>
    </w:p>
    <w:p w14:paraId="46530041" w14:textId="77777777" w:rsidR="007F1A13" w:rsidRPr="00186799" w:rsidRDefault="007F1A13" w:rsidP="003E6B41">
      <w:pPr>
        <w:spacing w:after="0" w:line="240" w:lineRule="auto"/>
        <w:ind w:left="567"/>
        <w:jc w:val="both"/>
        <w:rPr>
          <w:rFonts w:cstheme="minorHAnsi"/>
          <w:i/>
          <w:iCs/>
          <w:sz w:val="24"/>
          <w:szCs w:val="24"/>
        </w:rPr>
      </w:pPr>
      <w:r w:rsidRPr="00186799">
        <w:rPr>
          <w:rFonts w:cstheme="minorHAnsi"/>
          <w:i/>
          <w:iCs/>
          <w:sz w:val="24"/>
          <w:szCs w:val="24"/>
        </w:rPr>
        <w:t>„1) Czy dzierżawca placu targowego, który udostępnia indywidualnym podmiotom handlującym, do ich użytku, stragany i miejsca, na których stragany mogą zostać umieszczone, jest pośrednikiem, z usług którego korzystają osoby trzecie do naruszania prawa własności intelektualnej w rozumieniu art. 11 dyrektywy 2004/48?</w:t>
      </w:r>
    </w:p>
    <w:p w14:paraId="793D8A43" w14:textId="77777777" w:rsidR="007F1A13" w:rsidRPr="003E6B41" w:rsidRDefault="007F1A13" w:rsidP="003E6B41">
      <w:pPr>
        <w:spacing w:after="0" w:line="240" w:lineRule="auto"/>
        <w:ind w:left="567"/>
        <w:jc w:val="both"/>
        <w:rPr>
          <w:rFonts w:cstheme="minorHAnsi"/>
          <w:i/>
          <w:iCs/>
          <w:sz w:val="10"/>
          <w:szCs w:val="10"/>
        </w:rPr>
      </w:pPr>
    </w:p>
    <w:p w14:paraId="48EE2593" w14:textId="77777777" w:rsidR="007F1A13" w:rsidRPr="00186799" w:rsidRDefault="007F1A13" w:rsidP="003E6B41">
      <w:pPr>
        <w:spacing w:after="0" w:line="240" w:lineRule="auto"/>
        <w:ind w:left="567"/>
        <w:jc w:val="both"/>
        <w:rPr>
          <w:rFonts w:cstheme="minorHAnsi"/>
          <w:i/>
          <w:iCs/>
          <w:sz w:val="24"/>
          <w:szCs w:val="24"/>
        </w:rPr>
      </w:pPr>
      <w:r w:rsidRPr="00186799">
        <w:rPr>
          <w:rFonts w:cstheme="minorHAnsi"/>
          <w:i/>
          <w:iCs/>
          <w:sz w:val="24"/>
          <w:szCs w:val="24"/>
        </w:rPr>
        <w:t xml:space="preserve">2) Czy na dzierżawcę placu targowego, który udostępnia indywidualnym podmiotom handlującym, do ich użytku, stragany i miejsca, na których stragany mogą zostać umieszczone, mogą zostać nałożone środki przewidziane w art. 11 dyrektywy 2004/48, na takich samych warunkach jak te określone przez Trybunał [w wyroku z dnia 12 lipca 2011 r., </w:t>
      </w:r>
      <w:proofErr w:type="spellStart"/>
      <w:r w:rsidRPr="00186799">
        <w:rPr>
          <w:rFonts w:cstheme="minorHAnsi"/>
          <w:i/>
          <w:iCs/>
          <w:sz w:val="24"/>
          <w:szCs w:val="24"/>
        </w:rPr>
        <w:t>LʼOréal</w:t>
      </w:r>
      <w:proofErr w:type="spellEnd"/>
      <w:r w:rsidRPr="00186799">
        <w:rPr>
          <w:rFonts w:cstheme="minorHAnsi"/>
          <w:i/>
          <w:iCs/>
          <w:sz w:val="24"/>
          <w:szCs w:val="24"/>
        </w:rPr>
        <w:t xml:space="preserve"> i in., C-324/09, EU:C:2011:474] w odniesieniu do nakładania środków na operatorów rynków elektronicznych online?”</w:t>
      </w:r>
    </w:p>
    <w:p w14:paraId="73244E58" w14:textId="77777777" w:rsidR="007F1A13" w:rsidRPr="003E6B41" w:rsidRDefault="007F1A13" w:rsidP="007F1A13">
      <w:pPr>
        <w:spacing w:after="0" w:line="240" w:lineRule="auto"/>
        <w:ind w:firstLine="567"/>
        <w:jc w:val="both"/>
        <w:rPr>
          <w:rFonts w:cstheme="minorHAnsi"/>
          <w:sz w:val="10"/>
          <w:szCs w:val="10"/>
        </w:rPr>
      </w:pPr>
    </w:p>
    <w:p w14:paraId="52DE6CEB" w14:textId="30300D73" w:rsidR="007F1A13" w:rsidRP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Na powyższe pytania prejudycjalne Trybunał udzielił następujących odpowiedzi:</w:t>
      </w:r>
    </w:p>
    <w:p w14:paraId="3A056364" w14:textId="77777777" w:rsidR="007F1A13" w:rsidRPr="003E6B41" w:rsidRDefault="007F1A13" w:rsidP="007F1A13">
      <w:pPr>
        <w:spacing w:after="0" w:line="240" w:lineRule="auto"/>
        <w:ind w:firstLine="567"/>
        <w:jc w:val="both"/>
        <w:rPr>
          <w:rFonts w:cstheme="minorHAnsi"/>
          <w:sz w:val="10"/>
          <w:szCs w:val="10"/>
        </w:rPr>
      </w:pPr>
    </w:p>
    <w:p w14:paraId="7BC2BC01" w14:textId="77777777" w:rsidR="007F1A13" w:rsidRPr="00186799" w:rsidRDefault="007F1A13" w:rsidP="003E6B41">
      <w:pPr>
        <w:spacing w:after="0" w:line="240" w:lineRule="auto"/>
        <w:ind w:left="567"/>
        <w:jc w:val="both"/>
        <w:rPr>
          <w:rFonts w:cstheme="minorHAnsi"/>
          <w:i/>
          <w:iCs/>
          <w:sz w:val="24"/>
          <w:szCs w:val="24"/>
        </w:rPr>
      </w:pPr>
      <w:r w:rsidRPr="00186799">
        <w:rPr>
          <w:rFonts w:cstheme="minorHAnsi"/>
          <w:i/>
          <w:iCs/>
          <w:sz w:val="24"/>
          <w:szCs w:val="24"/>
        </w:rPr>
        <w:t>„1. Artykuł 11 zdanie trzecie dyrektywy 2004/48/WE Parlamentu Europejskiego i Rady z dnia 29 kwietnia 2004 r. w sprawie egzekwowania praw własności intelektualnej należy interpretować w ten sposób, że zakresem pojęcia »pośrednika, z usług którego korzysta osoba trzecia do naruszania prawa własności intelektualnej« w rozumieniu tego przepisu objęty jest dzierżawca hal targowych, który poddzierżawia usytuowane w tych halach stanowiska handlowe indywidualnym podmiotom handlującym, spośród których to podmiotów niektóre wykorzystują swe miejsce do sprzedaży towarów będących podróbkami towarów markowych.</w:t>
      </w:r>
    </w:p>
    <w:p w14:paraId="78B379E8" w14:textId="77777777" w:rsidR="007F1A13" w:rsidRPr="003E6B41" w:rsidRDefault="007F1A13" w:rsidP="007F1A13">
      <w:pPr>
        <w:spacing w:after="0" w:line="240" w:lineRule="auto"/>
        <w:ind w:firstLine="567"/>
        <w:jc w:val="both"/>
        <w:rPr>
          <w:rFonts w:cstheme="minorHAnsi"/>
          <w:sz w:val="10"/>
          <w:szCs w:val="10"/>
        </w:rPr>
      </w:pPr>
    </w:p>
    <w:p w14:paraId="1858A9C0" w14:textId="77777777" w:rsidR="007F1A13" w:rsidRPr="00186799" w:rsidRDefault="007F1A13" w:rsidP="00D334F0">
      <w:pPr>
        <w:spacing w:after="0" w:line="240" w:lineRule="auto"/>
        <w:ind w:left="567"/>
        <w:jc w:val="both"/>
        <w:rPr>
          <w:rFonts w:cstheme="minorHAnsi"/>
          <w:i/>
          <w:iCs/>
          <w:sz w:val="24"/>
          <w:szCs w:val="24"/>
        </w:rPr>
      </w:pPr>
      <w:r w:rsidRPr="00186799">
        <w:rPr>
          <w:rFonts w:cstheme="minorHAnsi"/>
          <w:i/>
          <w:iCs/>
          <w:sz w:val="24"/>
          <w:szCs w:val="24"/>
        </w:rPr>
        <w:t xml:space="preserve">2. Artykuł 11 zdanie trzecie dyrektywy 2004/48 należy interpretować w ten sposób, że warunki, którym podlega nakaz, w rozumieniu tego przepisu, skierowany wobec pośrednika świadczącego usługę dzierżawy stanowisk handlowych w halach targowych, są identyczne z warunkami odnoszącymi się do nakazów, które mogą być skierowane do pośredników na rynku elektronicznym online, określonymi przez Trybunał w wyroku z dnia 12 lipca 2011 r., </w:t>
      </w:r>
      <w:proofErr w:type="spellStart"/>
      <w:r w:rsidRPr="00186799">
        <w:rPr>
          <w:rFonts w:cstheme="minorHAnsi"/>
          <w:i/>
          <w:iCs/>
          <w:sz w:val="24"/>
          <w:szCs w:val="24"/>
        </w:rPr>
        <w:t>LʼOréal</w:t>
      </w:r>
      <w:proofErr w:type="spellEnd"/>
      <w:r w:rsidRPr="00186799">
        <w:rPr>
          <w:rFonts w:cstheme="minorHAnsi"/>
          <w:i/>
          <w:iCs/>
          <w:sz w:val="24"/>
          <w:szCs w:val="24"/>
        </w:rPr>
        <w:t xml:space="preserve"> i in. (C-324/09, EU:C:2011:474).”</w:t>
      </w:r>
    </w:p>
    <w:p w14:paraId="1C74F6F4" w14:textId="77777777" w:rsidR="007F1A13" w:rsidRPr="003E6B41" w:rsidRDefault="007F1A13" w:rsidP="007F1A13">
      <w:pPr>
        <w:spacing w:after="0" w:line="240" w:lineRule="auto"/>
        <w:ind w:firstLine="567"/>
        <w:jc w:val="both"/>
        <w:rPr>
          <w:rFonts w:cstheme="minorHAnsi"/>
          <w:sz w:val="10"/>
          <w:szCs w:val="10"/>
        </w:rPr>
      </w:pPr>
    </w:p>
    <w:p w14:paraId="465F744A" w14:textId="77777777" w:rsidR="00D334F0" w:rsidRPr="00D334F0" w:rsidRDefault="00D334F0" w:rsidP="00D334F0">
      <w:pPr>
        <w:pStyle w:val="Akapitzlist"/>
        <w:rPr>
          <w:rFonts w:cstheme="minorHAnsi"/>
          <w:sz w:val="24"/>
          <w:szCs w:val="24"/>
        </w:rPr>
      </w:pPr>
    </w:p>
    <w:p w14:paraId="104431BA"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Oczywiście Trybunał nie utożsamił usług świadczonych przez dzierżawców hal targowych, którzy poddzierżawiają powierzchnie wystawiennicze z usługami na rynku elektronicznym, wręcz przeciwnie</w:t>
      </w:r>
      <w:r w:rsidR="006C4E75" w:rsidRPr="00D334F0">
        <w:rPr>
          <w:rFonts w:cstheme="minorHAnsi"/>
          <w:sz w:val="24"/>
          <w:szCs w:val="24"/>
        </w:rPr>
        <w:t>,</w:t>
      </w:r>
      <w:r w:rsidR="007F1A13" w:rsidRPr="00D334F0">
        <w:rPr>
          <w:rFonts w:cstheme="minorHAnsi"/>
          <w:sz w:val="24"/>
          <w:szCs w:val="24"/>
        </w:rPr>
        <w:t xml:space="preserve"> rozróżniając obie sytuacje</w:t>
      </w:r>
      <w:r w:rsidR="006C4E75" w:rsidRPr="00D334F0">
        <w:rPr>
          <w:rFonts w:cstheme="minorHAnsi"/>
          <w:sz w:val="24"/>
          <w:szCs w:val="24"/>
        </w:rPr>
        <w:t>,</w:t>
      </w:r>
      <w:r w:rsidR="007F1A13" w:rsidRPr="00D334F0">
        <w:rPr>
          <w:rFonts w:cstheme="minorHAnsi"/>
          <w:sz w:val="24"/>
          <w:szCs w:val="24"/>
        </w:rPr>
        <w:t xml:space="preserve"> tj. „</w:t>
      </w:r>
      <w:r w:rsidR="007F1A13" w:rsidRPr="00D334F0">
        <w:rPr>
          <w:rFonts w:cstheme="minorHAnsi"/>
          <w:i/>
          <w:iCs/>
          <w:sz w:val="24"/>
          <w:szCs w:val="24"/>
        </w:rPr>
        <w:t>dostępu do istniejącego fizycznie placu targowego</w:t>
      </w:r>
      <w:r w:rsidR="007F1A13" w:rsidRPr="00D334F0">
        <w:rPr>
          <w:rFonts w:cstheme="minorHAnsi"/>
          <w:sz w:val="24"/>
          <w:szCs w:val="24"/>
        </w:rPr>
        <w:t>” oraz „</w:t>
      </w:r>
      <w:r w:rsidR="007F1A13" w:rsidRPr="00D334F0">
        <w:rPr>
          <w:rFonts w:cstheme="minorHAnsi"/>
          <w:i/>
          <w:iCs/>
          <w:sz w:val="24"/>
          <w:szCs w:val="24"/>
        </w:rPr>
        <w:t>usług świadczonych na rynku elektronicznym</w:t>
      </w:r>
      <w:r w:rsidR="007F1A13" w:rsidRPr="00D334F0">
        <w:rPr>
          <w:rFonts w:cstheme="minorHAnsi"/>
          <w:sz w:val="24"/>
          <w:szCs w:val="24"/>
        </w:rPr>
        <w:t>” wskazał jedynie na konieczność jednolitego podejścia do obu sytuacji.</w:t>
      </w:r>
    </w:p>
    <w:p w14:paraId="29149B73" w14:textId="77777777" w:rsidR="00D334F0" w:rsidRPr="0082700E" w:rsidRDefault="00D334F0" w:rsidP="00D334F0">
      <w:pPr>
        <w:pStyle w:val="Akapitzlist"/>
        <w:tabs>
          <w:tab w:val="left" w:pos="567"/>
        </w:tabs>
        <w:ind w:left="0"/>
        <w:jc w:val="both"/>
        <w:rPr>
          <w:rFonts w:cstheme="minorHAnsi"/>
          <w:sz w:val="10"/>
          <w:szCs w:val="10"/>
        </w:rPr>
      </w:pPr>
    </w:p>
    <w:p w14:paraId="6D9398C4" w14:textId="45E9C1B2"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Wyrok Trybunał</w:t>
      </w:r>
      <w:r w:rsidR="0082700E">
        <w:rPr>
          <w:rFonts w:cstheme="minorHAnsi"/>
          <w:sz w:val="24"/>
          <w:szCs w:val="24"/>
        </w:rPr>
        <w:t>u</w:t>
      </w:r>
      <w:r w:rsidR="007F1A13" w:rsidRPr="00D334F0">
        <w:rPr>
          <w:rFonts w:cstheme="minorHAnsi"/>
          <w:sz w:val="24"/>
          <w:szCs w:val="24"/>
        </w:rPr>
        <w:t xml:space="preserve"> (wielk</w:t>
      </w:r>
      <w:r w:rsidR="0082700E">
        <w:rPr>
          <w:rFonts w:cstheme="minorHAnsi"/>
          <w:sz w:val="24"/>
          <w:szCs w:val="24"/>
        </w:rPr>
        <w:t>iej</w:t>
      </w:r>
      <w:r w:rsidR="007F1A13" w:rsidRPr="00D334F0">
        <w:rPr>
          <w:rFonts w:cstheme="minorHAnsi"/>
          <w:sz w:val="24"/>
          <w:szCs w:val="24"/>
        </w:rPr>
        <w:t xml:space="preserve"> izb</w:t>
      </w:r>
      <w:r w:rsidR="0082700E">
        <w:rPr>
          <w:rFonts w:cstheme="minorHAnsi"/>
          <w:sz w:val="24"/>
          <w:szCs w:val="24"/>
        </w:rPr>
        <w:t>y</w:t>
      </w:r>
      <w:r w:rsidR="007F1A13" w:rsidRPr="00D334F0">
        <w:rPr>
          <w:rFonts w:cstheme="minorHAnsi"/>
          <w:sz w:val="24"/>
          <w:szCs w:val="24"/>
        </w:rPr>
        <w:t xml:space="preserve">) w sprawie C-324/09, do którego odsyła wyrok przywołany w uzasadnieniu projektu ustawy nowelizującej - odnosi się wyłącznie do rynku elektronicznego. Podstawa faktyczna pytań prejudycjalnych skierowanych do Trybunału dotyczyła działalności spółki </w:t>
      </w:r>
      <w:proofErr w:type="spellStart"/>
      <w:r w:rsidR="007F1A13" w:rsidRPr="00D334F0">
        <w:rPr>
          <w:rFonts w:cstheme="minorHAnsi"/>
          <w:sz w:val="24"/>
          <w:szCs w:val="24"/>
        </w:rPr>
        <w:t>eBay</w:t>
      </w:r>
      <w:proofErr w:type="spellEnd"/>
      <w:r w:rsidR="007F1A13" w:rsidRPr="00D334F0">
        <w:rPr>
          <w:rFonts w:cstheme="minorHAnsi"/>
          <w:sz w:val="24"/>
          <w:szCs w:val="24"/>
        </w:rPr>
        <w:t xml:space="preserve"> - znanego operatora działającego na rynku elektronicznym. Na naszym rynku odpowiednikiem </w:t>
      </w:r>
      <w:proofErr w:type="spellStart"/>
      <w:r w:rsidR="007F1A13" w:rsidRPr="00D334F0">
        <w:rPr>
          <w:rFonts w:cstheme="minorHAnsi"/>
          <w:sz w:val="24"/>
          <w:szCs w:val="24"/>
        </w:rPr>
        <w:t>eBayʼa</w:t>
      </w:r>
      <w:proofErr w:type="spellEnd"/>
      <w:r w:rsidR="007F1A13" w:rsidRPr="00D334F0">
        <w:rPr>
          <w:rFonts w:cstheme="minorHAnsi"/>
          <w:sz w:val="24"/>
          <w:szCs w:val="24"/>
        </w:rPr>
        <w:t xml:space="preserve"> jest Allegro, na którym zresztą wspomniany polski podmiot się wzoruje, co sam wyraźnie deklaruje. Na terenie Unii Europejskiej rynek elektroniczny regulowany jest aktami prawa wewnętrznego transponującymi postanowienia Dyrektywy 2000/31/WE Parlamentu Europejskiego i Rady z dnia 8 czerwca 2000 r. w sprawie niektórych aspektów prawnych usług społeczeństwa informacyjnego, w szczególności handlu </w:t>
      </w:r>
      <w:r w:rsidR="007F1A13" w:rsidRPr="00D334F0">
        <w:rPr>
          <w:rFonts w:cstheme="minorHAnsi"/>
          <w:sz w:val="24"/>
          <w:szCs w:val="24"/>
        </w:rPr>
        <w:lastRenderedPageBreak/>
        <w:t>elektronicznego w ramach rynku wewnętrznego (dyrektywa o handlu elektronicznym) (Dz. Urz. UE z dnia 17.07.2000 L178/1).</w:t>
      </w:r>
    </w:p>
    <w:p w14:paraId="0C1E0FCD" w14:textId="77777777" w:rsidR="00D334F0" w:rsidRDefault="007F1A13" w:rsidP="00153D21">
      <w:pPr>
        <w:pStyle w:val="Akapitzlist"/>
        <w:numPr>
          <w:ilvl w:val="0"/>
          <w:numId w:val="59"/>
        </w:numPr>
        <w:tabs>
          <w:tab w:val="left" w:pos="567"/>
        </w:tabs>
        <w:ind w:left="0" w:hanging="851"/>
        <w:jc w:val="both"/>
        <w:rPr>
          <w:rFonts w:cstheme="minorHAnsi"/>
          <w:sz w:val="24"/>
          <w:szCs w:val="24"/>
        </w:rPr>
      </w:pPr>
      <w:r w:rsidRPr="00D334F0">
        <w:rPr>
          <w:rFonts w:cstheme="minorHAnsi"/>
          <w:sz w:val="24"/>
          <w:szCs w:val="24"/>
        </w:rPr>
        <w:t>Polska ustawa z 18 lipca 2002 r. o świadczeniu usług drogą elektroniczną, do której odsyła art. 296 ust. 3 p.w.p., jest rezultatem wdrożenia wskazanej wyżej dyrektywy 2000/31/WE.</w:t>
      </w:r>
    </w:p>
    <w:p w14:paraId="526EB779" w14:textId="77777777" w:rsidR="00D334F0" w:rsidRPr="0082700E" w:rsidRDefault="00D334F0" w:rsidP="00D334F0">
      <w:pPr>
        <w:pStyle w:val="Akapitzlist"/>
        <w:tabs>
          <w:tab w:val="left" w:pos="567"/>
        </w:tabs>
        <w:ind w:left="0"/>
        <w:jc w:val="both"/>
        <w:rPr>
          <w:rFonts w:cstheme="minorHAnsi"/>
          <w:sz w:val="10"/>
          <w:szCs w:val="10"/>
        </w:rPr>
      </w:pPr>
    </w:p>
    <w:p w14:paraId="0C7C0554" w14:textId="0B9E06CE"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Ramy prawne wyroku Trybunału w sprawie C-324/09 uwzględniają przepisy ww. dyrektywy, ale zważywszy na charakter podmiotu uwikłanego w spór (</w:t>
      </w:r>
      <w:proofErr w:type="spellStart"/>
      <w:r w:rsidR="007F1A13" w:rsidRPr="00D334F0">
        <w:rPr>
          <w:rFonts w:cstheme="minorHAnsi"/>
          <w:sz w:val="24"/>
          <w:szCs w:val="24"/>
        </w:rPr>
        <w:t>eBay</w:t>
      </w:r>
      <w:proofErr w:type="spellEnd"/>
      <w:r w:rsidR="007F1A13" w:rsidRPr="00D334F0">
        <w:rPr>
          <w:rFonts w:cstheme="minorHAnsi"/>
          <w:sz w:val="24"/>
          <w:szCs w:val="24"/>
        </w:rPr>
        <w:t xml:space="preserve"> działający jako operator na rynku elektronicznym) uwagę koncentrują na art. 14 oraz art.</w:t>
      </w:r>
      <w:r w:rsidR="002270CC">
        <w:rPr>
          <w:rFonts w:cstheme="minorHAnsi"/>
          <w:sz w:val="24"/>
          <w:szCs w:val="24"/>
        </w:rPr>
        <w:t xml:space="preserve"> </w:t>
      </w:r>
      <w:r w:rsidR="007F1A13" w:rsidRPr="00D334F0">
        <w:rPr>
          <w:rFonts w:cstheme="minorHAnsi"/>
          <w:sz w:val="24"/>
          <w:szCs w:val="24"/>
        </w:rPr>
        <w:t xml:space="preserve">15 ww. dyrektywy 2000/31/WE. Ramy prawne wyroku uwzględniają również art. 11 </w:t>
      </w:r>
      <w:proofErr w:type="spellStart"/>
      <w:r w:rsidR="007F1A13" w:rsidRPr="00D334F0">
        <w:rPr>
          <w:rFonts w:cstheme="minorHAnsi"/>
          <w:sz w:val="24"/>
          <w:szCs w:val="24"/>
        </w:rPr>
        <w:t>zd</w:t>
      </w:r>
      <w:proofErr w:type="spellEnd"/>
      <w:r w:rsidR="007F1A13" w:rsidRPr="00D334F0">
        <w:rPr>
          <w:rFonts w:cstheme="minorHAnsi"/>
          <w:sz w:val="24"/>
          <w:szCs w:val="24"/>
        </w:rPr>
        <w:t>. 3 dyrektywy 2004/48/WE.</w:t>
      </w:r>
    </w:p>
    <w:p w14:paraId="0CE52DF4" w14:textId="77777777" w:rsidR="00D334F0" w:rsidRPr="0082700E" w:rsidRDefault="00D334F0" w:rsidP="00D334F0">
      <w:pPr>
        <w:pStyle w:val="Akapitzlist"/>
        <w:rPr>
          <w:rFonts w:cstheme="minorHAnsi"/>
          <w:sz w:val="10"/>
          <w:szCs w:val="10"/>
        </w:rPr>
      </w:pPr>
    </w:p>
    <w:p w14:paraId="1EF5B030" w14:textId="1109E8C3" w:rsidR="007F1A13" w:rsidRP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Art. 14 ust. 1 dyrektywy 2000/31/WE (którego odpowiednikiem jest art. 14 polskiej ustawy o handlu elektronicznym), dotyczący usługi hostingu, stanowi, iż:</w:t>
      </w:r>
    </w:p>
    <w:p w14:paraId="5274DBE1" w14:textId="77777777" w:rsidR="007F1A13" w:rsidRPr="003E6B41" w:rsidRDefault="007F1A13" w:rsidP="007F1A13">
      <w:pPr>
        <w:spacing w:after="0" w:line="240" w:lineRule="auto"/>
        <w:ind w:firstLine="567"/>
        <w:jc w:val="both"/>
        <w:rPr>
          <w:rFonts w:cstheme="minorHAnsi"/>
          <w:sz w:val="10"/>
          <w:szCs w:val="10"/>
        </w:rPr>
      </w:pPr>
    </w:p>
    <w:p w14:paraId="68243AA6" w14:textId="77777777" w:rsidR="007F1A13" w:rsidRPr="00186799" w:rsidRDefault="007F1A13" w:rsidP="007F1A13">
      <w:pPr>
        <w:spacing w:after="0" w:line="240" w:lineRule="auto"/>
        <w:ind w:firstLine="567"/>
        <w:jc w:val="both"/>
        <w:rPr>
          <w:rFonts w:cstheme="minorHAnsi"/>
          <w:sz w:val="24"/>
          <w:szCs w:val="24"/>
        </w:rPr>
      </w:pPr>
      <w:r w:rsidRPr="00186799">
        <w:rPr>
          <w:rFonts w:cstheme="minorHAnsi"/>
          <w:sz w:val="24"/>
          <w:szCs w:val="24"/>
        </w:rPr>
        <w:t>„1. Państwa Członkowskie zapewniają, żeby w przypadku świadczenia usług społeczeństwa informacyjnego polegającej na przechowywaniu informacji przekazanych przez usługobiorcę usługodawca nie był odpowiedzialny za informacje przechowywane na żądanie usługobiorcy, pod warunkiem, że:</w:t>
      </w:r>
    </w:p>
    <w:p w14:paraId="50EAF26E" w14:textId="77777777" w:rsidR="007F1A13" w:rsidRPr="003E6B41" w:rsidRDefault="007F1A13" w:rsidP="007F1A13">
      <w:pPr>
        <w:spacing w:after="0" w:line="240" w:lineRule="auto"/>
        <w:ind w:firstLine="567"/>
        <w:jc w:val="both"/>
        <w:rPr>
          <w:rFonts w:cstheme="minorHAnsi"/>
          <w:sz w:val="10"/>
          <w:szCs w:val="10"/>
        </w:rPr>
      </w:pPr>
    </w:p>
    <w:p w14:paraId="60635707" w14:textId="77777777" w:rsidR="007F1A13" w:rsidRPr="00186799" w:rsidRDefault="007F1A13" w:rsidP="003E6B41">
      <w:pPr>
        <w:spacing w:after="0" w:line="240" w:lineRule="auto"/>
        <w:ind w:left="567" w:hanging="283"/>
        <w:jc w:val="both"/>
        <w:rPr>
          <w:rFonts w:cstheme="minorHAnsi"/>
          <w:i/>
          <w:iCs/>
          <w:sz w:val="24"/>
          <w:szCs w:val="24"/>
        </w:rPr>
      </w:pPr>
      <w:r w:rsidRPr="00186799">
        <w:rPr>
          <w:rFonts w:cstheme="minorHAnsi"/>
          <w:i/>
          <w:iCs/>
          <w:sz w:val="24"/>
          <w:szCs w:val="24"/>
        </w:rPr>
        <w:t>a) usługodawca nie ma wiarygodnych wiadomości o bezprawnym charakterze działalności lub informacji, a w odniesieniu do roszczeń odszkodowawczych - nie wie o stanie faktycznym lub okolicznościach, które w sposób oczywisty świadczą o tej bezprawności, lub</w:t>
      </w:r>
    </w:p>
    <w:p w14:paraId="5E0E850D" w14:textId="77777777" w:rsidR="007F1A13" w:rsidRPr="00186799" w:rsidRDefault="007F1A13" w:rsidP="003E6B41">
      <w:pPr>
        <w:spacing w:after="0" w:line="240" w:lineRule="auto"/>
        <w:ind w:left="567" w:hanging="283"/>
        <w:jc w:val="both"/>
        <w:rPr>
          <w:rFonts w:cstheme="minorHAnsi"/>
          <w:i/>
          <w:iCs/>
          <w:sz w:val="24"/>
          <w:szCs w:val="24"/>
        </w:rPr>
      </w:pPr>
      <w:r w:rsidRPr="00186799">
        <w:rPr>
          <w:rFonts w:cstheme="minorHAnsi"/>
          <w:i/>
          <w:iCs/>
          <w:sz w:val="24"/>
          <w:szCs w:val="24"/>
        </w:rPr>
        <w:t>b) usługodawca podejmuje niezwłocznie odpowiednie działania w celu usunięcia lub uniemożliwienia dostępu do informacji, gdy uzyska takie wiadomości lub zostanie o nich powiadomiony.”</w:t>
      </w:r>
    </w:p>
    <w:p w14:paraId="6E1337EF" w14:textId="77777777" w:rsidR="007F1A13" w:rsidRDefault="007F1A13" w:rsidP="007F1A13">
      <w:pPr>
        <w:spacing w:after="0" w:line="240" w:lineRule="auto"/>
        <w:ind w:firstLine="567"/>
        <w:jc w:val="both"/>
        <w:rPr>
          <w:rFonts w:cstheme="minorHAnsi"/>
          <w:sz w:val="14"/>
          <w:szCs w:val="14"/>
        </w:rPr>
      </w:pPr>
    </w:p>
    <w:p w14:paraId="354BD3DA" w14:textId="77777777" w:rsidR="00D334F0" w:rsidRPr="0082700E" w:rsidRDefault="00D334F0" w:rsidP="00D334F0">
      <w:pPr>
        <w:pStyle w:val="Akapitzlist"/>
        <w:rPr>
          <w:rFonts w:cstheme="minorHAnsi"/>
          <w:sz w:val="8"/>
          <w:szCs w:val="8"/>
        </w:rPr>
      </w:pPr>
    </w:p>
    <w:p w14:paraId="63123D90" w14:textId="77777777" w:rsidR="00D334F0"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Art. 15 dyrektywy przewiduje w ust. 1 brak „</w:t>
      </w:r>
      <w:r w:rsidR="007F1A13" w:rsidRPr="00D334F0">
        <w:rPr>
          <w:rFonts w:cstheme="minorHAnsi"/>
          <w:i/>
          <w:iCs/>
          <w:sz w:val="24"/>
          <w:szCs w:val="24"/>
        </w:rPr>
        <w:t>ogólnego obowiązku</w:t>
      </w:r>
      <w:r w:rsidR="007F1A13" w:rsidRPr="00D334F0">
        <w:rPr>
          <w:rFonts w:cstheme="minorHAnsi"/>
          <w:sz w:val="24"/>
          <w:szCs w:val="24"/>
        </w:rPr>
        <w:t>” po stronie usługodawców w zakresie „</w:t>
      </w:r>
      <w:r w:rsidR="007F1A13" w:rsidRPr="00D334F0">
        <w:rPr>
          <w:rFonts w:cstheme="minorHAnsi"/>
          <w:i/>
          <w:iCs/>
          <w:sz w:val="24"/>
          <w:szCs w:val="24"/>
        </w:rPr>
        <w:t>nadzorowania informacji, które przekazują lub przechowują</w:t>
      </w:r>
      <w:r w:rsidR="007F1A13" w:rsidRPr="00D334F0">
        <w:rPr>
          <w:rFonts w:cstheme="minorHAnsi"/>
          <w:sz w:val="24"/>
          <w:szCs w:val="24"/>
        </w:rPr>
        <w:t>” oraz brak „</w:t>
      </w:r>
      <w:r w:rsidR="007F1A13" w:rsidRPr="00D334F0">
        <w:rPr>
          <w:rFonts w:cstheme="minorHAnsi"/>
          <w:i/>
          <w:iCs/>
          <w:sz w:val="24"/>
          <w:szCs w:val="24"/>
        </w:rPr>
        <w:t>ogólnego obowiązku aktywnego poszukiwania faktów i okoliczności wskazujących na bezprawną działalność</w:t>
      </w:r>
      <w:r w:rsidR="007F1A13" w:rsidRPr="00D334F0">
        <w:rPr>
          <w:rFonts w:cstheme="minorHAnsi"/>
          <w:sz w:val="24"/>
          <w:szCs w:val="24"/>
        </w:rPr>
        <w:t>”.</w:t>
      </w:r>
    </w:p>
    <w:p w14:paraId="5580A18A" w14:textId="562151F0" w:rsidR="002E6282" w:rsidRDefault="00D334F0"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D334F0">
        <w:rPr>
          <w:rFonts w:cstheme="minorHAnsi"/>
          <w:sz w:val="24"/>
          <w:szCs w:val="24"/>
        </w:rPr>
        <w:t xml:space="preserve">Na gruncie przytoczonego wyżej art. 14 ust. 1 dyrektywy 2000/31/WE Trybunał sformułował dyrektywę nakazującą jego interpretację </w:t>
      </w:r>
      <w:r w:rsidR="002E6282">
        <w:rPr>
          <w:rFonts w:cstheme="minorHAnsi"/>
          <w:sz w:val="24"/>
          <w:szCs w:val="24"/>
        </w:rPr>
        <w:t>-</w:t>
      </w:r>
    </w:p>
    <w:p w14:paraId="19A1E9DE" w14:textId="1FCEA445" w:rsidR="002E6282" w:rsidRPr="002E6282" w:rsidRDefault="007F1A13" w:rsidP="002E6282">
      <w:pPr>
        <w:pStyle w:val="Akapitzlist"/>
        <w:tabs>
          <w:tab w:val="left" w:pos="567"/>
        </w:tabs>
        <w:ind w:left="0"/>
        <w:jc w:val="both"/>
        <w:rPr>
          <w:rFonts w:cstheme="minorHAnsi"/>
          <w:sz w:val="10"/>
          <w:szCs w:val="10"/>
        </w:rPr>
      </w:pPr>
      <w:r w:rsidRPr="002E6282">
        <w:rPr>
          <w:rFonts w:cstheme="minorHAnsi"/>
          <w:sz w:val="10"/>
          <w:szCs w:val="10"/>
        </w:rPr>
        <w:t xml:space="preserve"> </w:t>
      </w:r>
    </w:p>
    <w:p w14:paraId="78B62B85" w14:textId="3017BC5C" w:rsidR="002E6282" w:rsidRDefault="007F1A13" w:rsidP="002E6282">
      <w:pPr>
        <w:pStyle w:val="Akapitzlist"/>
        <w:tabs>
          <w:tab w:val="left" w:pos="567"/>
        </w:tabs>
        <w:ind w:left="567"/>
        <w:jc w:val="both"/>
        <w:rPr>
          <w:rFonts w:cstheme="minorHAnsi"/>
          <w:sz w:val="24"/>
          <w:szCs w:val="24"/>
        </w:rPr>
      </w:pPr>
      <w:r w:rsidRPr="00D334F0">
        <w:rPr>
          <w:rFonts w:cstheme="minorHAnsi"/>
          <w:sz w:val="24"/>
          <w:szCs w:val="24"/>
        </w:rPr>
        <w:t>„</w:t>
      </w:r>
      <w:r w:rsidRPr="00D334F0">
        <w:rPr>
          <w:rFonts w:cstheme="minorHAnsi"/>
          <w:i/>
          <w:iCs/>
          <w:sz w:val="24"/>
          <w:szCs w:val="24"/>
        </w:rPr>
        <w:t>w ten sposób, że ma on zastosowanie do operatora rynku elektronicznego online, jeżeli nie odgrywa on czynnej roli, która mogłaby mu pozwolić na powzięcie wiedzy o przechowywanych danych lub na sprawowanie nad nimi kontroli.</w:t>
      </w:r>
      <w:r w:rsidRPr="00D334F0">
        <w:rPr>
          <w:rFonts w:cstheme="minorHAnsi"/>
          <w:sz w:val="24"/>
          <w:szCs w:val="24"/>
        </w:rPr>
        <w:t>”</w:t>
      </w:r>
    </w:p>
    <w:p w14:paraId="4DE5025F" w14:textId="53EC6CD3" w:rsidR="002E6282" w:rsidRPr="002E6282" w:rsidRDefault="007F1A13" w:rsidP="002E6282">
      <w:pPr>
        <w:pStyle w:val="Akapitzlist"/>
        <w:tabs>
          <w:tab w:val="left" w:pos="567"/>
        </w:tabs>
        <w:ind w:left="567"/>
        <w:jc w:val="both"/>
        <w:rPr>
          <w:rFonts w:cstheme="minorHAnsi"/>
          <w:sz w:val="24"/>
          <w:szCs w:val="24"/>
        </w:rPr>
      </w:pPr>
      <w:r w:rsidRPr="002E6282">
        <w:rPr>
          <w:rFonts w:cstheme="minorHAnsi"/>
          <w:sz w:val="24"/>
          <w:szCs w:val="24"/>
        </w:rPr>
        <w:t>„</w:t>
      </w:r>
      <w:r w:rsidRPr="002E6282">
        <w:rPr>
          <w:rFonts w:cstheme="minorHAnsi"/>
          <w:i/>
          <w:iCs/>
          <w:sz w:val="24"/>
          <w:szCs w:val="24"/>
        </w:rPr>
        <w:t>Wspomniany operator odgrywa taka rolę, jeżeli udziela wsparcia polegającego w szczególności na optymalizacji prezentacji konkretnych ofert sprzedaży lub na ich promocji.”</w:t>
      </w:r>
      <w:r w:rsidR="002E6282">
        <w:rPr>
          <w:rFonts w:cstheme="minorHAnsi"/>
          <w:i/>
          <w:iCs/>
          <w:sz w:val="24"/>
          <w:szCs w:val="24"/>
        </w:rPr>
        <w:t>.</w:t>
      </w:r>
    </w:p>
    <w:p w14:paraId="38669EF2" w14:textId="77777777" w:rsidR="002E6282" w:rsidRPr="002E6282" w:rsidRDefault="002E6282" w:rsidP="002E6282">
      <w:pPr>
        <w:pStyle w:val="Akapitzlist"/>
        <w:tabs>
          <w:tab w:val="left" w:pos="567"/>
        </w:tabs>
        <w:ind w:left="0"/>
        <w:jc w:val="both"/>
        <w:rPr>
          <w:rFonts w:cstheme="minorHAnsi"/>
          <w:sz w:val="10"/>
          <w:szCs w:val="10"/>
        </w:rPr>
      </w:pPr>
    </w:p>
    <w:p w14:paraId="63A879FF" w14:textId="13D2BD1F" w:rsidR="002E6282" w:rsidRDefault="002E6282" w:rsidP="00153D21">
      <w:pPr>
        <w:pStyle w:val="Akapitzlist"/>
        <w:numPr>
          <w:ilvl w:val="0"/>
          <w:numId w:val="59"/>
        </w:numPr>
        <w:tabs>
          <w:tab w:val="left" w:pos="567"/>
        </w:tabs>
        <w:ind w:left="0" w:hanging="851"/>
        <w:jc w:val="both"/>
        <w:rPr>
          <w:rFonts w:cstheme="minorHAnsi"/>
          <w:sz w:val="24"/>
          <w:szCs w:val="24"/>
        </w:rPr>
      </w:pPr>
      <w:r>
        <w:rPr>
          <w:rFonts w:cstheme="minorHAnsi"/>
          <w:i/>
          <w:iCs/>
          <w:sz w:val="24"/>
          <w:szCs w:val="24"/>
        </w:rPr>
        <w:t xml:space="preserve"> </w:t>
      </w:r>
      <w:r>
        <w:rPr>
          <w:rFonts w:cstheme="minorHAnsi"/>
          <w:i/>
          <w:iCs/>
          <w:sz w:val="24"/>
          <w:szCs w:val="24"/>
        </w:rPr>
        <w:tab/>
      </w:r>
      <w:r w:rsidR="007F1A13" w:rsidRPr="002E6282">
        <w:rPr>
          <w:rFonts w:cstheme="minorHAnsi"/>
          <w:sz w:val="24"/>
          <w:szCs w:val="24"/>
        </w:rPr>
        <w:t xml:space="preserve">Jak zaznaczył Trybunał, nawet gdy operator rynku elektronicznego nie odgrywa czynnej roli </w:t>
      </w:r>
      <w:r w:rsidR="003C031A">
        <w:rPr>
          <w:rFonts w:cstheme="minorHAnsi"/>
          <w:sz w:val="24"/>
          <w:szCs w:val="24"/>
        </w:rPr>
        <w:t>-</w:t>
      </w:r>
      <w:r w:rsidR="007F1A13" w:rsidRPr="002E6282">
        <w:rPr>
          <w:rFonts w:cstheme="minorHAnsi"/>
          <w:sz w:val="24"/>
          <w:szCs w:val="24"/>
        </w:rPr>
        <w:t xml:space="preserve"> </w:t>
      </w:r>
    </w:p>
    <w:p w14:paraId="781F1CAD" w14:textId="24702B3F" w:rsidR="007F1A13" w:rsidRPr="002E6282" w:rsidRDefault="007F1A13" w:rsidP="002E6282">
      <w:pPr>
        <w:pStyle w:val="Akapitzlist"/>
        <w:tabs>
          <w:tab w:val="left" w:pos="567"/>
        </w:tabs>
        <w:ind w:left="567"/>
        <w:jc w:val="both"/>
        <w:rPr>
          <w:rFonts w:cstheme="minorHAnsi"/>
          <w:sz w:val="24"/>
          <w:szCs w:val="24"/>
        </w:rPr>
      </w:pPr>
      <w:r w:rsidRPr="002E6282">
        <w:rPr>
          <w:rFonts w:cstheme="minorHAnsi"/>
          <w:sz w:val="24"/>
          <w:szCs w:val="24"/>
        </w:rPr>
        <w:t>„</w:t>
      </w:r>
      <w:r w:rsidRPr="002E6282">
        <w:rPr>
          <w:rFonts w:cstheme="minorHAnsi"/>
          <w:i/>
          <w:iCs/>
          <w:sz w:val="24"/>
          <w:szCs w:val="24"/>
        </w:rPr>
        <w:t>nie może on powołać się na zwolnienie z odpowiedzialności przewidziane w tym przepisie, jeżeli wiedział o stanie faktycznym lub okolicznościach, na podstawie których przedsiębiorca wykazujący należytą staranność powinien stwierdzić bezprawność danych ofert sprzedaży i w przypadku posiadania takiej wiedzy nie podjął niezwłocznie działań stosownie do art. 14 ust. 1 lit. b) tej dyrektywy.</w:t>
      </w:r>
      <w:r w:rsidRPr="002E6282">
        <w:rPr>
          <w:rFonts w:cstheme="minorHAnsi"/>
          <w:sz w:val="24"/>
          <w:szCs w:val="24"/>
        </w:rPr>
        <w:t>”</w:t>
      </w:r>
    </w:p>
    <w:p w14:paraId="5C9C209E" w14:textId="77777777" w:rsidR="007F1A13" w:rsidRPr="003E6B41" w:rsidRDefault="007F1A13" w:rsidP="007F1A13">
      <w:pPr>
        <w:spacing w:after="0" w:line="240" w:lineRule="auto"/>
        <w:ind w:firstLine="567"/>
        <w:jc w:val="both"/>
        <w:rPr>
          <w:rFonts w:cstheme="minorHAnsi"/>
          <w:sz w:val="10"/>
          <w:szCs w:val="10"/>
        </w:rPr>
      </w:pPr>
    </w:p>
    <w:p w14:paraId="3EA19DB0" w14:textId="493FABCF" w:rsidR="002E6282" w:rsidRDefault="002E6282"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2E6282">
        <w:rPr>
          <w:rFonts w:cstheme="minorHAnsi"/>
          <w:sz w:val="24"/>
          <w:szCs w:val="24"/>
        </w:rPr>
        <w:t xml:space="preserve">W odniesieniu do art. 11 zdanie trzecie dyrektywy 2004/48/WE Trybunał przyjął wykładnię, iż przepis ten </w:t>
      </w:r>
      <w:r>
        <w:rPr>
          <w:rFonts w:cstheme="minorHAnsi"/>
          <w:sz w:val="24"/>
          <w:szCs w:val="24"/>
        </w:rPr>
        <w:t>-</w:t>
      </w:r>
    </w:p>
    <w:p w14:paraId="1DB1C86E" w14:textId="77777777" w:rsidR="002E6282" w:rsidRPr="002E6282" w:rsidRDefault="002E6282" w:rsidP="002E6282">
      <w:pPr>
        <w:pStyle w:val="Akapitzlist"/>
        <w:tabs>
          <w:tab w:val="left" w:pos="567"/>
        </w:tabs>
        <w:ind w:left="0"/>
        <w:jc w:val="both"/>
        <w:rPr>
          <w:rFonts w:cstheme="minorHAnsi"/>
          <w:sz w:val="10"/>
          <w:szCs w:val="10"/>
        </w:rPr>
      </w:pPr>
    </w:p>
    <w:p w14:paraId="6C9C2C55" w14:textId="4877CE19" w:rsidR="007F1A13" w:rsidRPr="00186799" w:rsidRDefault="007F1A13" w:rsidP="002E6282">
      <w:pPr>
        <w:spacing w:after="0" w:line="240" w:lineRule="auto"/>
        <w:ind w:left="567"/>
        <w:jc w:val="both"/>
        <w:rPr>
          <w:rFonts w:cstheme="minorHAnsi"/>
          <w:i/>
          <w:iCs/>
          <w:sz w:val="24"/>
          <w:szCs w:val="24"/>
        </w:rPr>
      </w:pPr>
      <w:r w:rsidRPr="00186799">
        <w:rPr>
          <w:rFonts w:cstheme="minorHAnsi"/>
          <w:sz w:val="24"/>
          <w:szCs w:val="24"/>
        </w:rPr>
        <w:lastRenderedPageBreak/>
        <w:t>„</w:t>
      </w:r>
      <w:r w:rsidRPr="00186799">
        <w:rPr>
          <w:rFonts w:cstheme="minorHAnsi"/>
          <w:i/>
          <w:iCs/>
          <w:sz w:val="24"/>
          <w:szCs w:val="24"/>
        </w:rPr>
        <w:t>należy interpretować w ten sposób, że wymaga on od państw członkowskich</w:t>
      </w:r>
      <w:r w:rsidR="002E6282">
        <w:rPr>
          <w:rFonts w:cstheme="minorHAnsi"/>
          <w:i/>
          <w:iCs/>
          <w:sz w:val="24"/>
          <w:szCs w:val="24"/>
        </w:rPr>
        <w:t xml:space="preserve"> </w:t>
      </w:r>
      <w:r w:rsidRPr="00186799">
        <w:rPr>
          <w:rFonts w:cstheme="minorHAnsi"/>
          <w:i/>
          <w:iCs/>
          <w:sz w:val="24"/>
          <w:szCs w:val="24"/>
        </w:rPr>
        <w:t>zapewnienia, że sądy krajowe właściwe w zakresie ochrony praw własności</w:t>
      </w:r>
      <w:r w:rsidR="002E6282">
        <w:rPr>
          <w:rFonts w:cstheme="minorHAnsi"/>
          <w:i/>
          <w:iCs/>
          <w:sz w:val="24"/>
          <w:szCs w:val="24"/>
        </w:rPr>
        <w:t xml:space="preserve"> </w:t>
      </w:r>
      <w:r w:rsidRPr="00186799">
        <w:rPr>
          <w:rFonts w:cstheme="minorHAnsi"/>
          <w:i/>
          <w:iCs/>
          <w:sz w:val="24"/>
          <w:szCs w:val="24"/>
        </w:rPr>
        <w:t>intelektualnej będą mogły nakazać operatorowi rynku elektronicznego online podjęcie działań, które przyczynią się nie tylko do zaprzestania naruszeń tych praw przez użytkowników tego rynku, ale także do zapobieżenia nowym naruszeniom tego rodzaju. Owe nakazy muszą być skuteczne, proporcjonalne i odstraszające, a ponadto nie mogą tworzyć ograniczeń w handlu prowadzonym zgodnie z prawem.”</w:t>
      </w:r>
    </w:p>
    <w:p w14:paraId="3E5D980A" w14:textId="77777777" w:rsidR="007F1A13" w:rsidRPr="003E6B41" w:rsidRDefault="007F1A13" w:rsidP="007F1A13">
      <w:pPr>
        <w:spacing w:after="0" w:line="240" w:lineRule="auto"/>
        <w:ind w:firstLine="567"/>
        <w:jc w:val="both"/>
        <w:rPr>
          <w:rFonts w:cstheme="minorHAnsi"/>
          <w:i/>
          <w:iCs/>
          <w:sz w:val="10"/>
          <w:szCs w:val="10"/>
        </w:rPr>
      </w:pPr>
    </w:p>
    <w:p w14:paraId="71DD7C81" w14:textId="2DD3C97B" w:rsidR="002E6282" w:rsidRDefault="002E6282"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2E6282">
        <w:rPr>
          <w:rFonts w:cstheme="minorHAnsi"/>
          <w:sz w:val="24"/>
          <w:szCs w:val="24"/>
        </w:rPr>
        <w:t xml:space="preserve">W sposób wskazany przez Trybunał (wielka izba) w sprawie C-324/09 należy, zgodnie z wyrokiem Trybunału (druga izba) w sprawie C-494/15, określić sytuację prawną </w:t>
      </w:r>
      <w:r>
        <w:rPr>
          <w:rFonts w:cstheme="minorHAnsi"/>
          <w:sz w:val="24"/>
          <w:szCs w:val="24"/>
        </w:rPr>
        <w:t>–</w:t>
      </w:r>
      <w:r w:rsidR="007F1A13" w:rsidRPr="002E6282">
        <w:rPr>
          <w:rFonts w:cstheme="minorHAnsi"/>
          <w:sz w:val="24"/>
          <w:szCs w:val="24"/>
        </w:rPr>
        <w:t xml:space="preserve"> </w:t>
      </w:r>
    </w:p>
    <w:p w14:paraId="11850ECC" w14:textId="77777777" w:rsidR="002E6282" w:rsidRPr="002E6282" w:rsidRDefault="002E6282" w:rsidP="002E6282">
      <w:pPr>
        <w:pStyle w:val="Akapitzlist"/>
        <w:tabs>
          <w:tab w:val="left" w:pos="567"/>
        </w:tabs>
        <w:ind w:left="567"/>
        <w:jc w:val="both"/>
        <w:rPr>
          <w:rFonts w:cstheme="minorHAnsi"/>
          <w:i/>
          <w:iCs/>
          <w:sz w:val="10"/>
          <w:szCs w:val="10"/>
        </w:rPr>
      </w:pPr>
    </w:p>
    <w:p w14:paraId="279E857C" w14:textId="14CCD7F2" w:rsidR="007F1A13" w:rsidRPr="002E6282" w:rsidRDefault="007F1A13" w:rsidP="002E6282">
      <w:pPr>
        <w:pStyle w:val="Akapitzlist"/>
        <w:tabs>
          <w:tab w:val="left" w:pos="567"/>
        </w:tabs>
        <w:ind w:left="567"/>
        <w:jc w:val="both"/>
        <w:rPr>
          <w:rFonts w:cstheme="minorHAnsi"/>
          <w:sz w:val="24"/>
          <w:szCs w:val="24"/>
        </w:rPr>
      </w:pPr>
      <w:r w:rsidRPr="002E6282">
        <w:rPr>
          <w:rFonts w:cstheme="minorHAnsi"/>
          <w:i/>
          <w:iCs/>
          <w:sz w:val="24"/>
          <w:szCs w:val="24"/>
        </w:rPr>
        <w:t>„dzierżawcy hali targowej, który poddzierżawia usytuowane w tych halach stanowiska handlowe indywidualnym podmiotom handlującym, spośród których niektóre wykorzystują swe miejsce do sprzedaży towarów będących podróbkami towarów markowych”.</w:t>
      </w:r>
    </w:p>
    <w:p w14:paraId="0773B553" w14:textId="77777777" w:rsidR="007F1A13" w:rsidRPr="003E6B41" w:rsidRDefault="007F1A13" w:rsidP="007F1A13">
      <w:pPr>
        <w:spacing w:after="0" w:line="240" w:lineRule="auto"/>
        <w:ind w:firstLine="567"/>
        <w:jc w:val="both"/>
        <w:rPr>
          <w:rFonts w:cstheme="minorHAnsi"/>
          <w:i/>
          <w:iCs/>
          <w:sz w:val="10"/>
          <w:szCs w:val="10"/>
        </w:rPr>
      </w:pPr>
    </w:p>
    <w:p w14:paraId="754C8566" w14:textId="77777777" w:rsidR="002E6282" w:rsidRDefault="002E6282"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Pr="00D334F0">
        <w:rPr>
          <w:rFonts w:cstheme="minorHAnsi"/>
          <w:sz w:val="24"/>
          <w:szCs w:val="24"/>
        </w:rPr>
        <w:t>Cel nowej regulacji został wskazany w uzasadnieniu rządowego projektu ustawy (druk nr 3107 Sejmu RP VIII kadencji) na str. 13:</w:t>
      </w:r>
    </w:p>
    <w:p w14:paraId="73EFC5B9" w14:textId="77777777" w:rsidR="002E6282" w:rsidRDefault="007F1A13" w:rsidP="00153D21">
      <w:pPr>
        <w:pStyle w:val="Akapitzlist"/>
        <w:numPr>
          <w:ilvl w:val="0"/>
          <w:numId w:val="59"/>
        </w:numPr>
        <w:tabs>
          <w:tab w:val="left" w:pos="567"/>
        </w:tabs>
        <w:ind w:left="0" w:hanging="851"/>
        <w:jc w:val="both"/>
        <w:rPr>
          <w:rFonts w:cstheme="minorHAnsi"/>
          <w:sz w:val="24"/>
          <w:szCs w:val="24"/>
        </w:rPr>
      </w:pPr>
      <w:r w:rsidRPr="002E6282">
        <w:rPr>
          <w:rFonts w:cstheme="minorHAnsi"/>
          <w:sz w:val="24"/>
          <w:szCs w:val="24"/>
        </w:rPr>
        <w:t>Kierując się powyższymi wskazaniami należy dojść do wniosku, że dzierżawca hali targowej będzie zwolniony z odpowiedzialności, jeżeli nie odgrywa czynnej roli, która mogłaby mu pozwolić na powzięcie wiedzy o podrobionych towarach sprzedawanych przez poddzierżawców, nie udziela poddzierżawcom wsparcia polegającego w szczególności na optymalizacji prezentacji konkretnych ofert lub na ich promocji.</w:t>
      </w:r>
    </w:p>
    <w:p w14:paraId="24871CE8" w14:textId="77777777" w:rsidR="002E6282" w:rsidRDefault="007F1A13" w:rsidP="00153D21">
      <w:pPr>
        <w:pStyle w:val="Akapitzlist"/>
        <w:numPr>
          <w:ilvl w:val="0"/>
          <w:numId w:val="59"/>
        </w:numPr>
        <w:tabs>
          <w:tab w:val="left" w:pos="567"/>
        </w:tabs>
        <w:ind w:left="0" w:hanging="851"/>
        <w:jc w:val="both"/>
        <w:rPr>
          <w:rFonts w:cstheme="minorHAnsi"/>
          <w:sz w:val="24"/>
          <w:szCs w:val="24"/>
        </w:rPr>
      </w:pPr>
      <w:r w:rsidRPr="002E6282">
        <w:rPr>
          <w:rFonts w:cstheme="minorHAnsi"/>
          <w:sz w:val="24"/>
          <w:szCs w:val="24"/>
        </w:rPr>
        <w:t xml:space="preserve">Nawet gdy dzierżawca hali targowej nie odgrywa czynnej roli, nie może on zwolnić się z odpowiedzialności, gdy wiedział o stanie faktycznym lub okolicznościach, na podstawie których przedsiębiorca wykazujący należytą staranność powinien stwierdzić bezprawność danych ofert i w przypadku posiadania takiej wiedzy nie podjął niezwłocznie stosownych działań. Dzierżawca nie ma jednak ogólnego obowiązku nadzorowania informacji na temat towarów wystawianych przez poddzierżawców, ani aktywnego poszukiwania faktów i okoliczności wskazujących na bezprawność ich działania. </w:t>
      </w:r>
    </w:p>
    <w:p w14:paraId="08A82897" w14:textId="77777777" w:rsidR="002E6282" w:rsidRDefault="007F1A13" w:rsidP="00153D21">
      <w:pPr>
        <w:pStyle w:val="Akapitzlist"/>
        <w:numPr>
          <w:ilvl w:val="0"/>
          <w:numId w:val="59"/>
        </w:numPr>
        <w:tabs>
          <w:tab w:val="left" w:pos="567"/>
        </w:tabs>
        <w:ind w:left="0" w:hanging="851"/>
        <w:jc w:val="both"/>
        <w:rPr>
          <w:rFonts w:cstheme="minorHAnsi"/>
          <w:sz w:val="24"/>
          <w:szCs w:val="24"/>
        </w:rPr>
      </w:pPr>
      <w:r w:rsidRPr="002E6282">
        <w:rPr>
          <w:rFonts w:cstheme="minorHAnsi"/>
          <w:sz w:val="24"/>
          <w:szCs w:val="24"/>
        </w:rPr>
        <w:t>Dzierżawca hali targowej zobowiązany jest podejmować wobec poddzierżawców naruszających prawa własności intelektualnej działania, które nie tylko przyczyniają się do zaprzestania naruszeń, ale także do zapobieżenia nowym naruszeniom tego rodzaju.</w:t>
      </w:r>
    </w:p>
    <w:p w14:paraId="0B990338" w14:textId="0939C787" w:rsidR="007F1A13" w:rsidRPr="002E6282" w:rsidRDefault="007F1A13" w:rsidP="00153D21">
      <w:pPr>
        <w:pStyle w:val="Akapitzlist"/>
        <w:numPr>
          <w:ilvl w:val="0"/>
          <w:numId w:val="59"/>
        </w:numPr>
        <w:tabs>
          <w:tab w:val="left" w:pos="567"/>
        </w:tabs>
        <w:ind w:left="0" w:hanging="851"/>
        <w:jc w:val="both"/>
        <w:rPr>
          <w:rFonts w:cstheme="minorHAnsi"/>
          <w:sz w:val="24"/>
          <w:szCs w:val="24"/>
        </w:rPr>
      </w:pPr>
      <w:r w:rsidRPr="002E6282">
        <w:rPr>
          <w:rFonts w:cstheme="minorHAnsi"/>
          <w:sz w:val="24"/>
          <w:szCs w:val="24"/>
        </w:rPr>
        <w:t xml:space="preserve">Zapewnienie jednolitego podejścia do operatorów działających na rynku online oraz do dzierżawców hal targowych nie wymaga ingerencji ustawodawcy. Taki efekt winien być uzyskany na poziomie orzeczniczym. Ingerencji ustawodawcy wymaga natomiast poprawna implementacja art. 11 </w:t>
      </w:r>
      <w:proofErr w:type="spellStart"/>
      <w:r w:rsidRPr="002E6282">
        <w:rPr>
          <w:rFonts w:cstheme="minorHAnsi"/>
          <w:sz w:val="24"/>
          <w:szCs w:val="24"/>
        </w:rPr>
        <w:t>zd</w:t>
      </w:r>
      <w:proofErr w:type="spellEnd"/>
      <w:r w:rsidRPr="002E6282">
        <w:rPr>
          <w:rFonts w:cstheme="minorHAnsi"/>
          <w:sz w:val="24"/>
          <w:szCs w:val="24"/>
        </w:rPr>
        <w:t>. 3 dyrektywy 2004/48/WE. Jej wdrożenie winno dotyczyć wszystkich praw własności intelektualnej, a nie tylko praw ochronnych na znaki towarowe. W ustawie Prawo własności przemysłowej właściwym miejscem wydaje się:</w:t>
      </w:r>
    </w:p>
    <w:p w14:paraId="081D3797" w14:textId="77777777" w:rsidR="007F1A13" w:rsidRPr="00186799" w:rsidRDefault="007F1A13" w:rsidP="007F1A13">
      <w:pPr>
        <w:spacing w:after="0" w:line="240" w:lineRule="auto"/>
        <w:jc w:val="both"/>
        <w:rPr>
          <w:rFonts w:cstheme="minorHAnsi"/>
          <w:i/>
          <w:iCs/>
          <w:sz w:val="24"/>
          <w:szCs w:val="24"/>
        </w:rPr>
      </w:pPr>
      <w:r w:rsidRPr="00186799">
        <w:rPr>
          <w:rFonts w:cstheme="minorHAnsi"/>
          <w:i/>
          <w:iCs/>
          <w:sz w:val="24"/>
          <w:szCs w:val="24"/>
        </w:rPr>
        <w:t>„Dział I. Przepisy wspólne,</w:t>
      </w:r>
    </w:p>
    <w:p w14:paraId="63EA50D4" w14:textId="77777777" w:rsidR="007F1A13" w:rsidRPr="00186799" w:rsidRDefault="007F1A13" w:rsidP="007F1A13">
      <w:pPr>
        <w:spacing w:after="0" w:line="240" w:lineRule="auto"/>
        <w:jc w:val="both"/>
        <w:rPr>
          <w:rFonts w:cstheme="minorHAnsi"/>
          <w:i/>
          <w:iCs/>
          <w:sz w:val="24"/>
          <w:szCs w:val="24"/>
        </w:rPr>
      </w:pPr>
      <w:r w:rsidRPr="00186799">
        <w:rPr>
          <w:rFonts w:cstheme="minorHAnsi"/>
          <w:i/>
          <w:iCs/>
          <w:sz w:val="24"/>
          <w:szCs w:val="24"/>
        </w:rPr>
        <w:t>Tytuł IX. Dochodzenie roszczeń w postępowaniu cywilnym”.</w:t>
      </w:r>
    </w:p>
    <w:p w14:paraId="18B554D8" w14:textId="77777777" w:rsidR="002E6282" w:rsidRDefault="002E6282"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2E6282">
        <w:rPr>
          <w:rFonts w:cstheme="minorHAnsi"/>
          <w:sz w:val="24"/>
          <w:szCs w:val="24"/>
        </w:rPr>
        <w:t>Implementacja powinna ograniczyć się do możliwie wiernego przeniesienia treści art. 11 dyrektywy, oczywiście z pominięciem odwołania do ustawy z dnia 18 lipca 2002 r. o świadczeniu usług drogą elektroniczną, której zakres regulacji obejmuje jedynie część potencjalnych pośredników, a mianowicie - usługodawców świadczących usługi drogą elektroniczną. Na wyłączenie odpowiedzialności w oparciu o art. 296 ust. 3 p.w.p. - dzierżawca hal targowych z reguły liczyć nie może, jako że najczęściej nie świadczy usług drog</w:t>
      </w:r>
      <w:r w:rsidR="004273DF" w:rsidRPr="002E6282">
        <w:rPr>
          <w:rFonts w:cstheme="minorHAnsi"/>
          <w:sz w:val="24"/>
          <w:szCs w:val="24"/>
        </w:rPr>
        <w:t>ą</w:t>
      </w:r>
      <w:r w:rsidR="007F1A13" w:rsidRPr="002E6282">
        <w:rPr>
          <w:rFonts w:cstheme="minorHAnsi"/>
          <w:sz w:val="24"/>
          <w:szCs w:val="24"/>
        </w:rPr>
        <w:t xml:space="preserve"> elektroniczną.</w:t>
      </w:r>
    </w:p>
    <w:p w14:paraId="37C908C5" w14:textId="77777777" w:rsidR="002E6282" w:rsidRDefault="007F1A13" w:rsidP="00153D21">
      <w:pPr>
        <w:pStyle w:val="Akapitzlist"/>
        <w:numPr>
          <w:ilvl w:val="0"/>
          <w:numId w:val="59"/>
        </w:numPr>
        <w:tabs>
          <w:tab w:val="left" w:pos="567"/>
        </w:tabs>
        <w:ind w:left="0" w:hanging="851"/>
        <w:jc w:val="both"/>
        <w:rPr>
          <w:rFonts w:cstheme="minorHAnsi"/>
          <w:sz w:val="24"/>
          <w:szCs w:val="24"/>
        </w:rPr>
      </w:pPr>
      <w:r w:rsidRPr="002E6282">
        <w:rPr>
          <w:rFonts w:cstheme="minorHAnsi"/>
          <w:sz w:val="24"/>
          <w:szCs w:val="24"/>
        </w:rPr>
        <w:lastRenderedPageBreak/>
        <w:t xml:space="preserve">Jaki jednak sensowny postulat </w:t>
      </w:r>
      <w:r w:rsidRPr="002E6282">
        <w:rPr>
          <w:rFonts w:cstheme="minorHAnsi"/>
          <w:i/>
          <w:iCs/>
          <w:sz w:val="24"/>
          <w:szCs w:val="24"/>
        </w:rPr>
        <w:t>de lege lata</w:t>
      </w:r>
      <w:r w:rsidRPr="002E6282">
        <w:rPr>
          <w:rFonts w:cstheme="minorHAnsi"/>
          <w:sz w:val="24"/>
          <w:szCs w:val="24"/>
        </w:rPr>
        <w:t xml:space="preserve"> można, na gruncie wadliwej regulacji zawartej w art. 296 ust. 3 p.w.p., sformułować, aby zapewnić postulowane w orzecznictwie Trybunału - jednolite podejście do pośredników, niezależnie od tego, czy świadczą usługi drogą elektroniczną, czy też działają na istniejących fizycznie - placach względnie halach targowych?</w:t>
      </w:r>
    </w:p>
    <w:p w14:paraId="71D0642B" w14:textId="77777777" w:rsidR="002E6282" w:rsidRPr="002E6282" w:rsidRDefault="002E6282" w:rsidP="002E6282">
      <w:pPr>
        <w:pStyle w:val="Akapitzlist"/>
        <w:tabs>
          <w:tab w:val="left" w:pos="567"/>
        </w:tabs>
        <w:ind w:left="0"/>
        <w:jc w:val="both"/>
        <w:rPr>
          <w:rFonts w:cstheme="minorHAnsi"/>
          <w:sz w:val="10"/>
          <w:szCs w:val="10"/>
        </w:rPr>
      </w:pPr>
    </w:p>
    <w:p w14:paraId="184D0CE7" w14:textId="24C2F4DB" w:rsidR="007F1A13" w:rsidRPr="002E6282" w:rsidRDefault="002E6282" w:rsidP="00153D21">
      <w:pPr>
        <w:pStyle w:val="Akapitzlist"/>
        <w:numPr>
          <w:ilvl w:val="0"/>
          <w:numId w:val="59"/>
        </w:numPr>
        <w:tabs>
          <w:tab w:val="left" w:pos="567"/>
        </w:tabs>
        <w:ind w:left="0" w:hanging="851"/>
        <w:jc w:val="both"/>
        <w:rPr>
          <w:rFonts w:cstheme="minorHAnsi"/>
          <w:sz w:val="24"/>
          <w:szCs w:val="24"/>
        </w:rPr>
      </w:pPr>
      <w:r>
        <w:rPr>
          <w:rFonts w:cstheme="minorHAnsi"/>
          <w:sz w:val="24"/>
          <w:szCs w:val="24"/>
        </w:rPr>
        <w:t xml:space="preserve"> </w:t>
      </w:r>
      <w:r>
        <w:rPr>
          <w:rFonts w:cstheme="minorHAnsi"/>
          <w:sz w:val="24"/>
          <w:szCs w:val="24"/>
        </w:rPr>
        <w:tab/>
      </w:r>
      <w:r w:rsidR="007F1A13" w:rsidRPr="002E6282">
        <w:rPr>
          <w:rFonts w:cstheme="minorHAnsi"/>
          <w:sz w:val="24"/>
          <w:szCs w:val="24"/>
        </w:rPr>
        <w:t>Cennych wskazówek w tym zakresie udziela orzecznictwo Trybunału, w tym powoływany wielokrotnie wyrok Trybunału (wielka izba) w sprawie C- 324/09, w którym Trybunał stwierdził, że w sytuacji, gdy art. 11 zdanie trzecie dyrektywy 2004/48 nie jest w danym państwie członkowskim - „</w:t>
      </w:r>
      <w:r w:rsidR="007F1A13" w:rsidRPr="002E6282">
        <w:rPr>
          <w:rFonts w:cstheme="minorHAnsi"/>
          <w:i/>
          <w:iCs/>
          <w:sz w:val="24"/>
          <w:szCs w:val="24"/>
        </w:rPr>
        <w:t xml:space="preserve">przedmiotem przepisów szczególnych mających na celu jego transpozycję, należy przypomnieć, że stosując prawo wewnętrzne, sąd krajowy zobowiązany jest tak dalece, jak to możliwe, dokonywać jego wykładni w świetle brzmienia i celu rzeczonego art. 11 zdanie trzecie dyrektywy 2004/48 (zob. analogiczne wyroki: z dnia 13 listopada 1990 r. w sprawie C- 106/89 </w:t>
      </w:r>
      <w:proofErr w:type="spellStart"/>
      <w:r w:rsidR="007F1A13" w:rsidRPr="002E6282">
        <w:rPr>
          <w:rFonts w:cstheme="minorHAnsi"/>
          <w:i/>
          <w:iCs/>
          <w:sz w:val="24"/>
          <w:szCs w:val="24"/>
        </w:rPr>
        <w:t>Marlesing</w:t>
      </w:r>
      <w:proofErr w:type="spellEnd"/>
      <w:r w:rsidR="007F1A13" w:rsidRPr="002E6282">
        <w:rPr>
          <w:rFonts w:cstheme="minorHAnsi"/>
          <w:i/>
          <w:iCs/>
          <w:sz w:val="24"/>
          <w:szCs w:val="24"/>
        </w:rPr>
        <w:t xml:space="preserve">, Rec. s. I- 4135, pkt. 8; z dnia 23 kwietnia 2009 r. w sprawach połączonych od C-378/07 do C-380/07 </w:t>
      </w:r>
      <w:proofErr w:type="spellStart"/>
      <w:r w:rsidR="007F1A13" w:rsidRPr="002E6282">
        <w:rPr>
          <w:rFonts w:cstheme="minorHAnsi"/>
          <w:i/>
          <w:iCs/>
          <w:sz w:val="24"/>
          <w:szCs w:val="24"/>
        </w:rPr>
        <w:t>Agelidaki</w:t>
      </w:r>
      <w:proofErr w:type="spellEnd"/>
      <w:r w:rsidR="007F1A13" w:rsidRPr="002E6282">
        <w:rPr>
          <w:rFonts w:cstheme="minorHAnsi"/>
          <w:i/>
          <w:iCs/>
          <w:sz w:val="24"/>
          <w:szCs w:val="24"/>
        </w:rPr>
        <w:t xml:space="preserve"> i in. s. I3071, pkt. 106)</w:t>
      </w:r>
      <w:r w:rsidR="007F1A13" w:rsidRPr="002E6282">
        <w:rPr>
          <w:rFonts w:cstheme="minorHAnsi"/>
          <w:sz w:val="24"/>
          <w:szCs w:val="24"/>
        </w:rPr>
        <w:t>.” (pkt. 137 wyroku).</w:t>
      </w:r>
    </w:p>
    <w:p w14:paraId="5EF4BA81" w14:textId="77777777" w:rsidR="007F1A13" w:rsidRPr="00AD25B4" w:rsidRDefault="007F1A13" w:rsidP="007F1A13">
      <w:pPr>
        <w:spacing w:after="0" w:line="240" w:lineRule="auto"/>
        <w:ind w:firstLine="567"/>
        <w:jc w:val="both"/>
        <w:rPr>
          <w:rFonts w:cstheme="minorHAnsi"/>
          <w:sz w:val="36"/>
          <w:szCs w:val="36"/>
        </w:rPr>
      </w:pPr>
    </w:p>
    <w:p w14:paraId="0825A10B" w14:textId="4697690B" w:rsidR="00D3595F" w:rsidRDefault="00D3595F" w:rsidP="00D3595F">
      <w:pPr>
        <w:spacing w:after="0" w:line="240" w:lineRule="auto"/>
        <w:jc w:val="center"/>
        <w:rPr>
          <w:rFonts w:cstheme="minorHAnsi"/>
        </w:rPr>
      </w:pPr>
      <w:r w:rsidRPr="00D3595F">
        <w:rPr>
          <w:rFonts w:cstheme="minorHAnsi"/>
        </w:rPr>
        <w:t xml:space="preserve">* </w:t>
      </w:r>
      <w:r>
        <w:rPr>
          <w:rFonts w:cstheme="minorHAnsi"/>
        </w:rPr>
        <w:t>* *</w:t>
      </w:r>
    </w:p>
    <w:p w14:paraId="626227BA" w14:textId="77777777" w:rsidR="004F7B5E" w:rsidRDefault="00D3595F" w:rsidP="00D3595F">
      <w:pPr>
        <w:spacing w:after="0" w:line="240" w:lineRule="auto"/>
        <w:jc w:val="both"/>
        <w:rPr>
          <w:sz w:val="24"/>
          <w:szCs w:val="24"/>
        </w:rPr>
      </w:pPr>
      <w:r w:rsidRPr="00186799">
        <w:rPr>
          <w:b/>
          <w:bCs/>
          <w:sz w:val="24"/>
          <w:szCs w:val="24"/>
        </w:rPr>
        <w:t>Krótki wyciąg:</w:t>
      </w:r>
      <w:r w:rsidRPr="00186799">
        <w:rPr>
          <w:sz w:val="24"/>
          <w:szCs w:val="24"/>
        </w:rPr>
        <w:t xml:space="preserve"> </w:t>
      </w:r>
    </w:p>
    <w:p w14:paraId="4CDC1D96" w14:textId="77777777" w:rsidR="004F7B5E" w:rsidRPr="00186799" w:rsidRDefault="004F7B5E" w:rsidP="004F7B5E">
      <w:pPr>
        <w:spacing w:after="0" w:line="240" w:lineRule="auto"/>
        <w:rPr>
          <w:rFonts w:cstheme="minorHAnsi"/>
          <w:b/>
          <w:bCs/>
          <w:sz w:val="24"/>
          <w:szCs w:val="24"/>
        </w:rPr>
      </w:pPr>
      <w:r w:rsidRPr="00186799">
        <w:rPr>
          <w:rFonts w:cstheme="minorHAnsi"/>
          <w:b/>
          <w:bCs/>
          <w:sz w:val="24"/>
          <w:szCs w:val="24"/>
        </w:rPr>
        <w:t>Odpowiedzialność osoby, z usług której korzystano przy naruszeniu prawa ochronnego na znak towarowy, w ustawie Prawo własności przemysłowej.</w:t>
      </w:r>
    </w:p>
    <w:p w14:paraId="7FB1E211" w14:textId="7321B791" w:rsidR="00D3595F" w:rsidRDefault="00D3595F" w:rsidP="00D3595F">
      <w:pPr>
        <w:spacing w:after="0" w:line="240" w:lineRule="auto"/>
        <w:jc w:val="both"/>
        <w:rPr>
          <w:rFonts w:cstheme="minorHAnsi"/>
          <w:sz w:val="24"/>
          <w:szCs w:val="24"/>
        </w:rPr>
      </w:pPr>
      <w:r w:rsidRPr="00186799">
        <w:rPr>
          <w:sz w:val="24"/>
          <w:szCs w:val="24"/>
        </w:rPr>
        <w:t>Autor analizuje nowelizację Prawa własności przemysłowej, która weszła w życie mocą ustawy z dn. 20 lutego 2019 r</w:t>
      </w:r>
      <w:r w:rsidR="002270CC">
        <w:rPr>
          <w:sz w:val="24"/>
          <w:szCs w:val="24"/>
        </w:rPr>
        <w:t>.,</w:t>
      </w:r>
      <w:r w:rsidRPr="00186799">
        <w:rPr>
          <w:sz w:val="24"/>
          <w:szCs w:val="24"/>
        </w:rPr>
        <w:t xml:space="preserve"> wprowadzając możliwość skierowania roszczeń także względem osób, z usług których korzystano przy naruszeniu prawa ochronnego. </w:t>
      </w:r>
      <w:r w:rsidRPr="00186799">
        <w:rPr>
          <w:rFonts w:cstheme="minorHAnsi"/>
          <w:sz w:val="24"/>
          <w:szCs w:val="24"/>
        </w:rPr>
        <w:t>Konfrontacja nowej regulacji z celem określonym w uzasadnieniu rządowego projektu ustawy pozwala na dostrzeżenie kilku istotnych rozbieżności.</w:t>
      </w:r>
    </w:p>
    <w:p w14:paraId="308C2D54" w14:textId="77777777" w:rsidR="00AD25B4" w:rsidRPr="004F40E9" w:rsidRDefault="00AD25B4" w:rsidP="00AD25B4">
      <w:pPr>
        <w:spacing w:after="0" w:line="240" w:lineRule="auto"/>
        <w:rPr>
          <w:b/>
          <w:bCs/>
          <w:sz w:val="10"/>
          <w:szCs w:val="10"/>
        </w:rPr>
      </w:pPr>
    </w:p>
    <w:p w14:paraId="0CB3CF34" w14:textId="77777777" w:rsidR="00AD25B4" w:rsidRPr="00027FC3" w:rsidRDefault="00AD25B4" w:rsidP="00AD25B4">
      <w:pPr>
        <w:spacing w:after="0" w:line="240" w:lineRule="auto"/>
        <w:rPr>
          <w:b/>
          <w:bCs/>
          <w:color w:val="2E74B5" w:themeColor="accent5" w:themeShade="BF"/>
          <w:sz w:val="24"/>
          <w:szCs w:val="24"/>
          <w:lang w:val="en-US"/>
        </w:rPr>
      </w:pPr>
      <w:r w:rsidRPr="00027FC3">
        <w:rPr>
          <w:b/>
          <w:bCs/>
          <w:color w:val="2E74B5" w:themeColor="accent5" w:themeShade="BF"/>
          <w:sz w:val="24"/>
          <w:szCs w:val="24"/>
          <w:lang w:val="en-US"/>
        </w:rPr>
        <w:t>A short excerpt:</w:t>
      </w:r>
    </w:p>
    <w:p w14:paraId="4171A50A" w14:textId="77777777" w:rsidR="007F1A13" w:rsidRPr="00027FC3" w:rsidRDefault="007F1A13" w:rsidP="007F1A13">
      <w:pPr>
        <w:spacing w:after="0" w:line="240" w:lineRule="auto"/>
        <w:rPr>
          <w:rFonts w:cstheme="minorHAnsi"/>
          <w:b/>
          <w:bCs/>
          <w:color w:val="2E74B5" w:themeColor="accent5" w:themeShade="BF"/>
          <w:sz w:val="24"/>
          <w:szCs w:val="24"/>
          <w:lang w:val="en-GB"/>
        </w:rPr>
      </w:pPr>
      <w:r w:rsidRPr="00027FC3">
        <w:rPr>
          <w:rFonts w:cstheme="minorHAnsi"/>
          <w:b/>
          <w:bCs/>
          <w:color w:val="2E74B5" w:themeColor="accent5" w:themeShade="BF"/>
          <w:sz w:val="24"/>
          <w:szCs w:val="24"/>
          <w:lang w:val="en-GB"/>
        </w:rPr>
        <w:t>Liability of the person whose services were used in violation of the law.</w:t>
      </w:r>
    </w:p>
    <w:p w14:paraId="4F456B90" w14:textId="59FA092A" w:rsidR="007F1A13" w:rsidRPr="00027FC3" w:rsidRDefault="007F1A13" w:rsidP="00530B0C">
      <w:pPr>
        <w:spacing w:after="0" w:line="240" w:lineRule="auto"/>
        <w:jc w:val="both"/>
        <w:rPr>
          <w:rFonts w:cstheme="minorHAnsi"/>
          <w:color w:val="2E74B5" w:themeColor="accent5" w:themeShade="BF"/>
          <w:sz w:val="24"/>
          <w:szCs w:val="24"/>
          <w:lang w:val="en-GB"/>
        </w:rPr>
      </w:pPr>
      <w:r w:rsidRPr="00027FC3">
        <w:rPr>
          <w:rFonts w:cstheme="minorHAnsi"/>
          <w:color w:val="2E74B5" w:themeColor="accent5" w:themeShade="BF"/>
          <w:sz w:val="24"/>
          <w:szCs w:val="24"/>
          <w:lang w:val="en-GB"/>
        </w:rPr>
        <w:t xml:space="preserve">The author analyses the amendment to the Industrial Property Law which entered into force by virtue of the Act of 20 February 2019 introducing the possibility to address claims also against persons whose services were used </w:t>
      </w:r>
      <w:proofErr w:type="gramStart"/>
      <w:r w:rsidRPr="00027FC3">
        <w:rPr>
          <w:rFonts w:cstheme="minorHAnsi"/>
          <w:color w:val="2E74B5" w:themeColor="accent5" w:themeShade="BF"/>
          <w:sz w:val="24"/>
          <w:szCs w:val="24"/>
          <w:lang w:val="en-GB"/>
        </w:rPr>
        <w:t>in the course of</w:t>
      </w:r>
      <w:proofErr w:type="gramEnd"/>
      <w:r w:rsidRPr="00027FC3">
        <w:rPr>
          <w:rFonts w:cstheme="minorHAnsi"/>
          <w:color w:val="2E74B5" w:themeColor="accent5" w:themeShade="BF"/>
          <w:sz w:val="24"/>
          <w:szCs w:val="24"/>
          <w:lang w:val="en-GB"/>
        </w:rPr>
        <w:t xml:space="preserve"> infringement of the protection right. The confrontation of the new regulation with the purpose specified in the justification of the governmental bill allows for noticing se</w:t>
      </w:r>
      <w:r w:rsidR="00530B0C" w:rsidRPr="00027FC3">
        <w:rPr>
          <w:rFonts w:cstheme="minorHAnsi"/>
          <w:color w:val="2E74B5" w:themeColor="accent5" w:themeShade="BF"/>
          <w:sz w:val="24"/>
          <w:szCs w:val="24"/>
          <w:lang w:val="en-GB"/>
        </w:rPr>
        <w:t>veral significant discrepancies.</w:t>
      </w:r>
    </w:p>
    <w:p w14:paraId="3B2707D5" w14:textId="77777777" w:rsidR="00530B0C" w:rsidRDefault="00530B0C" w:rsidP="00530B0C">
      <w:pPr>
        <w:spacing w:after="0" w:line="240" w:lineRule="auto"/>
        <w:jc w:val="both"/>
        <w:rPr>
          <w:rFonts w:cstheme="minorHAnsi"/>
          <w:lang w:val="en-GB"/>
        </w:rPr>
      </w:pPr>
    </w:p>
    <w:p w14:paraId="636442E1" w14:textId="77777777" w:rsidR="003C031A" w:rsidRPr="00186799" w:rsidRDefault="003C031A" w:rsidP="003C031A">
      <w:pPr>
        <w:spacing w:after="0" w:line="240" w:lineRule="auto"/>
        <w:rPr>
          <w:sz w:val="24"/>
          <w:szCs w:val="24"/>
        </w:rPr>
      </w:pPr>
      <w:r w:rsidRPr="00186799">
        <w:rPr>
          <w:b/>
          <w:bCs/>
          <w:sz w:val="24"/>
          <w:szCs w:val="24"/>
        </w:rPr>
        <w:t>Pojęcia kluczowe:</w:t>
      </w:r>
      <w:r w:rsidRPr="00186799">
        <w:rPr>
          <w:sz w:val="24"/>
          <w:szCs w:val="24"/>
        </w:rPr>
        <w:t xml:space="preserve"> ODPOWIEDZIALNOŚĆ, NARUSZENIE, PRAWO OCHRONNE, ZNAK TOWAROWY, PRAWO WŁASNOŚCI PRZEMYSŁOWEJ</w:t>
      </w:r>
    </w:p>
    <w:p w14:paraId="18669D0A" w14:textId="77777777" w:rsidR="003C031A" w:rsidRPr="00AD25B4" w:rsidRDefault="003C031A" w:rsidP="003C031A">
      <w:pPr>
        <w:spacing w:after="0" w:line="240" w:lineRule="auto"/>
        <w:jc w:val="both"/>
        <w:rPr>
          <w:b/>
          <w:bCs/>
          <w:color w:val="4472C4" w:themeColor="accent1"/>
          <w:sz w:val="24"/>
          <w:szCs w:val="24"/>
        </w:rPr>
      </w:pPr>
      <w:r w:rsidRPr="00186799">
        <w:rPr>
          <w:b/>
          <w:bCs/>
          <w:sz w:val="24"/>
          <w:szCs w:val="24"/>
        </w:rPr>
        <w:t>Miejsce publikacji:</w:t>
      </w:r>
      <w:r w:rsidRPr="00186799">
        <w:rPr>
          <w:sz w:val="24"/>
          <w:szCs w:val="24"/>
        </w:rPr>
        <w:t xml:space="preserve"> </w:t>
      </w:r>
      <w:hyperlink r:id="rId171" w:history="1">
        <w:r w:rsidRPr="00AD25B4">
          <w:rPr>
            <w:rStyle w:val="Hipercze"/>
            <w:color w:val="4472C4" w:themeColor="accent1"/>
            <w:sz w:val="24"/>
            <w:szCs w:val="24"/>
          </w:rPr>
          <w:t>https://stowi.pl/odpowiedzialnosc-osoby-z-uslug-ktorej-korzystano-przy-naruszeniu-prawa/</w:t>
        </w:r>
      </w:hyperlink>
      <w:r w:rsidRPr="00AD25B4">
        <w:rPr>
          <w:color w:val="4472C4" w:themeColor="accent1"/>
          <w:sz w:val="24"/>
          <w:szCs w:val="24"/>
        </w:rPr>
        <w:t xml:space="preserve">  </w:t>
      </w:r>
      <w:r w:rsidRPr="00AD25B4">
        <w:rPr>
          <w:color w:val="4472C4" w:themeColor="accent1"/>
          <w:sz w:val="24"/>
          <w:szCs w:val="24"/>
        </w:rPr>
        <w:br/>
      </w:r>
    </w:p>
    <w:p w14:paraId="683E7017" w14:textId="77777777" w:rsidR="003C031A" w:rsidRPr="003C031A" w:rsidRDefault="003C031A" w:rsidP="00530B0C">
      <w:pPr>
        <w:spacing w:after="0" w:line="240" w:lineRule="auto"/>
        <w:jc w:val="both"/>
        <w:rPr>
          <w:rFonts w:cstheme="minorHAnsi"/>
        </w:rPr>
        <w:sectPr w:rsidR="003C031A" w:rsidRPr="003C031A" w:rsidSect="00F72864">
          <w:pgSz w:w="11906" w:h="16838" w:code="9"/>
          <w:pgMar w:top="1417" w:right="1417" w:bottom="1417" w:left="1417" w:header="0" w:footer="0" w:gutter="0"/>
          <w:cols w:space="708"/>
          <w:docGrid w:linePitch="360"/>
        </w:sectPr>
      </w:pPr>
    </w:p>
    <w:p w14:paraId="05E66812" w14:textId="0205BF1A" w:rsidR="00590016" w:rsidRPr="003C031A" w:rsidRDefault="00590016" w:rsidP="00B115E1">
      <w:pPr>
        <w:rPr>
          <w:b/>
        </w:rPr>
      </w:pPr>
      <w:r>
        <w:rPr>
          <w:noProof/>
          <w:lang w:eastAsia="pl-PL"/>
        </w:rPr>
        <w:lastRenderedPageBreak/>
        <mc:AlternateContent>
          <mc:Choice Requires="wps">
            <w:drawing>
              <wp:anchor distT="0" distB="0" distL="114300" distR="114300" simplePos="0" relativeHeight="252213248" behindDoc="1" locked="0" layoutInCell="1" allowOverlap="1" wp14:anchorId="0FBF3CE6" wp14:editId="1213AEAD">
                <wp:simplePos x="0" y="0"/>
                <wp:positionH relativeFrom="column">
                  <wp:posOffset>-1337661</wp:posOffset>
                </wp:positionH>
                <wp:positionV relativeFrom="paragraph">
                  <wp:posOffset>-896620</wp:posOffset>
                </wp:positionV>
                <wp:extent cx="8271510" cy="10727055"/>
                <wp:effectExtent l="0" t="0" r="15240" b="17145"/>
                <wp:wrapNone/>
                <wp:docPr id="1848271492" name="Prostokąt 1848271492"/>
                <wp:cNvGraphicFramePr/>
                <a:graphic xmlns:a="http://schemas.openxmlformats.org/drawingml/2006/main">
                  <a:graphicData uri="http://schemas.microsoft.com/office/word/2010/wordprocessingShape">
                    <wps:wsp>
                      <wps:cNvSpPr/>
                      <wps:spPr>
                        <a:xfrm>
                          <a:off x="0" y="0"/>
                          <a:ext cx="8271510" cy="10727055"/>
                        </a:xfrm>
                        <a:prstGeom prst="rect">
                          <a:avLst/>
                        </a:prstGeom>
                        <a:solidFill>
                          <a:srgbClr val="1E2D4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88A8A" id="Prostokąt 1848271492" o:spid="_x0000_s1026" style="position:absolute;margin-left:-105.35pt;margin-top:-70.6pt;width:651.3pt;height:844.65pt;z-index:-2511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" fillcolor="#1e2d40" strokecolor="#1f3763 [1604]" strokeweight="1pt"/>
            </w:pict>
          </mc:Fallback>
        </mc:AlternateContent>
      </w:r>
    </w:p>
    <w:p w14:paraId="733322B3" w14:textId="77777777" w:rsidR="00590016" w:rsidRPr="003C031A" w:rsidRDefault="00590016" w:rsidP="00B115E1"/>
    <w:p w14:paraId="46675356" w14:textId="73C41C32" w:rsidR="00590016" w:rsidRPr="003C031A" w:rsidRDefault="00590016" w:rsidP="00B115E1">
      <w:pPr>
        <w:rPr>
          <w:b/>
        </w:rPr>
      </w:pPr>
    </w:p>
    <w:p w14:paraId="457AB2D5" w14:textId="79253CB7" w:rsidR="00B115E1" w:rsidRPr="003C031A" w:rsidRDefault="00B115E1" w:rsidP="00B115E1">
      <w:pPr>
        <w:rPr>
          <w:b/>
        </w:rPr>
      </w:pPr>
    </w:p>
    <w:p w14:paraId="249739A9" w14:textId="77777777" w:rsidR="00B115E1" w:rsidRPr="003C031A" w:rsidRDefault="00B115E1" w:rsidP="00B115E1">
      <w:pPr>
        <w:rPr>
          <w:b/>
        </w:rPr>
      </w:pPr>
    </w:p>
    <w:p w14:paraId="04F4D7A6" w14:textId="6A413591" w:rsidR="00590016" w:rsidRPr="003C031A" w:rsidRDefault="00590016" w:rsidP="00B115E1">
      <w:pPr>
        <w:rPr>
          <w:rFonts w:cstheme="minorHAnsi"/>
          <w:shd w:val="clear" w:color="auto" w:fill="FFFFFF"/>
        </w:rPr>
      </w:pPr>
    </w:p>
    <w:p w14:paraId="62B0E2BD" w14:textId="5309E801" w:rsidR="00B115E1" w:rsidRPr="003C031A" w:rsidRDefault="00B115E1" w:rsidP="00B115E1">
      <w:pPr>
        <w:rPr>
          <w:rFonts w:cstheme="minorHAnsi"/>
          <w:shd w:val="clear" w:color="auto" w:fill="FFFFFF"/>
        </w:rPr>
      </w:pPr>
    </w:p>
    <w:p w14:paraId="3E164941" w14:textId="17C02BD0" w:rsidR="00B115E1" w:rsidRPr="003C031A" w:rsidRDefault="00B115E1" w:rsidP="00B115E1">
      <w:pPr>
        <w:rPr>
          <w:rFonts w:cstheme="minorHAnsi"/>
          <w:shd w:val="clear" w:color="auto" w:fill="FFFFFF"/>
        </w:rPr>
      </w:pPr>
    </w:p>
    <w:p w14:paraId="47BECA6F" w14:textId="5822895C" w:rsidR="00B115E1" w:rsidRPr="003C031A" w:rsidRDefault="00B115E1" w:rsidP="00B115E1">
      <w:pPr>
        <w:rPr>
          <w:rFonts w:cstheme="minorHAnsi"/>
          <w:shd w:val="clear" w:color="auto" w:fill="FFFFFF"/>
        </w:rPr>
      </w:pPr>
    </w:p>
    <w:p w14:paraId="7DFF035D" w14:textId="77777777" w:rsidR="00590016" w:rsidRPr="003C031A" w:rsidRDefault="00590016" w:rsidP="00B115E1"/>
    <w:p w14:paraId="154C8724" w14:textId="77777777" w:rsidR="00B115E1" w:rsidRPr="003C031A" w:rsidRDefault="00B115E1" w:rsidP="00B115E1"/>
    <w:p w14:paraId="2AD6E5A3" w14:textId="77777777" w:rsidR="00B115E1" w:rsidRPr="003C031A" w:rsidRDefault="00B115E1" w:rsidP="00B115E1"/>
    <w:p w14:paraId="0E736464" w14:textId="77777777" w:rsidR="00B115E1" w:rsidRPr="003C031A" w:rsidRDefault="00B115E1" w:rsidP="00B115E1"/>
    <w:p w14:paraId="5C64157C" w14:textId="44FFDEF3" w:rsidR="00590016" w:rsidRPr="00590016" w:rsidRDefault="00590016" w:rsidP="00590016">
      <w:pPr>
        <w:pStyle w:val="Nagwek1"/>
        <w:rPr>
          <w:rStyle w:val="Pogrubienie"/>
          <w:b/>
          <w:bCs/>
        </w:rPr>
        <w:sectPr w:rsidR="00590016" w:rsidRPr="00590016" w:rsidSect="00F72864">
          <w:pgSz w:w="11906" w:h="16838" w:code="9"/>
          <w:pgMar w:top="1417" w:right="1417" w:bottom="1417" w:left="1417" w:header="0" w:footer="0" w:gutter="0"/>
          <w:cols w:space="708"/>
          <w:docGrid w:linePitch="360"/>
        </w:sectPr>
      </w:pPr>
      <w:bookmarkStart w:id="145" w:name="_Toc170117993"/>
      <w:r w:rsidRPr="00590016">
        <w:t>ROZWIĄZANIA DO OCHRONY I NIE</w:t>
      </w:r>
      <w:bookmarkEnd w:id="145"/>
    </w:p>
    <w:p w14:paraId="72F845D2" w14:textId="187B7D75" w:rsidR="000764CE" w:rsidRPr="00EC4F25" w:rsidRDefault="00376859" w:rsidP="00994071">
      <w:pPr>
        <w:pStyle w:val="NumeracjaRozdzial"/>
      </w:pPr>
      <w:r>
        <w:lastRenderedPageBreak/>
        <w:t>1</w:t>
      </w:r>
      <w:r w:rsidR="007D0BD3">
        <w:t>.</w:t>
      </w:r>
    </w:p>
    <w:p w14:paraId="399B8239" w14:textId="61B5DE6B" w:rsidR="000764CE" w:rsidRPr="00004768" w:rsidRDefault="007D0BD3" w:rsidP="00763AC2">
      <w:pPr>
        <w:rPr>
          <w:rFonts w:eastAsia="Times New Roman" w:cstheme="minorHAnsi"/>
          <w:b/>
          <w:sz w:val="24"/>
          <w:szCs w:val="24"/>
        </w:rPr>
      </w:pPr>
      <w:r w:rsidRPr="00004768">
        <w:rPr>
          <w:rFonts w:cstheme="minorHAnsi"/>
          <w:noProof/>
          <w:sz w:val="24"/>
          <w:szCs w:val="24"/>
          <w:lang w:eastAsia="pl-PL"/>
        </w:rPr>
        <w:drawing>
          <wp:anchor distT="0" distB="0" distL="114300" distR="114300" simplePos="0" relativeHeight="252243968" behindDoc="0" locked="0" layoutInCell="1" allowOverlap="1" wp14:anchorId="1D1852C4" wp14:editId="371BFE93">
            <wp:simplePos x="0" y="0"/>
            <wp:positionH relativeFrom="column">
              <wp:posOffset>3972</wp:posOffset>
            </wp:positionH>
            <wp:positionV relativeFrom="paragraph">
              <wp:posOffset>3692</wp:posOffset>
            </wp:positionV>
            <wp:extent cx="1980000" cy="1080000"/>
            <wp:effectExtent l="0" t="0" r="1270" b="6350"/>
            <wp:wrapThrough wrapText="bothSides">
              <wp:wrapPolygon edited="0">
                <wp:start x="0" y="0"/>
                <wp:lineTo x="0" y="21346"/>
                <wp:lineTo x="21406" y="21346"/>
                <wp:lineTo x="21406" y="0"/>
                <wp:lineTo x="0" y="0"/>
              </wp:wrapPolygon>
            </wp:wrapThrough>
            <wp:docPr id="491057110" name="Obraz 106" descr="Obraz zawierający ubrania, osoba, Ludzka twarz, człowiek&#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057110" name="Obraz 106" descr="Obraz zawierający ubrania, osoba, Ludzka twarz, człowiek&#10;&#10;Opis wygenerowany automatyczni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FA524" w14:textId="00C3296B" w:rsidR="000764CE" w:rsidRDefault="005161BA" w:rsidP="000764CE">
      <w:pPr>
        <w:spacing w:after="0" w:line="240" w:lineRule="auto"/>
        <w:rPr>
          <w:rStyle w:val="Nagwek2Znak"/>
        </w:rPr>
      </w:pPr>
      <w:bookmarkStart w:id="146" w:name="_Toc170117994"/>
      <w:r w:rsidRPr="00004768">
        <w:rPr>
          <w:rStyle w:val="Nagwek2Znak"/>
        </w:rPr>
        <w:t xml:space="preserve">Kod geniusza </w:t>
      </w:r>
      <w:r w:rsidR="00A43EFB">
        <w:rPr>
          <w:rStyle w:val="Nagwek2Znak"/>
        </w:rPr>
        <w:t>-</w:t>
      </w:r>
      <w:r w:rsidRPr="00004768">
        <w:rPr>
          <w:rStyle w:val="Nagwek2Znak"/>
        </w:rPr>
        <w:t xml:space="preserve"> </w:t>
      </w:r>
      <w:r w:rsidR="00A43EFB">
        <w:rPr>
          <w:rStyle w:val="Nagwek2Znak"/>
        </w:rPr>
        <w:t xml:space="preserve">dr Jarosław DUDA to twórca </w:t>
      </w:r>
      <w:r w:rsidRPr="00004768">
        <w:rPr>
          <w:rStyle w:val="Nagwek2Znak"/>
        </w:rPr>
        <w:t>ANS</w:t>
      </w:r>
      <w:r w:rsidR="00A43EFB">
        <w:rPr>
          <w:rStyle w:val="Nagwek2Znak"/>
        </w:rPr>
        <w:t>, czyli</w:t>
      </w:r>
      <w:bookmarkEnd w:id="146"/>
      <w:r w:rsidR="00A43EFB">
        <w:rPr>
          <w:rStyle w:val="Nagwek2Znak"/>
        </w:rPr>
        <w:t xml:space="preserve"> </w:t>
      </w:r>
    </w:p>
    <w:p w14:paraId="2CAC1DB6" w14:textId="11241B19" w:rsidR="00A43EFB" w:rsidRPr="00EC4F25" w:rsidRDefault="00A43EFB" w:rsidP="000764CE">
      <w:pPr>
        <w:spacing w:after="0" w:line="240" w:lineRule="auto"/>
        <w:rPr>
          <w:rFonts w:cstheme="minorHAnsi"/>
          <w:b/>
        </w:rPr>
      </w:pPr>
      <w:proofErr w:type="spellStart"/>
      <w:r w:rsidRPr="00A43EFB">
        <w:rPr>
          <w:rFonts w:cstheme="minorHAnsi"/>
          <w:b/>
        </w:rPr>
        <w:t>Asymmetric</w:t>
      </w:r>
      <w:proofErr w:type="spellEnd"/>
      <w:r w:rsidRPr="00A43EFB">
        <w:rPr>
          <w:rFonts w:cstheme="minorHAnsi"/>
          <w:b/>
        </w:rPr>
        <w:t xml:space="preserve"> </w:t>
      </w:r>
      <w:proofErr w:type="spellStart"/>
      <w:r w:rsidRPr="00A43EFB">
        <w:rPr>
          <w:rFonts w:cstheme="minorHAnsi"/>
          <w:b/>
        </w:rPr>
        <w:t>Numeral</w:t>
      </w:r>
      <w:proofErr w:type="spellEnd"/>
      <w:r w:rsidRPr="00A43EFB">
        <w:rPr>
          <w:rFonts w:cstheme="minorHAnsi"/>
          <w:b/>
        </w:rPr>
        <w:t xml:space="preserve"> Systems (asymetryczne</w:t>
      </w:r>
      <w:r>
        <w:rPr>
          <w:rFonts w:cstheme="minorHAnsi"/>
          <w:b/>
        </w:rPr>
        <w:t>go</w:t>
      </w:r>
      <w:r w:rsidRPr="00A43EFB">
        <w:rPr>
          <w:rFonts w:cstheme="minorHAnsi"/>
          <w:b/>
        </w:rPr>
        <w:t xml:space="preserve"> system</w:t>
      </w:r>
      <w:r>
        <w:rPr>
          <w:rFonts w:cstheme="minorHAnsi"/>
          <w:b/>
        </w:rPr>
        <w:t xml:space="preserve">u </w:t>
      </w:r>
      <w:r w:rsidRPr="00A43EFB">
        <w:rPr>
          <w:rFonts w:cstheme="minorHAnsi"/>
          <w:b/>
        </w:rPr>
        <w:t>liczbow</w:t>
      </w:r>
      <w:r>
        <w:rPr>
          <w:rFonts w:cstheme="minorHAnsi"/>
          <w:b/>
        </w:rPr>
        <w:t>ego</w:t>
      </w:r>
      <w:r w:rsidRPr="00A43EFB">
        <w:rPr>
          <w:rFonts w:cstheme="minorHAnsi"/>
          <w:b/>
        </w:rPr>
        <w:t>)</w:t>
      </w:r>
    </w:p>
    <w:p w14:paraId="6D2992FB" w14:textId="77777777" w:rsidR="00763AC2" w:rsidRDefault="00763AC2" w:rsidP="000764CE">
      <w:pPr>
        <w:spacing w:after="0" w:line="240" w:lineRule="auto"/>
        <w:rPr>
          <w:b/>
          <w:bCs/>
        </w:rPr>
      </w:pPr>
    </w:p>
    <w:p w14:paraId="79BEB6FD" w14:textId="37C2EC06" w:rsidR="00763AC2" w:rsidRDefault="00763AC2" w:rsidP="000764CE">
      <w:pPr>
        <w:spacing w:after="0" w:line="240" w:lineRule="auto"/>
        <w:rPr>
          <w:b/>
          <w:bCs/>
        </w:rPr>
      </w:pPr>
    </w:p>
    <w:p w14:paraId="4BE57E57" w14:textId="77777777" w:rsidR="00763AC2" w:rsidRDefault="00763AC2" w:rsidP="000764CE">
      <w:pPr>
        <w:spacing w:after="0" w:line="240" w:lineRule="auto"/>
        <w:rPr>
          <w:b/>
          <w:bCs/>
        </w:rPr>
      </w:pPr>
    </w:p>
    <w:p w14:paraId="7F08462D" w14:textId="615E098E" w:rsidR="000764CE" w:rsidRPr="00186799" w:rsidRDefault="000764CE" w:rsidP="00110D84">
      <w:pPr>
        <w:pStyle w:val="nrbrzegowy2"/>
        <w:numPr>
          <w:ilvl w:val="0"/>
          <w:numId w:val="68"/>
        </w:numPr>
        <w:ind w:left="0" w:hanging="851"/>
      </w:pPr>
      <w:r w:rsidRPr="00D17995">
        <w:rPr>
          <w:rStyle w:val="Pogrubienie"/>
          <w:rFonts w:cstheme="minorHAnsi"/>
          <w:szCs w:val="24"/>
        </w:rPr>
        <w:t>W ramach przeglądu innowacyjnych rozwiązań</w:t>
      </w:r>
      <w:r w:rsidRPr="00186799">
        <w:t xml:space="preserve"> zachęcamy do zapoznania się</w:t>
      </w:r>
      <w:r w:rsidR="00502671" w:rsidRPr="00186799">
        <w:t xml:space="preserve"> </w:t>
      </w:r>
      <w:r w:rsidRPr="00186799">
        <w:t xml:space="preserve">z </w:t>
      </w:r>
      <w:r w:rsidR="00502671" w:rsidRPr="00186799">
        <w:t xml:space="preserve">dorobkiem, który ofiarował ludzkości </w:t>
      </w:r>
      <w:r w:rsidRPr="00186799">
        <w:t>dr J</w:t>
      </w:r>
      <w:r w:rsidR="00502671" w:rsidRPr="00186799">
        <w:t>arosław DUDA</w:t>
      </w:r>
      <w:r w:rsidR="00994071" w:rsidRPr="00186799">
        <w:t>.</w:t>
      </w:r>
    </w:p>
    <w:p w14:paraId="1DFF02CA" w14:textId="77777777" w:rsidR="00D17995" w:rsidRDefault="000764CE" w:rsidP="00110D84">
      <w:pPr>
        <w:pStyle w:val="nrbrzegowy2"/>
        <w:ind w:left="0" w:hanging="851"/>
      </w:pPr>
      <w:r w:rsidRPr="00D17995">
        <w:rPr>
          <w:color w:val="131313"/>
        </w:rPr>
        <w:t>Polecamy Państwa uwadze dostępny online</w:t>
      </w:r>
    </w:p>
    <w:p w14:paraId="0A022BD0" w14:textId="77777777" w:rsidR="00D17995" w:rsidRDefault="000764CE" w:rsidP="00110D84">
      <w:pPr>
        <w:pStyle w:val="nrbrzegowy2"/>
        <w:numPr>
          <w:ilvl w:val="0"/>
          <w:numId w:val="0"/>
        </w:numPr>
      </w:pPr>
      <w:r w:rsidRPr="00D17995">
        <w:rPr>
          <w:color w:val="131313"/>
        </w:rPr>
        <w:t>(</w:t>
      </w:r>
      <w:r w:rsidR="00186799" w:rsidRPr="00D17995">
        <w:rPr>
          <w:color w:val="131313"/>
        </w:rPr>
        <w:t xml:space="preserve"> </w:t>
      </w:r>
      <w:hyperlink r:id="rId173" w:history="1">
        <w:r w:rsidR="00186799" w:rsidRPr="00330163">
          <w:rPr>
            <w:rStyle w:val="Hipercze"/>
            <w:rFonts w:cstheme="minorHAnsi"/>
            <w:color w:val="2E74B5" w:themeColor="accent5" w:themeShade="BF"/>
            <w:szCs w:val="24"/>
          </w:rPr>
          <w:t>https://youtube.com/watch?v=xd4lNIG_to0&amp;t=11s</w:t>
        </w:r>
      </w:hyperlink>
      <w:r w:rsidRPr="00D17995">
        <w:rPr>
          <w:color w:val="131313"/>
        </w:rPr>
        <w:t xml:space="preserve"> ) </w:t>
      </w:r>
    </w:p>
    <w:p w14:paraId="0EC8D575" w14:textId="73EA9926" w:rsidR="00FE4DF4" w:rsidRPr="00186799" w:rsidRDefault="000764CE" w:rsidP="00110D84">
      <w:pPr>
        <w:pStyle w:val="nrbrzegowy2"/>
        <w:ind w:left="0" w:hanging="851"/>
      </w:pPr>
      <w:r w:rsidRPr="00D17995">
        <w:rPr>
          <w:color w:val="131313"/>
        </w:rPr>
        <w:t xml:space="preserve">wywiad w programie </w:t>
      </w:r>
      <w:proofErr w:type="spellStart"/>
      <w:r w:rsidRPr="00D17995">
        <w:rPr>
          <w:color w:val="131313"/>
        </w:rPr>
        <w:t>This</w:t>
      </w:r>
      <w:proofErr w:type="spellEnd"/>
      <w:r w:rsidRPr="00D17995">
        <w:rPr>
          <w:color w:val="131313"/>
        </w:rPr>
        <w:t xml:space="preserve"> </w:t>
      </w:r>
      <w:proofErr w:type="spellStart"/>
      <w:r w:rsidRPr="00D17995">
        <w:rPr>
          <w:color w:val="131313"/>
        </w:rPr>
        <w:t>is</w:t>
      </w:r>
      <w:proofErr w:type="spellEnd"/>
      <w:r w:rsidRPr="00D17995">
        <w:rPr>
          <w:color w:val="131313"/>
        </w:rPr>
        <w:t xml:space="preserve"> IT, w którym dr Maciej </w:t>
      </w:r>
      <w:r w:rsidR="00525768" w:rsidRPr="00D17995">
        <w:rPr>
          <w:color w:val="131313"/>
        </w:rPr>
        <w:t xml:space="preserve">KAWECKI </w:t>
      </w:r>
      <w:r w:rsidRPr="00D17995">
        <w:rPr>
          <w:color w:val="131313"/>
        </w:rPr>
        <w:t xml:space="preserve">oraz dr Jarosław </w:t>
      </w:r>
      <w:r w:rsidR="00525768" w:rsidRPr="00D17995">
        <w:rPr>
          <w:color w:val="131313"/>
        </w:rPr>
        <w:t xml:space="preserve">DUDA </w:t>
      </w:r>
      <w:r w:rsidRPr="00D17995">
        <w:rPr>
          <w:color w:val="131313"/>
        </w:rPr>
        <w:t xml:space="preserve">rozmawiali o metodzie kodowania, z której korzysta kilka miliardów urządzeń na całym świecie, a </w:t>
      </w:r>
      <w:r w:rsidR="00525768" w:rsidRPr="00D17995">
        <w:rPr>
          <w:color w:val="131313"/>
        </w:rPr>
        <w:t xml:space="preserve">którą </w:t>
      </w:r>
      <w:r w:rsidRPr="00D17995">
        <w:rPr>
          <w:color w:val="131313"/>
        </w:rPr>
        <w:t>stworz</w:t>
      </w:r>
      <w:r w:rsidR="00525768" w:rsidRPr="00D17995">
        <w:rPr>
          <w:color w:val="131313"/>
        </w:rPr>
        <w:t>ył</w:t>
      </w:r>
      <w:r w:rsidRPr="00D17995">
        <w:rPr>
          <w:color w:val="131313"/>
        </w:rPr>
        <w:t xml:space="preserve"> Polak </w:t>
      </w:r>
      <w:r w:rsidR="00525768" w:rsidRPr="00D17995">
        <w:rPr>
          <w:color w:val="131313"/>
        </w:rPr>
        <w:t>–</w:t>
      </w:r>
      <w:r w:rsidRPr="00D17995">
        <w:rPr>
          <w:color w:val="131313"/>
        </w:rPr>
        <w:t xml:space="preserve"> </w:t>
      </w:r>
      <w:r w:rsidR="00525768" w:rsidRPr="00D17995">
        <w:rPr>
          <w:color w:val="131313"/>
        </w:rPr>
        <w:t xml:space="preserve">dr </w:t>
      </w:r>
      <w:r w:rsidRPr="00D17995">
        <w:rPr>
          <w:color w:val="131313"/>
        </w:rPr>
        <w:t>Jarosław</w:t>
      </w:r>
      <w:r w:rsidR="00525768" w:rsidRPr="00D17995">
        <w:rPr>
          <w:color w:val="131313"/>
        </w:rPr>
        <w:t xml:space="preserve"> DUDA</w:t>
      </w:r>
      <w:r w:rsidRPr="00D17995">
        <w:rPr>
          <w:color w:val="131313"/>
        </w:rPr>
        <w:t xml:space="preserve">. Na czym polega jego metoda kodowania, w jaki sposób pomaga w technologicznym świecie? A także: dokąd zmierza sztuczna inteligencja, czy komputer kwantowy istnieje, jaka jest przyszłość komputerów kwantowych? </w:t>
      </w:r>
      <w:r w:rsidR="00525768" w:rsidRPr="00D17995">
        <w:rPr>
          <w:color w:val="131313"/>
        </w:rPr>
        <w:t xml:space="preserve">Jaki </w:t>
      </w:r>
      <w:r w:rsidR="00525768" w:rsidRPr="00186799">
        <w:t>dar dla ludzkości stanowi metoda kodowania ANS?</w:t>
      </w:r>
    </w:p>
    <w:p w14:paraId="313ED16D" w14:textId="77777777" w:rsidR="00220A33" w:rsidRDefault="00220A33" w:rsidP="000764CE">
      <w:pPr>
        <w:spacing w:after="0" w:line="240" w:lineRule="auto"/>
        <w:jc w:val="both"/>
        <w:rPr>
          <w:rFonts w:cstheme="minorHAnsi"/>
        </w:rPr>
      </w:pPr>
    </w:p>
    <w:p w14:paraId="4000CC83" w14:textId="77777777" w:rsidR="00220A33" w:rsidRPr="00EC4F25" w:rsidRDefault="00220A33" w:rsidP="000764CE">
      <w:pPr>
        <w:spacing w:after="0" w:line="240" w:lineRule="auto"/>
        <w:jc w:val="both"/>
        <w:rPr>
          <w:rFonts w:ascii="Roboto" w:hAnsi="Roboto"/>
          <w:color w:val="131313"/>
          <w:sz w:val="19"/>
          <w:szCs w:val="19"/>
        </w:rPr>
      </w:pPr>
    </w:p>
    <w:p w14:paraId="701F8C74" w14:textId="77777777" w:rsidR="000764CE" w:rsidRDefault="000764CE" w:rsidP="000764CE">
      <w:pPr>
        <w:spacing w:after="0" w:line="240" w:lineRule="auto"/>
        <w:jc w:val="center"/>
        <w:rPr>
          <w:rFonts w:cstheme="minorHAnsi"/>
          <w:b/>
        </w:rPr>
      </w:pPr>
      <w:r w:rsidRPr="00EC4F25">
        <w:rPr>
          <w:rFonts w:cstheme="minorHAnsi"/>
          <w:b/>
          <w:noProof/>
          <w:lang w:eastAsia="pl-PL"/>
        </w:rPr>
        <w:drawing>
          <wp:inline distT="0" distB="0" distL="0" distR="0" wp14:anchorId="124B0402" wp14:editId="62E58176">
            <wp:extent cx="5314950" cy="3003550"/>
            <wp:effectExtent l="0" t="0" r="0" b="6350"/>
            <wp:docPr id="1665899542" name="Obraz 107" descr="Obraz zawierający tekst, Ludzka twarz, okulary/szklanki,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99542" name="Obraz 107" descr="Obraz zawierający tekst, Ludzka twarz, okulary/szklanki, człowiek&#10;&#10;Opis wygenerowany automatyczni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14950" cy="3003550"/>
                    </a:xfrm>
                    <a:prstGeom prst="rect">
                      <a:avLst/>
                    </a:prstGeom>
                    <a:noFill/>
                    <a:ln>
                      <a:noFill/>
                    </a:ln>
                  </pic:spPr>
                </pic:pic>
              </a:graphicData>
            </a:graphic>
          </wp:inline>
        </w:drawing>
      </w:r>
    </w:p>
    <w:p w14:paraId="06B0A123" w14:textId="77777777" w:rsidR="00D17995" w:rsidRDefault="00D17995" w:rsidP="000764CE">
      <w:pPr>
        <w:spacing w:after="0" w:line="240" w:lineRule="auto"/>
        <w:jc w:val="center"/>
        <w:rPr>
          <w:rFonts w:cstheme="minorHAnsi"/>
          <w:b/>
        </w:rPr>
      </w:pPr>
    </w:p>
    <w:p w14:paraId="188848D0" w14:textId="77777777" w:rsidR="00D17995" w:rsidRDefault="00D17995" w:rsidP="000764CE">
      <w:pPr>
        <w:spacing w:after="0" w:line="240" w:lineRule="auto"/>
        <w:jc w:val="center"/>
        <w:rPr>
          <w:rFonts w:cstheme="minorHAnsi"/>
          <w:b/>
        </w:rPr>
      </w:pPr>
    </w:p>
    <w:p w14:paraId="15E794CF" w14:textId="77777777" w:rsidR="00D17995" w:rsidRDefault="00D17995" w:rsidP="000764CE">
      <w:pPr>
        <w:spacing w:after="0" w:line="240" w:lineRule="auto"/>
        <w:jc w:val="center"/>
        <w:rPr>
          <w:rFonts w:cstheme="minorHAnsi"/>
          <w:b/>
        </w:rPr>
      </w:pPr>
    </w:p>
    <w:p w14:paraId="69F84AD1" w14:textId="77777777" w:rsidR="00D17995" w:rsidRPr="00D627B9" w:rsidRDefault="00D17995" w:rsidP="00D17995">
      <w:pPr>
        <w:spacing w:after="0" w:line="240" w:lineRule="auto"/>
        <w:rPr>
          <w:rFonts w:cstheme="minorHAnsi"/>
          <w:sz w:val="24"/>
          <w:szCs w:val="24"/>
        </w:rPr>
      </w:pPr>
      <w:r>
        <w:rPr>
          <w:b/>
          <w:bCs/>
          <w:kern w:val="0"/>
          <w:sz w:val="24"/>
          <w:szCs w:val="24"/>
        </w:rPr>
        <w:t>P</w:t>
      </w:r>
      <w:r w:rsidRPr="00BB6DF4">
        <w:rPr>
          <w:b/>
          <w:bCs/>
          <w:kern w:val="0"/>
          <w:sz w:val="24"/>
          <w:szCs w:val="24"/>
        </w:rPr>
        <w:t>ojęcia kluczowe</w:t>
      </w:r>
      <w:r w:rsidRPr="00D627B9">
        <w:rPr>
          <w:kern w:val="0"/>
          <w:sz w:val="24"/>
          <w:szCs w:val="24"/>
        </w:rPr>
        <w:t xml:space="preserve">: </w:t>
      </w:r>
      <w:r w:rsidRPr="00D627B9">
        <w:rPr>
          <w:rFonts w:cstheme="minorHAnsi"/>
          <w:sz w:val="24"/>
          <w:szCs w:val="24"/>
        </w:rPr>
        <w:t>KODOWANIE ANS, PRZESYŁANIE DANYCH, ZAWŁASZCZANIE, PATENT</w:t>
      </w:r>
    </w:p>
    <w:p w14:paraId="61F0B262" w14:textId="755B1F5F" w:rsidR="00D17995" w:rsidRPr="00EC4F25" w:rsidRDefault="00D17995" w:rsidP="00D17995">
      <w:pPr>
        <w:spacing w:after="0" w:line="240" w:lineRule="auto"/>
        <w:jc w:val="center"/>
        <w:rPr>
          <w:rFonts w:cstheme="minorHAnsi"/>
          <w:b/>
        </w:rPr>
      </w:pPr>
      <w:bookmarkStart w:id="147" w:name="_Hlk161326185"/>
      <w:r>
        <w:rPr>
          <w:rFonts w:cstheme="minorHAnsi"/>
          <w:b/>
          <w:bCs/>
          <w:sz w:val="24"/>
          <w:szCs w:val="24"/>
        </w:rPr>
        <w:t>M</w:t>
      </w:r>
      <w:r w:rsidRPr="000E493F">
        <w:rPr>
          <w:rFonts w:cstheme="minorHAnsi"/>
          <w:b/>
          <w:bCs/>
          <w:sz w:val="24"/>
          <w:szCs w:val="24"/>
        </w:rPr>
        <w:t>iejsce publikacji</w:t>
      </w:r>
      <w:bookmarkEnd w:id="147"/>
      <w:r w:rsidRPr="000E493F">
        <w:rPr>
          <w:rFonts w:cstheme="minorHAnsi"/>
          <w:b/>
          <w:bCs/>
          <w:sz w:val="24"/>
          <w:szCs w:val="24"/>
        </w:rPr>
        <w:t>:</w:t>
      </w:r>
      <w:r w:rsidRPr="00186799">
        <w:rPr>
          <w:rFonts w:cstheme="minorHAnsi"/>
          <w:b/>
          <w:bCs/>
          <w:sz w:val="24"/>
          <w:szCs w:val="24"/>
        </w:rPr>
        <w:t xml:space="preserve"> </w:t>
      </w:r>
      <w:hyperlink r:id="rId175" w:history="1">
        <w:r w:rsidRPr="00330163">
          <w:rPr>
            <w:rStyle w:val="Hipercze"/>
            <w:rFonts w:cstheme="minorHAnsi"/>
            <w:color w:val="2E74B5" w:themeColor="accent5" w:themeShade="BF"/>
            <w:sz w:val="24"/>
            <w:szCs w:val="24"/>
          </w:rPr>
          <w:t xml:space="preserve">https://stowi.pl/kod-geniusza-ans-2/ </w:t>
        </w:r>
      </w:hyperlink>
    </w:p>
    <w:p w14:paraId="055C3176" w14:textId="0897E46A" w:rsidR="000764CE" w:rsidRPr="00EC4F25" w:rsidRDefault="000764CE" w:rsidP="005161BA">
      <w:pPr>
        <w:spacing w:after="0" w:line="240" w:lineRule="auto"/>
        <w:rPr>
          <w:rFonts w:cstheme="minorHAnsi"/>
          <w:b/>
        </w:rPr>
      </w:pPr>
      <w:r w:rsidRPr="00EC4F25">
        <w:rPr>
          <w:rFonts w:cstheme="minorHAnsi"/>
          <w:b/>
          <w:noProof/>
          <w:lang w:eastAsia="pl-PL"/>
        </w:rPr>
        <w:lastRenderedPageBreak/>
        <w:drawing>
          <wp:anchor distT="0" distB="0" distL="114300" distR="114300" simplePos="0" relativeHeight="252320768" behindDoc="0" locked="0" layoutInCell="1" allowOverlap="1" wp14:anchorId="19A489AD" wp14:editId="47C2A2B0">
            <wp:simplePos x="0" y="0"/>
            <wp:positionH relativeFrom="column">
              <wp:posOffset>437169</wp:posOffset>
            </wp:positionH>
            <wp:positionV relativeFrom="paragraph">
              <wp:posOffset>57873</wp:posOffset>
            </wp:positionV>
            <wp:extent cx="4895850" cy="3632200"/>
            <wp:effectExtent l="0" t="0" r="0" b="6350"/>
            <wp:wrapSquare wrapText="bothSides"/>
            <wp:docPr id="1348674354" name="Obraz 108" descr="Obraz zawierający tekst, zrzut ekranu, oprogramowanie, Ikona komputer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74354" name="Obraz 108" descr="Obraz zawierający tekst, zrzut ekranu, oprogramowanie, Ikona komputerowa&#10;&#10;Opis wygenerowany automatyczni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5850" cy="3632200"/>
                    </a:xfrm>
                    <a:prstGeom prst="rect">
                      <a:avLst/>
                    </a:prstGeom>
                    <a:noFill/>
                    <a:ln>
                      <a:noFill/>
                    </a:ln>
                  </pic:spPr>
                </pic:pic>
              </a:graphicData>
            </a:graphic>
          </wp:anchor>
        </w:drawing>
      </w:r>
      <w:r w:rsidR="005161BA">
        <w:rPr>
          <w:rFonts w:cstheme="minorHAnsi"/>
          <w:b/>
        </w:rPr>
        <w:br w:type="textWrapping" w:clear="all"/>
      </w:r>
    </w:p>
    <w:p w14:paraId="3CE21DF6" w14:textId="77777777" w:rsidR="000764CE" w:rsidRPr="00EC4F25" w:rsidRDefault="000764CE" w:rsidP="000764CE">
      <w:pPr>
        <w:spacing w:after="0" w:line="240" w:lineRule="auto"/>
        <w:jc w:val="center"/>
        <w:rPr>
          <w:rFonts w:cstheme="minorHAnsi"/>
          <w:b/>
        </w:rPr>
      </w:pPr>
    </w:p>
    <w:p w14:paraId="49A432A5" w14:textId="1BA8904F" w:rsidR="000764CE" w:rsidRDefault="000764CE" w:rsidP="00110D84">
      <w:pPr>
        <w:pStyle w:val="nrbrzegowy2"/>
        <w:ind w:left="0" w:hanging="851"/>
      </w:pPr>
      <w:r w:rsidRPr="00EC4F25">
        <w:t xml:space="preserve">Rozwiązanie, które opracował </w:t>
      </w:r>
      <w:r w:rsidR="005161BA">
        <w:t xml:space="preserve">dr </w:t>
      </w:r>
      <w:r w:rsidRPr="00EC4F25">
        <w:t xml:space="preserve">Jarosław </w:t>
      </w:r>
      <w:r w:rsidR="005161BA" w:rsidRPr="00EC4F25">
        <w:t>DUDA</w:t>
      </w:r>
      <w:r w:rsidRPr="00EC4F25">
        <w:t xml:space="preserve">, stanowi bazę intelektualną dla rozwoju Microsoft Corporation. </w:t>
      </w:r>
    </w:p>
    <w:p w14:paraId="1CFE7B57" w14:textId="77777777" w:rsidR="005161BA" w:rsidRPr="00027FC3" w:rsidRDefault="005161BA" w:rsidP="00110D84">
      <w:pPr>
        <w:pStyle w:val="nrbrzegowy2"/>
        <w:numPr>
          <w:ilvl w:val="0"/>
          <w:numId w:val="0"/>
        </w:numPr>
        <w:rPr>
          <w:color w:val="2E74B5" w:themeColor="accent5" w:themeShade="BF"/>
          <w:lang w:val="en-GB"/>
        </w:rPr>
      </w:pPr>
      <w:r w:rsidRPr="00027FC3">
        <w:rPr>
          <w:color w:val="2E74B5" w:themeColor="accent5" w:themeShade="BF"/>
          <w:lang w:val="en-GB"/>
        </w:rPr>
        <w:t>The solution, which was developed by Jaroslaw Duda, forms the intellectual basis for Microsoft Corporation's development.</w:t>
      </w:r>
    </w:p>
    <w:p w14:paraId="63F43946" w14:textId="77777777" w:rsidR="000764CE" w:rsidRDefault="000764CE" w:rsidP="00110D84">
      <w:pPr>
        <w:pStyle w:val="nrbrzegowy2"/>
        <w:numPr>
          <w:ilvl w:val="0"/>
          <w:numId w:val="0"/>
        </w:numPr>
        <w:ind w:hanging="851"/>
        <w:rPr>
          <w:lang w:val="en-US"/>
        </w:rPr>
      </w:pPr>
      <w:bookmarkStart w:id="148" w:name="_Hlk168519302"/>
    </w:p>
    <w:p w14:paraId="435C7FA8" w14:textId="4A0D031A" w:rsidR="00BC66C3" w:rsidRPr="00186799" w:rsidRDefault="00BC66C3" w:rsidP="00110D84">
      <w:pPr>
        <w:pStyle w:val="nrbrzegowy2"/>
        <w:ind w:left="0" w:hanging="851"/>
        <w:rPr>
          <w:szCs w:val="24"/>
        </w:rPr>
      </w:pPr>
      <w:r w:rsidRPr="00186799">
        <w:rPr>
          <w:szCs w:val="24"/>
        </w:rPr>
        <w:t xml:space="preserve">Patent udzielony przez USPTO </w:t>
      </w:r>
      <w:r w:rsidRPr="00186799">
        <w:rPr>
          <w:rStyle w:val="Uwydatnienie"/>
          <w:rFonts w:cstheme="minorHAnsi"/>
          <w:szCs w:val="24"/>
        </w:rPr>
        <w:t xml:space="preserve">(United </w:t>
      </w:r>
      <w:proofErr w:type="spellStart"/>
      <w:r w:rsidRPr="00186799">
        <w:rPr>
          <w:rStyle w:val="Uwydatnienie"/>
          <w:rFonts w:cstheme="minorHAnsi"/>
          <w:szCs w:val="24"/>
        </w:rPr>
        <w:t>States</w:t>
      </w:r>
      <w:proofErr w:type="spellEnd"/>
      <w:r w:rsidRPr="00186799">
        <w:rPr>
          <w:rStyle w:val="Uwydatnienie"/>
          <w:rFonts w:cstheme="minorHAnsi"/>
          <w:szCs w:val="24"/>
        </w:rPr>
        <w:t xml:space="preserve"> Patent and </w:t>
      </w:r>
      <w:proofErr w:type="spellStart"/>
      <w:r w:rsidRPr="00186799">
        <w:rPr>
          <w:rStyle w:val="Uwydatnienie"/>
          <w:rFonts w:cstheme="minorHAnsi"/>
          <w:szCs w:val="24"/>
        </w:rPr>
        <w:t>Trademark</w:t>
      </w:r>
      <w:proofErr w:type="spellEnd"/>
      <w:r w:rsidRPr="00186799">
        <w:rPr>
          <w:rStyle w:val="Uwydatnienie"/>
          <w:rFonts w:cstheme="minorHAnsi"/>
          <w:szCs w:val="24"/>
        </w:rPr>
        <w:t xml:space="preserve"> Office – </w:t>
      </w:r>
      <w:r w:rsidRPr="00186799">
        <w:rPr>
          <w:szCs w:val="24"/>
        </w:rPr>
        <w:t xml:space="preserve">Urząd Patentów </w:t>
      </w:r>
      <w:r w:rsidR="00110D84">
        <w:rPr>
          <w:szCs w:val="24"/>
        </w:rPr>
        <w:t>i</w:t>
      </w:r>
      <w:r w:rsidRPr="00186799">
        <w:rPr>
          <w:szCs w:val="24"/>
        </w:rPr>
        <w:t xml:space="preserve"> Znaków Towarowych Stanów Zjednoczonych) </w:t>
      </w:r>
      <w:r>
        <w:rPr>
          <w:szCs w:val="24"/>
        </w:rPr>
        <w:t>-</w:t>
      </w:r>
      <w:r w:rsidRPr="00186799">
        <w:rPr>
          <w:szCs w:val="24"/>
        </w:rPr>
        <w:t xml:space="preserve"> 11,234,023</w:t>
      </w:r>
      <w:r>
        <w:rPr>
          <w:szCs w:val="24"/>
        </w:rPr>
        <w:t>:</w:t>
      </w:r>
    </w:p>
    <w:p w14:paraId="4E9A388E" w14:textId="77777777" w:rsidR="00BC66C3" w:rsidRPr="00027FC3" w:rsidRDefault="00BC66C3" w:rsidP="00110D84">
      <w:pPr>
        <w:pStyle w:val="nrbrzegowy2"/>
        <w:numPr>
          <w:ilvl w:val="0"/>
          <w:numId w:val="0"/>
        </w:numPr>
        <w:rPr>
          <w:color w:val="2E74B5" w:themeColor="accent5" w:themeShade="BF"/>
          <w:szCs w:val="24"/>
          <w:lang w:val="en-GB"/>
        </w:rPr>
        <w:sectPr w:rsidR="00BC66C3" w:rsidRPr="00027FC3" w:rsidSect="00BC66C3">
          <w:pgSz w:w="11906" w:h="16838" w:code="9"/>
          <w:pgMar w:top="1417" w:right="1417" w:bottom="1417" w:left="1417" w:header="0" w:footer="0" w:gutter="0"/>
          <w:cols w:space="708"/>
          <w:docGrid w:linePitch="360"/>
        </w:sectPr>
      </w:pPr>
      <w:r w:rsidRPr="00027FC3">
        <w:rPr>
          <w:color w:val="2E74B5" w:themeColor="accent5" w:themeShade="BF"/>
          <w:szCs w:val="24"/>
          <w:shd w:val="clear" w:color="auto" w:fill="FFFFFF"/>
          <w:lang w:val="en-GB"/>
        </w:rPr>
        <w:t>Patent granted by the United States Patent and Trademark Office (USPTO) - 11,234,023</w:t>
      </w:r>
      <w:r w:rsidRPr="00027FC3">
        <w:rPr>
          <w:color w:val="2E74B5" w:themeColor="accent5" w:themeShade="BF"/>
          <w:shd w:val="clear" w:color="auto" w:fill="FFFFFF"/>
          <w:lang w:val="en-GB"/>
        </w:rPr>
        <w:t>:</w:t>
      </w:r>
    </w:p>
    <w:p w14:paraId="29CE19DB" w14:textId="69698E3E" w:rsidR="000764CE" w:rsidRPr="00BC66C3" w:rsidRDefault="000764CE" w:rsidP="00D17995">
      <w:pPr>
        <w:pStyle w:val="nrbrzegowy2"/>
        <w:numPr>
          <w:ilvl w:val="0"/>
          <w:numId w:val="0"/>
        </w:numPr>
        <w:ind w:left="604"/>
        <w:rPr>
          <w:rStyle w:val="Nagwek3Znak"/>
          <w:b/>
          <w:bCs w:val="0"/>
          <w:lang w:val="en-US"/>
        </w:rPr>
      </w:pPr>
      <w:r w:rsidRPr="00336007">
        <w:rPr>
          <w:noProof/>
        </w:rPr>
        <w:lastRenderedPageBreak/>
        <w:drawing>
          <wp:anchor distT="0" distB="0" distL="114300" distR="114300" simplePos="0" relativeHeight="252248064" behindDoc="0" locked="0" layoutInCell="1" allowOverlap="1" wp14:anchorId="2774DA63" wp14:editId="738CA889">
            <wp:simplePos x="0" y="0"/>
            <wp:positionH relativeFrom="column">
              <wp:posOffset>957</wp:posOffset>
            </wp:positionH>
            <wp:positionV relativeFrom="paragraph">
              <wp:posOffset>-682</wp:posOffset>
            </wp:positionV>
            <wp:extent cx="1980000" cy="1080000"/>
            <wp:effectExtent l="0" t="0" r="1270" b="6350"/>
            <wp:wrapThrough wrapText="bothSides">
              <wp:wrapPolygon edited="0">
                <wp:start x="0" y="0"/>
                <wp:lineTo x="0" y="21346"/>
                <wp:lineTo x="21406" y="21346"/>
                <wp:lineTo x="21406" y="0"/>
                <wp:lineTo x="0" y="0"/>
              </wp:wrapPolygon>
            </wp:wrapThrough>
            <wp:docPr id="161306485" name="Obraz 109" descr="Obraz zawierający godło, ptak, herb, odznaka&#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306485" name="Obraz 109" descr="Obraz zawierający godło, ptak, herb, odznaka&#10;&#10;Opis wygenerowany automatyczni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2A605" w14:textId="166A330D" w:rsidR="000764CE" w:rsidRPr="00BC66C3" w:rsidRDefault="000764CE" w:rsidP="00D17995">
      <w:pPr>
        <w:pStyle w:val="nrbrzegowy2"/>
        <w:numPr>
          <w:ilvl w:val="0"/>
          <w:numId w:val="0"/>
        </w:numPr>
        <w:ind w:left="604"/>
        <w:rPr>
          <w:sz w:val="34"/>
          <w:szCs w:val="34"/>
          <w:lang w:val="en-US"/>
        </w:rPr>
      </w:pPr>
    </w:p>
    <w:p w14:paraId="03352602" w14:textId="20E3A1B2" w:rsidR="002B1E08" w:rsidRPr="00186799" w:rsidRDefault="00D17995" w:rsidP="00D17995">
      <w:pPr>
        <w:pStyle w:val="nrbrzegowy2"/>
        <w:numPr>
          <w:ilvl w:val="0"/>
          <w:numId w:val="0"/>
        </w:numPr>
        <w:ind w:left="604"/>
        <w:rPr>
          <w:szCs w:val="24"/>
        </w:rPr>
      </w:pPr>
      <w:r w:rsidRPr="00336007">
        <w:t>U</w:t>
      </w:r>
      <w:r w:rsidRPr="00336007">
        <w:rPr>
          <w:rStyle w:val="Nagwek3Znak"/>
          <w:b/>
        </w:rPr>
        <w:t>SPTO</w:t>
      </w:r>
    </w:p>
    <w:p w14:paraId="60BF5FE7" w14:textId="5EA21574" w:rsidR="002B1E08" w:rsidRPr="00186799" w:rsidRDefault="002B1E08" w:rsidP="00D17995">
      <w:pPr>
        <w:pStyle w:val="nrbrzegowy2"/>
        <w:numPr>
          <w:ilvl w:val="0"/>
          <w:numId w:val="0"/>
        </w:numPr>
        <w:ind w:left="604"/>
        <w:rPr>
          <w:szCs w:val="24"/>
        </w:rPr>
      </w:pPr>
    </w:p>
    <w:p w14:paraId="61F231D7" w14:textId="07603BF9" w:rsidR="002B1E08" w:rsidRPr="00186799" w:rsidRDefault="002B1E08" w:rsidP="00D17995">
      <w:pPr>
        <w:pStyle w:val="nrbrzegowy2"/>
        <w:numPr>
          <w:ilvl w:val="0"/>
          <w:numId w:val="0"/>
        </w:numPr>
        <w:ind w:left="604" w:hanging="604"/>
        <w:rPr>
          <w:szCs w:val="24"/>
        </w:rPr>
      </w:pPr>
    </w:p>
    <w:p w14:paraId="11E967C6" w14:textId="22C66E61" w:rsidR="002B1E08" w:rsidRPr="00186799" w:rsidRDefault="002B1E08" w:rsidP="00D17995">
      <w:pPr>
        <w:pStyle w:val="nrbrzegowy2"/>
        <w:numPr>
          <w:ilvl w:val="0"/>
          <w:numId w:val="0"/>
        </w:numPr>
        <w:ind w:left="604" w:hanging="604"/>
        <w:rPr>
          <w:szCs w:val="24"/>
        </w:rPr>
      </w:pPr>
    </w:p>
    <w:bookmarkEnd w:id="148"/>
    <w:p w14:paraId="70EBD9E9" w14:textId="77777777" w:rsidR="002B1E08" w:rsidRPr="00186799" w:rsidRDefault="002B1E08" w:rsidP="00D17995">
      <w:pPr>
        <w:pStyle w:val="nrbrzegowy2"/>
        <w:numPr>
          <w:ilvl w:val="0"/>
          <w:numId w:val="0"/>
        </w:numPr>
        <w:ind w:left="604"/>
        <w:rPr>
          <w:szCs w:val="24"/>
        </w:rPr>
      </w:pPr>
    </w:p>
    <w:p w14:paraId="50A673B2" w14:textId="77777777" w:rsidR="00BC66C3" w:rsidRDefault="000764CE" w:rsidP="00110D84">
      <w:pPr>
        <w:pStyle w:val="nrbrzegowy2"/>
        <w:numPr>
          <w:ilvl w:val="0"/>
          <w:numId w:val="69"/>
        </w:numPr>
        <w:ind w:left="0" w:hanging="851"/>
        <w:rPr>
          <w:szCs w:val="24"/>
        </w:rPr>
      </w:pPr>
      <w:r w:rsidRPr="00BC66C3">
        <w:rPr>
          <w:szCs w:val="24"/>
        </w:rPr>
        <w:t xml:space="preserve">Patent udzielony przez USPTO </w:t>
      </w:r>
      <w:r w:rsidRPr="00BC66C3">
        <w:rPr>
          <w:rStyle w:val="Uwydatnienie"/>
          <w:rFonts w:cstheme="minorHAnsi"/>
          <w:szCs w:val="24"/>
        </w:rPr>
        <w:t xml:space="preserve">(United </w:t>
      </w:r>
      <w:proofErr w:type="spellStart"/>
      <w:r w:rsidRPr="00BC66C3">
        <w:rPr>
          <w:rStyle w:val="Uwydatnienie"/>
          <w:rFonts w:cstheme="minorHAnsi"/>
          <w:szCs w:val="24"/>
        </w:rPr>
        <w:t>States</w:t>
      </w:r>
      <w:proofErr w:type="spellEnd"/>
      <w:r w:rsidRPr="00BC66C3">
        <w:rPr>
          <w:rStyle w:val="Uwydatnienie"/>
          <w:rFonts w:cstheme="minorHAnsi"/>
          <w:szCs w:val="24"/>
        </w:rPr>
        <w:t xml:space="preserve"> Patent and </w:t>
      </w:r>
      <w:proofErr w:type="spellStart"/>
      <w:r w:rsidRPr="00BC66C3">
        <w:rPr>
          <w:rStyle w:val="Uwydatnienie"/>
          <w:rFonts w:cstheme="minorHAnsi"/>
          <w:szCs w:val="24"/>
        </w:rPr>
        <w:t>Trademark</w:t>
      </w:r>
      <w:proofErr w:type="spellEnd"/>
      <w:r w:rsidRPr="00BC66C3">
        <w:rPr>
          <w:rStyle w:val="Uwydatnienie"/>
          <w:rFonts w:cstheme="minorHAnsi"/>
          <w:szCs w:val="24"/>
        </w:rPr>
        <w:t xml:space="preserve"> Office – </w:t>
      </w:r>
      <w:r w:rsidRPr="00BC66C3">
        <w:rPr>
          <w:szCs w:val="24"/>
        </w:rPr>
        <w:t xml:space="preserve">Urząd Patentów I Znaków Towarowych Stanów Zjednoczonych) </w:t>
      </w:r>
      <w:r w:rsidR="00336007" w:rsidRPr="00BC66C3">
        <w:rPr>
          <w:szCs w:val="24"/>
        </w:rPr>
        <w:t>-</w:t>
      </w:r>
      <w:r w:rsidRPr="00BC66C3">
        <w:rPr>
          <w:szCs w:val="24"/>
        </w:rPr>
        <w:t xml:space="preserve"> 11,234,023.</w:t>
      </w:r>
    </w:p>
    <w:p w14:paraId="1461215F" w14:textId="77777777" w:rsidR="00DA21C2" w:rsidRPr="00027FC3" w:rsidRDefault="00186799" w:rsidP="00110D84">
      <w:pPr>
        <w:pStyle w:val="nrbrzegowy2"/>
        <w:numPr>
          <w:ilvl w:val="0"/>
          <w:numId w:val="0"/>
        </w:numPr>
        <w:rPr>
          <w:color w:val="2E74B5" w:themeColor="accent5" w:themeShade="BF"/>
          <w:szCs w:val="24"/>
          <w:lang w:val="en-US"/>
        </w:rPr>
      </w:pPr>
      <w:r w:rsidRPr="00027FC3">
        <w:rPr>
          <w:color w:val="2E74B5" w:themeColor="accent5" w:themeShade="BF"/>
          <w:szCs w:val="24"/>
          <w:shd w:val="clear" w:color="auto" w:fill="FFFFFF"/>
          <w:lang w:val="en-GB"/>
        </w:rPr>
        <w:t>Patent granted by the United States Patent and Trademark Office (USPTO) - 11,234,023</w:t>
      </w:r>
      <w:r w:rsidR="00336007" w:rsidRPr="00027FC3">
        <w:rPr>
          <w:color w:val="2E74B5" w:themeColor="accent5" w:themeShade="BF"/>
          <w:shd w:val="clear" w:color="auto" w:fill="FFFFFF"/>
          <w:lang w:val="en-GB"/>
        </w:rPr>
        <w:t>:</w:t>
      </w:r>
    </w:p>
    <w:p w14:paraId="75E9B307" w14:textId="0904B359" w:rsidR="00BC66C3" w:rsidRPr="00027FC3" w:rsidRDefault="00BC66C3" w:rsidP="00110D84">
      <w:pPr>
        <w:pStyle w:val="nrbrzegowy2"/>
        <w:numPr>
          <w:ilvl w:val="0"/>
          <w:numId w:val="69"/>
        </w:numPr>
        <w:ind w:left="0" w:hanging="851"/>
        <w:rPr>
          <w:color w:val="2E74B5" w:themeColor="accent5" w:themeShade="BF"/>
          <w:szCs w:val="24"/>
          <w:shd w:val="clear" w:color="auto" w:fill="FFFFFF"/>
          <w:lang w:val="en-GB"/>
        </w:rPr>
      </w:pPr>
      <w:r w:rsidRPr="00DA21C2">
        <w:rPr>
          <w:rFonts w:cstheme="minorHAnsi"/>
          <w:color w:val="1E2D40"/>
          <w:szCs w:val="24"/>
          <w:lang w:val="en-GB"/>
        </w:rPr>
        <w:t xml:space="preserve">Link: </w:t>
      </w:r>
      <w:hyperlink r:id="rId178" w:history="1">
        <w:r w:rsidRPr="00027FC3">
          <w:rPr>
            <w:color w:val="2E74B5" w:themeColor="accent5" w:themeShade="BF"/>
            <w:shd w:val="clear" w:color="auto" w:fill="FFFFFF"/>
            <w:lang w:val="en-GB"/>
          </w:rPr>
          <w:t>https://worldwide.espacenet.com/patent/search/family/070857294/publication/US11234023B2?q=EP3991303</w:t>
        </w:r>
      </w:hyperlink>
    </w:p>
    <w:p w14:paraId="4929E517" w14:textId="33D36A6C" w:rsidR="00BC66C3" w:rsidRPr="00BC66C3" w:rsidRDefault="00BC66C3" w:rsidP="00BC66C3">
      <w:pPr>
        <w:pStyle w:val="nrbrzegowy2"/>
        <w:numPr>
          <w:ilvl w:val="0"/>
          <w:numId w:val="0"/>
        </w:numPr>
        <w:ind w:left="604" w:hanging="604"/>
        <w:rPr>
          <w:szCs w:val="24"/>
          <w:lang w:val="en-GB"/>
        </w:rPr>
        <w:sectPr w:rsidR="00BC66C3" w:rsidRPr="00BC66C3" w:rsidSect="00F72864">
          <w:pgSz w:w="11906" w:h="16838" w:code="9"/>
          <w:pgMar w:top="1417" w:right="1417" w:bottom="1417" w:left="1417" w:header="0" w:footer="0" w:gutter="0"/>
          <w:cols w:space="708"/>
          <w:docGrid w:linePitch="360"/>
        </w:sectPr>
      </w:pPr>
    </w:p>
    <w:p w14:paraId="3DED129C" w14:textId="77777777" w:rsidR="00115C68" w:rsidRPr="00EC4F25" w:rsidRDefault="00115C68" w:rsidP="000764CE">
      <w:pPr>
        <w:spacing w:after="0" w:line="240" w:lineRule="auto"/>
        <w:rPr>
          <w:rFonts w:cstheme="minorHAnsi"/>
          <w:color w:val="1E2D40"/>
          <w:lang w:val="en-GB"/>
        </w:rPr>
      </w:pPr>
    </w:p>
    <w:p w14:paraId="6A69D1BC" w14:textId="77777777" w:rsidR="00115C68" w:rsidRPr="00EC4F25" w:rsidRDefault="00115C68" w:rsidP="000764CE">
      <w:pPr>
        <w:spacing w:after="0" w:line="240" w:lineRule="auto"/>
        <w:rPr>
          <w:rFonts w:cstheme="minorHAnsi"/>
          <w:color w:val="1E2D40"/>
          <w:lang w:val="en-GB"/>
        </w:rPr>
      </w:pPr>
    </w:p>
    <w:p w14:paraId="2F3609BC" w14:textId="77777777" w:rsidR="00115C68" w:rsidRPr="00EC4F25" w:rsidRDefault="00115C68" w:rsidP="000764CE">
      <w:pPr>
        <w:spacing w:after="0" w:line="240" w:lineRule="auto"/>
        <w:rPr>
          <w:rFonts w:cstheme="minorHAnsi"/>
          <w:color w:val="1E2D40"/>
          <w:lang w:val="en-GB"/>
        </w:rPr>
      </w:pPr>
    </w:p>
    <w:p w14:paraId="6D14E27A" w14:textId="28F56644" w:rsidR="000764CE" w:rsidRPr="00EC4F25" w:rsidRDefault="000764CE" w:rsidP="00DE18FA">
      <w:pPr>
        <w:spacing w:after="0" w:line="240" w:lineRule="auto"/>
        <w:jc w:val="center"/>
        <w:rPr>
          <w:rFonts w:cstheme="minorHAnsi"/>
          <w:b/>
          <w:lang w:val="en-GB"/>
        </w:rPr>
      </w:pPr>
      <w:r w:rsidRPr="00EC4F25">
        <w:rPr>
          <w:rFonts w:cstheme="minorHAnsi"/>
          <w:b/>
          <w:noProof/>
          <w:lang w:eastAsia="pl-PL"/>
        </w:rPr>
        <w:drawing>
          <wp:inline distT="0" distB="0" distL="0" distR="0" wp14:anchorId="6F6C33D6" wp14:editId="4B4E8BA2">
            <wp:extent cx="6511159" cy="9213361"/>
            <wp:effectExtent l="0" t="0" r="4445" b="6985"/>
            <wp:docPr id="1196210566"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527029" cy="9235818"/>
                    </a:xfrm>
                    <a:prstGeom prst="rect">
                      <a:avLst/>
                    </a:prstGeom>
                    <a:noFill/>
                    <a:ln>
                      <a:noFill/>
                    </a:ln>
                  </pic:spPr>
                </pic:pic>
              </a:graphicData>
            </a:graphic>
          </wp:inline>
        </w:drawing>
      </w:r>
    </w:p>
    <w:p w14:paraId="55415243" w14:textId="77777777" w:rsidR="000764CE" w:rsidRPr="00EC4F25" w:rsidRDefault="000764CE" w:rsidP="000764CE">
      <w:pPr>
        <w:spacing w:after="0" w:line="240" w:lineRule="auto"/>
        <w:jc w:val="center"/>
        <w:rPr>
          <w:rFonts w:cstheme="minorHAnsi"/>
          <w:b/>
          <w:lang w:val="en-GB"/>
        </w:rPr>
      </w:pPr>
      <w:r w:rsidRPr="00EC4F25">
        <w:rPr>
          <w:rFonts w:cstheme="minorHAnsi"/>
          <w:b/>
          <w:noProof/>
          <w:lang w:eastAsia="pl-PL"/>
        </w:rPr>
        <w:lastRenderedPageBreak/>
        <w:drawing>
          <wp:inline distT="0" distB="0" distL="0" distR="0" wp14:anchorId="48BA12B7" wp14:editId="267FA349">
            <wp:extent cx="7183746" cy="10165080"/>
            <wp:effectExtent l="0" t="0" r="0" b="7620"/>
            <wp:docPr id="488796038"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187034" cy="10169733"/>
                    </a:xfrm>
                    <a:prstGeom prst="rect">
                      <a:avLst/>
                    </a:prstGeom>
                    <a:noFill/>
                    <a:ln>
                      <a:noFill/>
                    </a:ln>
                  </pic:spPr>
                </pic:pic>
              </a:graphicData>
            </a:graphic>
          </wp:inline>
        </w:drawing>
      </w:r>
    </w:p>
    <w:p w14:paraId="14BF6A0A" w14:textId="411996C5" w:rsidR="00115C68" w:rsidRPr="00EC4F25" w:rsidRDefault="00115C68" w:rsidP="00DE18FA">
      <w:pPr>
        <w:spacing w:after="0" w:line="240" w:lineRule="auto"/>
        <w:rPr>
          <w:rFonts w:cstheme="minorHAnsi"/>
          <w:b/>
          <w:lang w:val="en-GB"/>
        </w:rPr>
        <w:sectPr w:rsidR="00115C68" w:rsidRPr="00EC4F25" w:rsidSect="00F72864">
          <w:pgSz w:w="11906" w:h="16838" w:code="9"/>
          <w:pgMar w:top="0" w:right="0" w:bottom="0" w:left="0" w:header="0" w:footer="0" w:gutter="0"/>
          <w:cols w:space="708"/>
          <w:docGrid w:linePitch="360"/>
        </w:sectPr>
      </w:pPr>
    </w:p>
    <w:p w14:paraId="10B2F585" w14:textId="1502451B" w:rsidR="002B62F0" w:rsidRPr="00BA3A43" w:rsidRDefault="000764CE" w:rsidP="002B62F0">
      <w:pPr>
        <w:spacing w:after="0" w:line="240" w:lineRule="auto"/>
        <w:rPr>
          <w:rStyle w:val="Nagwek3Znak"/>
          <w:sz w:val="44"/>
          <w:szCs w:val="44"/>
        </w:rPr>
      </w:pPr>
      <w:r w:rsidRPr="00BA3A43">
        <w:rPr>
          <w:rStyle w:val="Nagwek3Znak"/>
          <w:noProof/>
          <w:sz w:val="44"/>
          <w:szCs w:val="44"/>
          <w:lang w:eastAsia="pl-PL"/>
        </w:rPr>
        <w:lastRenderedPageBreak/>
        <w:drawing>
          <wp:anchor distT="0" distB="0" distL="114300" distR="114300" simplePos="0" relativeHeight="252244992" behindDoc="0" locked="0" layoutInCell="1" allowOverlap="1" wp14:anchorId="103B58C6" wp14:editId="2592F6A6">
            <wp:simplePos x="0" y="0"/>
            <wp:positionH relativeFrom="column">
              <wp:posOffset>635</wp:posOffset>
            </wp:positionH>
            <wp:positionV relativeFrom="paragraph">
              <wp:posOffset>635</wp:posOffset>
            </wp:positionV>
            <wp:extent cx="1979930" cy="1079500"/>
            <wp:effectExtent l="0" t="0" r="1270" b="6350"/>
            <wp:wrapThrough wrapText="bothSides">
              <wp:wrapPolygon edited="0">
                <wp:start x="0" y="0"/>
                <wp:lineTo x="0" y="21346"/>
                <wp:lineTo x="21406" y="21346"/>
                <wp:lineTo x="21406" y="0"/>
                <wp:lineTo x="0" y="0"/>
              </wp:wrapPolygon>
            </wp:wrapThrough>
            <wp:docPr id="1857325041" name="Obraz 168" descr="Obraz zawierający tekst, zrzut ekranu, Czcionka, design&#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7325041" name="Obraz 168" descr="Obraz zawierający tekst, zrzut ekranu, Czcionka, design&#10;&#10;Opis wygenerowany automatycznie"/>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7993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8AFB1" w14:textId="60773395" w:rsidR="002B62F0" w:rsidRPr="002B62F0" w:rsidRDefault="002B62F0" w:rsidP="002B62F0">
      <w:pPr>
        <w:spacing w:after="0" w:line="240" w:lineRule="auto"/>
        <w:rPr>
          <w:rStyle w:val="Nagwek3Znak"/>
          <w:b/>
          <w:bCs/>
        </w:rPr>
      </w:pPr>
      <w:bookmarkStart w:id="149" w:name="_Toc170117995"/>
      <w:r w:rsidRPr="00027FC3">
        <w:rPr>
          <w:rStyle w:val="Nagwek3Znak"/>
          <w:rFonts w:asciiTheme="minorHAnsi" w:hAnsiTheme="minorHAnsi" w:cstheme="minorHAnsi"/>
          <w:b/>
          <w:bCs/>
        </w:rPr>
        <w:t>WIPO</w:t>
      </w:r>
      <w:r w:rsidR="00BA3A43" w:rsidRPr="00027FC3">
        <w:rPr>
          <w:rStyle w:val="Nagwek3Znak"/>
          <w:rFonts w:asciiTheme="minorHAnsi" w:hAnsiTheme="minorHAnsi" w:cstheme="minorHAnsi"/>
          <w:b/>
          <w:bCs/>
        </w:rPr>
        <w:t xml:space="preserve"> [</w:t>
      </w:r>
      <w:r w:rsidR="00BA3A43" w:rsidRPr="00027FC3">
        <w:rPr>
          <w:rStyle w:val="Nagwek3Znak"/>
          <w:rFonts w:asciiTheme="minorHAnsi" w:hAnsiTheme="minorHAnsi" w:cstheme="minorHAnsi"/>
          <w:b/>
          <w:bCs/>
          <w:i/>
          <w:iCs/>
        </w:rPr>
        <w:t xml:space="preserve">World Intellectual Property </w:t>
      </w:r>
      <w:proofErr w:type="gramStart"/>
      <w:r w:rsidR="00BA3A43" w:rsidRPr="00027FC3">
        <w:rPr>
          <w:rStyle w:val="Nagwek3Znak"/>
          <w:rFonts w:asciiTheme="minorHAnsi" w:hAnsiTheme="minorHAnsi" w:cstheme="minorHAnsi"/>
          <w:b/>
          <w:bCs/>
          <w:i/>
          <w:iCs/>
        </w:rPr>
        <w:t>Organization</w:t>
      </w:r>
      <w:r w:rsidR="00BA3A43" w:rsidRPr="00027FC3">
        <w:rPr>
          <w:rStyle w:val="Nagwek3Znak"/>
          <w:rFonts w:asciiTheme="minorHAnsi" w:hAnsiTheme="minorHAnsi" w:cstheme="minorHAnsi"/>
          <w:b/>
          <w:bCs/>
        </w:rPr>
        <w:t xml:space="preserve">  -</w:t>
      </w:r>
      <w:proofErr w:type="gramEnd"/>
      <w:r w:rsidR="00BA3A43" w:rsidRPr="00027FC3">
        <w:rPr>
          <w:rStyle w:val="Nagwek3Znak"/>
          <w:rFonts w:asciiTheme="minorHAnsi" w:hAnsiTheme="minorHAnsi" w:cstheme="minorHAnsi"/>
          <w:b/>
          <w:bCs/>
        </w:rPr>
        <w:t xml:space="preserve"> Światowa Organizacja Własności Intelektualnej]</w:t>
      </w:r>
      <w:r w:rsidR="00B17D31" w:rsidRPr="00027FC3">
        <w:rPr>
          <w:rStyle w:val="Nagwek3Znak"/>
          <w:rFonts w:asciiTheme="minorHAnsi" w:hAnsiTheme="minorHAnsi" w:cstheme="minorHAnsi"/>
          <w:b/>
          <w:bCs/>
        </w:rPr>
        <w:t xml:space="preserve">  -</w:t>
      </w:r>
      <w:bookmarkEnd w:id="149"/>
      <w:r w:rsidR="00B17D31">
        <w:rPr>
          <w:rStyle w:val="Nagwek3Znak"/>
          <w:b/>
          <w:bCs/>
        </w:rPr>
        <w:t xml:space="preserve"> </w:t>
      </w:r>
      <w:r w:rsidR="00B17D31">
        <w:rPr>
          <w:b/>
          <w:bCs/>
        </w:rPr>
        <w:t>w</w:t>
      </w:r>
      <w:r w:rsidR="00B17D31" w:rsidRPr="00B17D31">
        <w:rPr>
          <w:b/>
          <w:bCs/>
        </w:rPr>
        <w:t>arto odszukać tu polski trop</w:t>
      </w:r>
    </w:p>
    <w:p w14:paraId="18220A49" w14:textId="66E8F4F0" w:rsidR="002B62F0" w:rsidRPr="004F740D" w:rsidRDefault="002B62F0" w:rsidP="00721FAD">
      <w:pPr>
        <w:spacing w:after="0" w:line="240" w:lineRule="auto"/>
        <w:rPr>
          <w:rStyle w:val="Nagwek3Znak"/>
        </w:rPr>
      </w:pPr>
    </w:p>
    <w:p w14:paraId="6C58C5EB" w14:textId="50C577F4" w:rsidR="000764CE" w:rsidRDefault="000764CE" w:rsidP="000764CE">
      <w:pPr>
        <w:spacing w:after="0" w:line="240" w:lineRule="auto"/>
        <w:jc w:val="center"/>
        <w:rPr>
          <w:rFonts w:cstheme="minorHAnsi"/>
          <w:b/>
        </w:rPr>
      </w:pPr>
    </w:p>
    <w:p w14:paraId="4297A28F" w14:textId="1D6C823E" w:rsidR="00721FAD" w:rsidRDefault="00721FAD" w:rsidP="000764CE">
      <w:pPr>
        <w:spacing w:after="0" w:line="240" w:lineRule="auto"/>
        <w:jc w:val="center"/>
        <w:rPr>
          <w:rFonts w:cstheme="minorHAnsi"/>
          <w:b/>
        </w:rPr>
      </w:pPr>
    </w:p>
    <w:p w14:paraId="66CD43E9" w14:textId="7259F02F" w:rsidR="00721FAD" w:rsidRDefault="00721FAD" w:rsidP="000764CE">
      <w:pPr>
        <w:spacing w:after="0" w:line="240" w:lineRule="auto"/>
        <w:jc w:val="center"/>
        <w:rPr>
          <w:rFonts w:cstheme="minorHAnsi"/>
          <w:b/>
        </w:rPr>
      </w:pPr>
    </w:p>
    <w:p w14:paraId="6913A3CA" w14:textId="77777777" w:rsidR="00256F54" w:rsidRPr="002B62F0" w:rsidRDefault="00256F54" w:rsidP="00256F54">
      <w:pPr>
        <w:spacing w:after="0" w:line="240" w:lineRule="auto"/>
        <w:jc w:val="center"/>
        <w:rPr>
          <w:rStyle w:val="Nagwek3Znak"/>
          <w:b/>
          <w:bCs/>
        </w:rPr>
      </w:pPr>
      <w:bookmarkStart w:id="150" w:name="_Hlk169984268"/>
      <w:r w:rsidRPr="00E251B1">
        <w:rPr>
          <w:b/>
          <w:bCs/>
          <w:sz w:val="24"/>
          <w:szCs w:val="24"/>
        </w:rPr>
        <w:t xml:space="preserve">WIPO [World Intellectual Property </w:t>
      </w:r>
      <w:proofErr w:type="gramStart"/>
      <w:r w:rsidRPr="00E251B1">
        <w:rPr>
          <w:b/>
          <w:bCs/>
          <w:sz w:val="24"/>
          <w:szCs w:val="24"/>
        </w:rPr>
        <w:t>Organization  -</w:t>
      </w:r>
      <w:proofErr w:type="gramEnd"/>
      <w:r w:rsidRPr="00E251B1">
        <w:rPr>
          <w:b/>
          <w:bCs/>
          <w:sz w:val="24"/>
          <w:szCs w:val="24"/>
        </w:rPr>
        <w:t xml:space="preserve"> Światowa Organizacja Własności Intelektualnej]</w:t>
      </w:r>
      <w:r>
        <w:rPr>
          <w:rStyle w:val="Nagwek3Znak"/>
          <w:b/>
          <w:bCs/>
        </w:rPr>
        <w:t xml:space="preserve">  - </w:t>
      </w:r>
      <w:r>
        <w:rPr>
          <w:b/>
          <w:bCs/>
        </w:rPr>
        <w:t>w</w:t>
      </w:r>
      <w:r w:rsidRPr="00B17D31">
        <w:rPr>
          <w:b/>
          <w:bCs/>
        </w:rPr>
        <w:t>arto odszukać tu polski trop</w:t>
      </w:r>
    </w:p>
    <w:p w14:paraId="0E091E48" w14:textId="6AC39DDA" w:rsidR="00256F54" w:rsidRDefault="00256F54" w:rsidP="00256F54">
      <w:pPr>
        <w:jc w:val="center"/>
        <w:rPr>
          <w:b/>
          <w:bCs/>
          <w:color w:val="0070C0"/>
          <w:sz w:val="24"/>
          <w:szCs w:val="24"/>
          <w:lang w:val="en-US"/>
        </w:rPr>
      </w:pPr>
      <w:r w:rsidRPr="00027FC3">
        <w:rPr>
          <w:b/>
          <w:bCs/>
          <w:color w:val="2E74B5" w:themeColor="accent5" w:themeShade="BF"/>
          <w:sz w:val="24"/>
          <w:szCs w:val="24"/>
          <w:lang w:val="en-US"/>
        </w:rPr>
        <w:t>WIPO [World Intellectual Property Organization] - it is worth finding a Polish clue here</w:t>
      </w:r>
    </w:p>
    <w:p w14:paraId="2152C430" w14:textId="77777777" w:rsidR="00256F54" w:rsidRPr="00256F54" w:rsidRDefault="00256F54" w:rsidP="00256F54">
      <w:pPr>
        <w:jc w:val="center"/>
        <w:rPr>
          <w:b/>
          <w:bCs/>
          <w:color w:val="0070C0"/>
          <w:sz w:val="24"/>
          <w:szCs w:val="24"/>
          <w:lang w:val="en-US"/>
        </w:rPr>
      </w:pPr>
    </w:p>
    <w:p w14:paraId="5C670B3B" w14:textId="0C4B757A" w:rsidR="008F68C9" w:rsidRDefault="008F68C9" w:rsidP="00110D84">
      <w:pPr>
        <w:pStyle w:val="nrbrzegowy2"/>
        <w:numPr>
          <w:ilvl w:val="0"/>
          <w:numId w:val="70"/>
        </w:numPr>
        <w:ind w:left="0" w:hanging="851"/>
      </w:pPr>
      <w:r w:rsidRPr="005C0468">
        <w:t xml:space="preserve">Rozwiązanie zgłoszone do ochrony w trybie </w:t>
      </w:r>
      <w:r w:rsidRPr="008F68C9">
        <w:rPr>
          <w:rStyle w:val="Pogrubienie"/>
          <w:rFonts w:cstheme="minorHAnsi"/>
          <w:szCs w:val="24"/>
        </w:rPr>
        <w:t xml:space="preserve">PCT </w:t>
      </w:r>
      <w:r w:rsidRPr="005C0468">
        <w:t>(</w:t>
      </w:r>
      <w:bookmarkStart w:id="151" w:name="_Hlk169983771"/>
      <w:r w:rsidRPr="008F68C9">
        <w:rPr>
          <w:rStyle w:val="Uwydatnienie"/>
          <w:rFonts w:cstheme="minorHAnsi"/>
          <w:szCs w:val="24"/>
        </w:rPr>
        <w:t xml:space="preserve">The Patent </w:t>
      </w:r>
      <w:proofErr w:type="spellStart"/>
      <w:r w:rsidRPr="008F68C9">
        <w:rPr>
          <w:rStyle w:val="Uwydatnienie"/>
          <w:rFonts w:cstheme="minorHAnsi"/>
          <w:szCs w:val="24"/>
        </w:rPr>
        <w:t>Cooperation</w:t>
      </w:r>
      <w:proofErr w:type="spellEnd"/>
      <w:r w:rsidRPr="008F68C9">
        <w:rPr>
          <w:rStyle w:val="Uwydatnienie"/>
          <w:rFonts w:cstheme="minorHAnsi"/>
          <w:szCs w:val="24"/>
        </w:rPr>
        <w:t xml:space="preserve"> </w:t>
      </w:r>
      <w:proofErr w:type="spellStart"/>
      <w:r w:rsidRPr="008F68C9">
        <w:rPr>
          <w:rStyle w:val="Uwydatnienie"/>
          <w:rFonts w:cstheme="minorHAnsi"/>
          <w:szCs w:val="24"/>
        </w:rPr>
        <w:t>Treaty</w:t>
      </w:r>
      <w:proofErr w:type="spellEnd"/>
      <w:r w:rsidRPr="005C0468">
        <w:t xml:space="preserve"> </w:t>
      </w:r>
      <w:bookmarkEnd w:id="151"/>
      <w:r>
        <w:t>-</w:t>
      </w:r>
      <w:r w:rsidRPr="005C0468">
        <w:t xml:space="preserve"> Układ</w:t>
      </w:r>
      <w:r>
        <w:t>u</w:t>
      </w:r>
      <w:r w:rsidRPr="005C0468">
        <w:t xml:space="preserve"> o Współpracy Patentowej) w </w:t>
      </w:r>
      <w:r w:rsidRPr="008F68C9">
        <w:rPr>
          <w:rStyle w:val="Pogrubienie"/>
          <w:rFonts w:cstheme="minorHAnsi"/>
          <w:szCs w:val="24"/>
        </w:rPr>
        <w:t>WIPO</w:t>
      </w:r>
      <w:r w:rsidRPr="005C0468">
        <w:t xml:space="preserve"> (</w:t>
      </w:r>
      <w:r w:rsidRPr="008F68C9">
        <w:rPr>
          <w:rStyle w:val="Uwydatnienie"/>
          <w:rFonts w:cstheme="minorHAnsi"/>
          <w:szCs w:val="24"/>
        </w:rPr>
        <w:t>World Intellectual Property Organization</w:t>
      </w:r>
      <w:r w:rsidRPr="005C0468">
        <w:t xml:space="preserve"> – Światowa Organizacja Własności Intelektualnej)</w:t>
      </w:r>
    </w:p>
    <w:p w14:paraId="34539463" w14:textId="1BB43BB1" w:rsidR="008F68C9" w:rsidRPr="00027FC3" w:rsidRDefault="008F68C9" w:rsidP="00110D84">
      <w:pPr>
        <w:pStyle w:val="nrbrzegowy2"/>
        <w:numPr>
          <w:ilvl w:val="0"/>
          <w:numId w:val="0"/>
        </w:numPr>
        <w:rPr>
          <w:color w:val="2E74B5" w:themeColor="accent5" w:themeShade="BF"/>
          <w:lang w:val="en-GB"/>
        </w:rPr>
      </w:pPr>
      <w:r w:rsidRPr="00027FC3">
        <w:rPr>
          <w:color w:val="2E74B5" w:themeColor="accent5" w:themeShade="BF"/>
          <w:lang w:val="en-GB"/>
        </w:rPr>
        <w:t xml:space="preserve">Solution submitted for protection in </w:t>
      </w:r>
      <w:r w:rsidRPr="00027FC3">
        <w:rPr>
          <w:b/>
          <w:bCs w:val="0"/>
          <w:color w:val="2E74B5" w:themeColor="accent5" w:themeShade="BF"/>
          <w:lang w:val="en-GB"/>
        </w:rPr>
        <w:t>PCT</w:t>
      </w:r>
      <w:r w:rsidRPr="00027FC3">
        <w:rPr>
          <w:color w:val="2E74B5" w:themeColor="accent5" w:themeShade="BF"/>
          <w:lang w:val="en-GB"/>
        </w:rPr>
        <w:t xml:space="preserve"> (</w:t>
      </w:r>
      <w:r w:rsidRPr="00027FC3">
        <w:rPr>
          <w:i/>
          <w:iCs/>
          <w:color w:val="2E74B5" w:themeColor="accent5" w:themeShade="BF"/>
          <w:lang w:val="en-GB"/>
        </w:rPr>
        <w:t>The Patent Cooperation Treaty</w:t>
      </w:r>
      <w:r w:rsidRPr="00027FC3">
        <w:rPr>
          <w:color w:val="2E74B5" w:themeColor="accent5" w:themeShade="BF"/>
          <w:lang w:val="en-GB"/>
        </w:rPr>
        <w:t>)</w:t>
      </w:r>
      <w:r w:rsidR="00027FC3" w:rsidRPr="00027FC3">
        <w:rPr>
          <w:color w:val="2E74B5" w:themeColor="accent5" w:themeShade="BF"/>
          <w:lang w:val="en-GB"/>
        </w:rPr>
        <w:t xml:space="preserve"> in </w:t>
      </w:r>
      <w:r w:rsidR="00027FC3" w:rsidRPr="00027FC3">
        <w:rPr>
          <w:b/>
          <w:bCs w:val="0"/>
          <w:color w:val="2E74B5" w:themeColor="accent5" w:themeShade="BF"/>
          <w:lang w:val="en-GB"/>
        </w:rPr>
        <w:t xml:space="preserve">WIPO </w:t>
      </w:r>
      <w:r w:rsidR="00027FC3" w:rsidRPr="00027FC3">
        <w:rPr>
          <w:color w:val="2E74B5" w:themeColor="accent5" w:themeShade="BF"/>
          <w:lang w:val="en-GB"/>
        </w:rPr>
        <w:t>(</w:t>
      </w:r>
      <w:r w:rsidR="00027FC3" w:rsidRPr="00027FC3">
        <w:rPr>
          <w:i/>
          <w:iCs/>
          <w:color w:val="2E74B5" w:themeColor="accent5" w:themeShade="BF"/>
          <w:lang w:val="en-GB"/>
        </w:rPr>
        <w:t>World Intellectual Property Organization</w:t>
      </w:r>
      <w:r w:rsidR="00027FC3" w:rsidRPr="00027FC3">
        <w:rPr>
          <w:color w:val="2E74B5" w:themeColor="accent5" w:themeShade="BF"/>
          <w:lang w:val="en-GB"/>
        </w:rPr>
        <w:t>)</w:t>
      </w:r>
      <w:r w:rsidRPr="00027FC3">
        <w:rPr>
          <w:color w:val="2E74B5" w:themeColor="accent5" w:themeShade="BF"/>
          <w:lang w:val="en-GB"/>
        </w:rPr>
        <w:t>.</w:t>
      </w:r>
    </w:p>
    <w:p w14:paraId="5B01E9FE" w14:textId="77777777" w:rsidR="008F68C9" w:rsidRPr="008F68C9" w:rsidRDefault="008F68C9" w:rsidP="00110D84">
      <w:pPr>
        <w:pStyle w:val="nrbrzegowy2"/>
        <w:numPr>
          <w:ilvl w:val="0"/>
          <w:numId w:val="0"/>
        </w:numPr>
        <w:ind w:hanging="851"/>
        <w:rPr>
          <w:lang w:val="en-US"/>
        </w:rPr>
      </w:pPr>
    </w:p>
    <w:p w14:paraId="737AA00B" w14:textId="7F901CAD" w:rsidR="008F68C9" w:rsidRDefault="008F68C9" w:rsidP="00110D84">
      <w:pPr>
        <w:pStyle w:val="nrbrzegowy2"/>
        <w:ind w:left="0" w:hanging="851"/>
      </w:pPr>
      <w:r w:rsidRPr="005C0468">
        <w:t>Zgłoszenie dokonane w WIPO 2020/263438 A1</w:t>
      </w:r>
      <w:r w:rsidRPr="00EC4F25">
        <w:t>:</w:t>
      </w:r>
    </w:p>
    <w:p w14:paraId="06B2C477" w14:textId="6C62B37D" w:rsidR="008F68C9" w:rsidRPr="00027FC3" w:rsidRDefault="008F68C9" w:rsidP="00110D84">
      <w:pPr>
        <w:pStyle w:val="nrbrzegowy2"/>
        <w:numPr>
          <w:ilvl w:val="0"/>
          <w:numId w:val="0"/>
        </w:numPr>
        <w:rPr>
          <w:color w:val="2E74B5" w:themeColor="accent5" w:themeShade="BF"/>
          <w:lang w:val="en-US"/>
        </w:rPr>
      </w:pPr>
      <w:r w:rsidRPr="00027FC3">
        <w:rPr>
          <w:color w:val="2E74B5" w:themeColor="accent5" w:themeShade="BF"/>
          <w:lang w:val="en-GB"/>
        </w:rPr>
        <w:t>Notification to WIPO 2020/263438 A1</w:t>
      </w:r>
      <w:r w:rsidR="00027FC3" w:rsidRPr="00027FC3">
        <w:rPr>
          <w:color w:val="2E74B5" w:themeColor="accent5" w:themeShade="BF"/>
          <w:lang w:val="en-GB"/>
        </w:rPr>
        <w:t>:</w:t>
      </w:r>
    </w:p>
    <w:p w14:paraId="7826C04E" w14:textId="309D349C" w:rsidR="008F68C9" w:rsidRPr="008F68C9" w:rsidRDefault="00110D84" w:rsidP="00110D84">
      <w:pPr>
        <w:pStyle w:val="nrbrzegowy2"/>
        <w:numPr>
          <w:ilvl w:val="0"/>
          <w:numId w:val="70"/>
        </w:numPr>
        <w:ind w:left="0" w:hanging="851"/>
        <w:rPr>
          <w:lang w:val="en-US"/>
        </w:rPr>
      </w:pPr>
      <w:r>
        <w:rPr>
          <w:lang w:val="en-US"/>
        </w:rPr>
        <w:t>L</w:t>
      </w:r>
      <w:r w:rsidR="008F68C9" w:rsidRPr="008F68C9">
        <w:rPr>
          <w:lang w:val="en-US"/>
        </w:rPr>
        <w:t xml:space="preserve">ink: </w:t>
      </w:r>
      <w:hyperlink r:id="rId182" w:history="1">
        <w:r w:rsidR="008F68C9" w:rsidRPr="008F68C9">
          <w:rPr>
            <w:rStyle w:val="Hipercze"/>
            <w:rFonts w:cstheme="minorHAnsi"/>
            <w:color w:val="0070C0"/>
            <w:szCs w:val="24"/>
            <w:lang w:val="en-US"/>
          </w:rPr>
          <w:t>https://worldwide.espacenet.com/patent/search/family/070857294/publication/WO2020263438A1?q=EP3991303</w:t>
        </w:r>
      </w:hyperlink>
      <w:r w:rsidR="008F68C9" w:rsidRPr="008F68C9">
        <w:rPr>
          <w:color w:val="0070C0"/>
          <w:lang w:val="en-US"/>
        </w:rPr>
        <w:t xml:space="preserve"> </w:t>
      </w:r>
    </w:p>
    <w:bookmarkEnd w:id="150"/>
    <w:p w14:paraId="374B3FE0" w14:textId="77777777" w:rsidR="000764CE" w:rsidRPr="008F68C9" w:rsidRDefault="000764CE" w:rsidP="008F68C9">
      <w:pPr>
        <w:pStyle w:val="nrbrzegowy2"/>
        <w:numPr>
          <w:ilvl w:val="0"/>
          <w:numId w:val="0"/>
        </w:numPr>
        <w:ind w:left="604"/>
        <w:rPr>
          <w:lang w:val="en-US"/>
        </w:rPr>
      </w:pPr>
    </w:p>
    <w:p w14:paraId="057971AB" w14:textId="77777777" w:rsidR="000764CE" w:rsidRPr="009331F8" w:rsidRDefault="000764CE" w:rsidP="00D1092D">
      <w:pPr>
        <w:spacing w:after="0" w:line="240" w:lineRule="auto"/>
        <w:jc w:val="both"/>
        <w:rPr>
          <w:rFonts w:cstheme="minorHAnsi"/>
          <w:sz w:val="24"/>
          <w:szCs w:val="24"/>
          <w:lang w:val="en-US"/>
        </w:rPr>
      </w:pPr>
    </w:p>
    <w:p w14:paraId="135074F4" w14:textId="77777777" w:rsidR="005C0468" w:rsidRPr="005C0468" w:rsidRDefault="005C0468" w:rsidP="00D1092D">
      <w:pPr>
        <w:spacing w:after="0" w:line="240" w:lineRule="auto"/>
        <w:jc w:val="both"/>
        <w:rPr>
          <w:rFonts w:cstheme="minorHAnsi"/>
          <w:lang w:val="en-GB"/>
        </w:rPr>
      </w:pPr>
    </w:p>
    <w:p w14:paraId="67068245" w14:textId="77777777" w:rsidR="005C0468" w:rsidRPr="005C0468" w:rsidRDefault="005C0468" w:rsidP="00D1092D">
      <w:pPr>
        <w:spacing w:after="0" w:line="240" w:lineRule="auto"/>
        <w:jc w:val="both"/>
        <w:rPr>
          <w:rFonts w:cstheme="minorHAnsi"/>
          <w:lang w:val="en-GB"/>
        </w:rPr>
      </w:pPr>
    </w:p>
    <w:p w14:paraId="4D3885C8" w14:textId="77777777" w:rsidR="005C0468" w:rsidRPr="005C0468" w:rsidRDefault="005C0468" w:rsidP="00D1092D">
      <w:pPr>
        <w:spacing w:after="0" w:line="240" w:lineRule="auto"/>
        <w:jc w:val="both"/>
        <w:rPr>
          <w:rFonts w:cstheme="minorHAnsi"/>
          <w:lang w:val="en-GB"/>
        </w:rPr>
        <w:sectPr w:rsidR="005C0468" w:rsidRPr="005C0468" w:rsidSect="00F72864">
          <w:pgSz w:w="11906" w:h="16838" w:code="9"/>
          <w:pgMar w:top="1417" w:right="1417" w:bottom="1417" w:left="1417" w:header="0" w:footer="0" w:gutter="0"/>
          <w:cols w:space="708"/>
          <w:docGrid w:linePitch="360"/>
        </w:sectPr>
      </w:pPr>
    </w:p>
    <w:p w14:paraId="0BDF0B61" w14:textId="77777777" w:rsidR="000764CE" w:rsidRPr="005C0468" w:rsidRDefault="000764CE" w:rsidP="000764CE">
      <w:pPr>
        <w:spacing w:after="0" w:line="240" w:lineRule="auto"/>
        <w:rPr>
          <w:rFonts w:cstheme="minorHAnsi"/>
          <w:lang w:val="en-GB"/>
        </w:rPr>
      </w:pPr>
    </w:p>
    <w:p w14:paraId="1780643C" w14:textId="77777777" w:rsidR="000778B6" w:rsidRPr="005C0468" w:rsidRDefault="000778B6" w:rsidP="000764CE">
      <w:pPr>
        <w:spacing w:after="0" w:line="240" w:lineRule="auto"/>
        <w:rPr>
          <w:rFonts w:cstheme="minorHAnsi"/>
          <w:lang w:val="en-GB"/>
        </w:rPr>
      </w:pPr>
    </w:p>
    <w:p w14:paraId="2EEBFC1F" w14:textId="567A2986" w:rsidR="000764CE" w:rsidRPr="00EC4F25" w:rsidRDefault="000764CE" w:rsidP="00DE18FA">
      <w:pPr>
        <w:spacing w:after="0" w:line="240" w:lineRule="auto"/>
        <w:jc w:val="center"/>
        <w:rPr>
          <w:rFonts w:cstheme="minorHAnsi"/>
          <w:b/>
        </w:rPr>
      </w:pPr>
      <w:r w:rsidRPr="00EC4F25">
        <w:rPr>
          <w:rFonts w:cstheme="minorHAnsi"/>
          <w:b/>
          <w:noProof/>
          <w:lang w:eastAsia="pl-PL"/>
        </w:rPr>
        <w:drawing>
          <wp:inline distT="0" distB="0" distL="0" distR="0" wp14:anchorId="445E83CD" wp14:editId="4B4D1C29">
            <wp:extent cx="7035238" cy="9951720"/>
            <wp:effectExtent l="0" t="0" r="0" b="0"/>
            <wp:docPr id="1515092693"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040306" cy="9958889"/>
                    </a:xfrm>
                    <a:prstGeom prst="rect">
                      <a:avLst/>
                    </a:prstGeom>
                    <a:noFill/>
                    <a:ln>
                      <a:noFill/>
                    </a:ln>
                  </pic:spPr>
                </pic:pic>
              </a:graphicData>
            </a:graphic>
          </wp:inline>
        </w:drawing>
      </w:r>
    </w:p>
    <w:p w14:paraId="14B24D04" w14:textId="2B3774F5" w:rsidR="000764CE" w:rsidRPr="00EC4F25" w:rsidRDefault="000764CE" w:rsidP="00DE18FA">
      <w:pPr>
        <w:spacing w:after="0" w:line="240" w:lineRule="auto"/>
        <w:jc w:val="center"/>
        <w:rPr>
          <w:rFonts w:cstheme="minorHAnsi"/>
          <w:b/>
        </w:rPr>
      </w:pPr>
      <w:r w:rsidRPr="00EC4F25">
        <w:rPr>
          <w:rFonts w:cstheme="minorHAnsi"/>
          <w:b/>
          <w:noProof/>
          <w:lang w:eastAsia="pl-PL"/>
        </w:rPr>
        <w:lastRenderedPageBreak/>
        <w:drawing>
          <wp:inline distT="0" distB="0" distL="0" distR="0" wp14:anchorId="0E464ACD" wp14:editId="62220F9A">
            <wp:extent cx="7218391" cy="10210800"/>
            <wp:effectExtent l="0" t="0" r="1905" b="0"/>
            <wp:docPr id="1820730511"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7223262" cy="10217691"/>
                    </a:xfrm>
                    <a:prstGeom prst="rect">
                      <a:avLst/>
                    </a:prstGeom>
                    <a:noFill/>
                    <a:ln>
                      <a:noFill/>
                    </a:ln>
                  </pic:spPr>
                </pic:pic>
              </a:graphicData>
            </a:graphic>
          </wp:inline>
        </w:drawing>
      </w:r>
    </w:p>
    <w:p w14:paraId="0112FF00" w14:textId="01B01FE5" w:rsidR="000764CE" w:rsidRPr="00EC4F25" w:rsidRDefault="000764CE" w:rsidP="00DE18FA">
      <w:pPr>
        <w:spacing w:after="0" w:line="240" w:lineRule="auto"/>
        <w:rPr>
          <w:rFonts w:cstheme="minorHAnsi"/>
          <w:b/>
        </w:rPr>
      </w:pPr>
    </w:p>
    <w:p w14:paraId="6F563820" w14:textId="2A4DA262" w:rsidR="00D218A6" w:rsidRPr="00EC4F25" w:rsidRDefault="000764CE" w:rsidP="00DE18FA">
      <w:pPr>
        <w:spacing w:after="0" w:line="240" w:lineRule="auto"/>
        <w:jc w:val="center"/>
        <w:rPr>
          <w:rFonts w:cstheme="minorHAnsi"/>
          <w:b/>
        </w:rPr>
      </w:pPr>
      <w:r w:rsidRPr="00EC4F25">
        <w:rPr>
          <w:rFonts w:cstheme="minorHAnsi"/>
          <w:b/>
          <w:noProof/>
          <w:lang w:eastAsia="pl-PL"/>
        </w:rPr>
        <w:drawing>
          <wp:inline distT="0" distB="0" distL="0" distR="0" wp14:anchorId="1A404E5E" wp14:editId="34B59358">
            <wp:extent cx="7164522" cy="10134600"/>
            <wp:effectExtent l="0" t="0" r="0" b="0"/>
            <wp:docPr id="2147478499" name="Obraz 280" descr="Obraz zawierający tekst, zrzut ekranu, Czcionka,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78499" name="Obraz 280" descr="Obraz zawierający tekst, zrzut ekranu, Czcionka, Równolegle&#10;&#10;Opis wygenerowany automatyczni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7169569" cy="10141740"/>
                    </a:xfrm>
                    <a:prstGeom prst="rect">
                      <a:avLst/>
                    </a:prstGeom>
                    <a:noFill/>
                    <a:ln>
                      <a:noFill/>
                    </a:ln>
                  </pic:spPr>
                </pic:pic>
              </a:graphicData>
            </a:graphic>
          </wp:inline>
        </w:drawing>
      </w:r>
    </w:p>
    <w:p w14:paraId="6E8491D5" w14:textId="77777777" w:rsidR="000764CE" w:rsidRPr="00EC4F25" w:rsidRDefault="000764CE" w:rsidP="000764CE">
      <w:pPr>
        <w:spacing w:after="0" w:line="240" w:lineRule="auto"/>
        <w:jc w:val="center"/>
        <w:rPr>
          <w:rFonts w:cstheme="minorHAnsi"/>
          <w:b/>
        </w:rPr>
      </w:pPr>
      <w:r w:rsidRPr="00EC4F25">
        <w:rPr>
          <w:rFonts w:cstheme="minorHAnsi"/>
          <w:b/>
          <w:noProof/>
          <w:lang w:eastAsia="pl-PL"/>
        </w:rPr>
        <w:lastRenderedPageBreak/>
        <w:drawing>
          <wp:inline distT="0" distB="0" distL="0" distR="0" wp14:anchorId="375B7CB1" wp14:editId="5D5DF93D">
            <wp:extent cx="7229165" cy="10226040"/>
            <wp:effectExtent l="0" t="0" r="0" b="3810"/>
            <wp:docPr id="1399427073" name="Obraz 281" descr="Obraz zawierający tekst, zrzut ekranu, Czcionka, czarne i biał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27073" name="Obraz 281" descr="Obraz zawierający tekst, zrzut ekranu, Czcionka, czarne i białe&#10;&#10;Opis wygenerowany automatyczni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7234704" cy="10233876"/>
                    </a:xfrm>
                    <a:prstGeom prst="rect">
                      <a:avLst/>
                    </a:prstGeom>
                    <a:noFill/>
                    <a:ln>
                      <a:noFill/>
                    </a:ln>
                  </pic:spPr>
                </pic:pic>
              </a:graphicData>
            </a:graphic>
          </wp:inline>
        </w:drawing>
      </w:r>
    </w:p>
    <w:p w14:paraId="2C55D8EF" w14:textId="77777777" w:rsidR="00D218A6" w:rsidRPr="00EC4F25" w:rsidRDefault="00D218A6" w:rsidP="000764CE">
      <w:pPr>
        <w:spacing w:after="0" w:line="240" w:lineRule="auto"/>
        <w:jc w:val="center"/>
        <w:rPr>
          <w:rFonts w:cstheme="minorHAnsi"/>
          <w:b/>
        </w:rPr>
      </w:pPr>
    </w:p>
    <w:p w14:paraId="0859DA33" w14:textId="77777777" w:rsidR="00D218A6" w:rsidRPr="00EC4F25" w:rsidRDefault="00D218A6" w:rsidP="000764CE">
      <w:pPr>
        <w:spacing w:after="0" w:line="240" w:lineRule="auto"/>
        <w:jc w:val="center"/>
        <w:rPr>
          <w:rFonts w:cstheme="minorHAnsi"/>
          <w:b/>
        </w:rPr>
      </w:pPr>
    </w:p>
    <w:p w14:paraId="633BD7E2" w14:textId="77777777" w:rsidR="000764CE" w:rsidRPr="00EC4F25" w:rsidRDefault="000764CE" w:rsidP="000764CE">
      <w:pPr>
        <w:spacing w:after="0" w:line="240" w:lineRule="auto"/>
        <w:jc w:val="center"/>
        <w:rPr>
          <w:rFonts w:cstheme="minorHAnsi"/>
          <w:b/>
        </w:rPr>
      </w:pPr>
      <w:r w:rsidRPr="00EC4F25">
        <w:rPr>
          <w:rFonts w:cstheme="minorHAnsi"/>
          <w:b/>
          <w:noProof/>
          <w:lang w:eastAsia="pl-PL"/>
        </w:rPr>
        <w:drawing>
          <wp:inline distT="0" distB="0" distL="0" distR="0" wp14:anchorId="09D5E1C8" wp14:editId="532F8BB3">
            <wp:extent cx="6992143" cy="9890760"/>
            <wp:effectExtent l="0" t="0" r="0" b="0"/>
            <wp:docPr id="1802638971" name="Obraz 282" descr="Obraz zawierający tekst, zrzut ekranu, Czcionka, Prostoką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8971" name="Obraz 282" descr="Obraz zawierający tekst, zrzut ekranu, Czcionka, Prostokąt&#10;&#10;Opis wygenerowany automatyczni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999671" cy="9901409"/>
                    </a:xfrm>
                    <a:prstGeom prst="rect">
                      <a:avLst/>
                    </a:prstGeom>
                    <a:noFill/>
                    <a:ln>
                      <a:noFill/>
                    </a:ln>
                  </pic:spPr>
                </pic:pic>
              </a:graphicData>
            </a:graphic>
          </wp:inline>
        </w:drawing>
      </w:r>
    </w:p>
    <w:p w14:paraId="0C71175C" w14:textId="77777777" w:rsidR="000778B6" w:rsidRPr="00EC4F25" w:rsidRDefault="000778B6">
      <w:pPr>
        <w:rPr>
          <w:lang w:val="en-GB"/>
        </w:rPr>
        <w:sectPr w:rsidR="000778B6" w:rsidRPr="00EC4F25" w:rsidSect="00F72864">
          <w:pgSz w:w="11906" w:h="16838" w:code="9"/>
          <w:pgMar w:top="0" w:right="0" w:bottom="0" w:left="0" w:header="0" w:footer="0" w:gutter="0"/>
          <w:cols w:space="708"/>
          <w:docGrid w:linePitch="360"/>
        </w:sectPr>
      </w:pPr>
    </w:p>
    <w:p w14:paraId="5092EE72" w14:textId="761FFD65" w:rsidR="004C5ABF" w:rsidRPr="00027FC3" w:rsidRDefault="00CA268B" w:rsidP="00027FC3">
      <w:pPr>
        <w:pStyle w:val="nrbrzegowy2"/>
        <w:ind w:left="0" w:hanging="851"/>
        <w:rPr>
          <w:color w:val="2E74B5" w:themeColor="accent5" w:themeShade="BF"/>
        </w:rPr>
      </w:pPr>
      <w:r>
        <w:lastRenderedPageBreak/>
        <w:t xml:space="preserve">Zachęcamy do obejrzenia </w:t>
      </w:r>
      <w:r w:rsidR="004C5ABF" w:rsidRPr="005C0468">
        <w:t>krótkich filmów o kodowaniu ANS</w:t>
      </w:r>
      <w:r>
        <w:t>,</w:t>
      </w:r>
      <w:r w:rsidR="004C5ABF" w:rsidRPr="005C0468">
        <w:t xml:space="preserve"> zapraszamy na stronę: </w:t>
      </w:r>
      <w:r w:rsidR="004C5ABF" w:rsidRPr="005C0468">
        <w:rPr>
          <w:b/>
          <w:noProof/>
        </w:rPr>
        <w:t xml:space="preserve"> </w:t>
      </w:r>
      <w:hyperlink r:id="rId188" w:history="1">
        <w:r w:rsidR="004C5ABF" w:rsidRPr="00027FC3">
          <w:rPr>
            <w:rStyle w:val="Hipercze"/>
            <w:rFonts w:cstheme="minorHAnsi"/>
            <w:noProof/>
            <w:color w:val="2E74B5" w:themeColor="accent5" w:themeShade="BF"/>
            <w:szCs w:val="24"/>
          </w:rPr>
          <w:t>https://stowi.pl/kodowanie-ans-pl/</w:t>
        </w:r>
      </w:hyperlink>
      <w:r w:rsidR="004C5ABF" w:rsidRPr="00027FC3">
        <w:rPr>
          <w:noProof/>
          <w:color w:val="2E74B5" w:themeColor="accent5" w:themeShade="BF"/>
        </w:rPr>
        <w:t xml:space="preserve"> lub </w:t>
      </w:r>
      <w:hyperlink r:id="rId189" w:history="1">
        <w:r w:rsidR="004C5ABF" w:rsidRPr="00027FC3">
          <w:rPr>
            <w:rStyle w:val="Hipercze"/>
            <w:rFonts w:cstheme="minorHAnsi"/>
            <w:noProof/>
            <w:color w:val="2E74B5" w:themeColor="accent5" w:themeShade="BF"/>
            <w:szCs w:val="24"/>
          </w:rPr>
          <w:t>https://www.youtube.com/watch?v=q9G-UJCi9go</w:t>
        </w:r>
      </w:hyperlink>
      <w:r w:rsidR="004C5ABF" w:rsidRPr="00027FC3">
        <w:rPr>
          <w:noProof/>
          <w:color w:val="2E74B5" w:themeColor="accent5" w:themeShade="BF"/>
        </w:rPr>
        <w:t xml:space="preserve"> </w:t>
      </w:r>
      <w:r w:rsidRPr="00027FC3">
        <w:rPr>
          <w:noProof/>
          <w:color w:val="2E74B5" w:themeColor="accent5" w:themeShade="BF"/>
        </w:rPr>
        <w:t>:</w:t>
      </w:r>
    </w:p>
    <w:p w14:paraId="342A4FCE" w14:textId="240DE657" w:rsidR="004C5ABF" w:rsidRPr="00027FC3" w:rsidRDefault="00CA268B" w:rsidP="00027FC3">
      <w:pPr>
        <w:pStyle w:val="nrbrzegowy2"/>
        <w:ind w:left="0" w:hanging="851"/>
        <w:rPr>
          <w:color w:val="2E74B5" w:themeColor="accent5" w:themeShade="BF"/>
          <w:lang w:val="en-US"/>
        </w:rPr>
      </w:pPr>
      <w:r w:rsidRPr="00027FC3">
        <w:rPr>
          <w:color w:val="2E74B5" w:themeColor="accent5" w:themeShade="BF"/>
          <w:lang w:val="en-GB"/>
        </w:rPr>
        <w:t>We encourage you to watch short videos</w:t>
      </w:r>
      <w:r w:rsidRPr="00027FC3">
        <w:rPr>
          <w:color w:val="2E74B5" w:themeColor="accent5" w:themeShade="BF"/>
          <w:lang w:val="en-US"/>
        </w:rPr>
        <w:t xml:space="preserve"> </w:t>
      </w:r>
      <w:r w:rsidR="004C5ABF" w:rsidRPr="00027FC3">
        <w:rPr>
          <w:color w:val="2E74B5" w:themeColor="accent5" w:themeShade="BF"/>
          <w:lang w:val="en-GB"/>
        </w:rPr>
        <w:t xml:space="preserve">on ANS coding, please visit:  </w:t>
      </w:r>
      <w:hyperlink r:id="rId190" w:history="1">
        <w:r w:rsidR="004C5ABF" w:rsidRPr="00027FC3">
          <w:rPr>
            <w:rStyle w:val="Hipercze"/>
            <w:rFonts w:cstheme="minorHAnsi"/>
            <w:color w:val="2E74B5" w:themeColor="accent5" w:themeShade="BF"/>
            <w:szCs w:val="24"/>
            <w:lang w:val="en-GB"/>
          </w:rPr>
          <w:t>https://stowi.pl/kodowanie-ans-en/</w:t>
        </w:r>
      </w:hyperlink>
      <w:r w:rsidR="004C5ABF" w:rsidRPr="00027FC3">
        <w:rPr>
          <w:color w:val="2E74B5" w:themeColor="accent5" w:themeShade="BF"/>
          <w:lang w:val="en-GB"/>
        </w:rPr>
        <w:t xml:space="preserve"> or </w:t>
      </w:r>
      <w:hyperlink r:id="rId191" w:history="1">
        <w:r w:rsidR="004C5ABF" w:rsidRPr="00027FC3">
          <w:rPr>
            <w:rStyle w:val="Hipercze"/>
            <w:rFonts w:cstheme="minorHAnsi"/>
            <w:color w:val="2E74B5" w:themeColor="accent5" w:themeShade="BF"/>
            <w:szCs w:val="24"/>
            <w:lang w:val="en-GB"/>
          </w:rPr>
          <w:t>https://www.youtube.com/watch?v=uXtmN9fE01k</w:t>
        </w:r>
      </w:hyperlink>
      <w:r w:rsidR="004C5ABF" w:rsidRPr="00027FC3">
        <w:rPr>
          <w:color w:val="2E74B5" w:themeColor="accent5" w:themeShade="BF"/>
          <w:lang w:val="en-GB"/>
        </w:rPr>
        <w:t xml:space="preserve"> </w:t>
      </w:r>
      <w:r w:rsidRPr="00027FC3">
        <w:rPr>
          <w:color w:val="2E74B5" w:themeColor="accent5" w:themeShade="BF"/>
          <w:lang w:val="en-GB"/>
        </w:rPr>
        <w:t>:</w:t>
      </w:r>
    </w:p>
    <w:p w14:paraId="4EDE5DF2" w14:textId="77777777" w:rsidR="00CA268B" w:rsidRDefault="00CA268B" w:rsidP="00CA268B">
      <w:pPr>
        <w:spacing w:after="0" w:line="240" w:lineRule="auto"/>
        <w:jc w:val="center"/>
        <w:rPr>
          <w:rFonts w:cstheme="minorHAnsi"/>
          <w:bCs/>
          <w:lang w:val="en-GB"/>
        </w:rPr>
      </w:pPr>
    </w:p>
    <w:p w14:paraId="1931658A" w14:textId="4262442E" w:rsidR="004C5ABF" w:rsidRPr="00EC4F25" w:rsidRDefault="004C5ABF" w:rsidP="00CA268B">
      <w:pPr>
        <w:spacing w:after="0" w:line="240" w:lineRule="auto"/>
        <w:jc w:val="center"/>
        <w:rPr>
          <w:rFonts w:cstheme="minorHAnsi"/>
          <w:bCs/>
          <w:lang w:val="en-GB"/>
        </w:rPr>
      </w:pPr>
      <w:r w:rsidRPr="00EC4F25">
        <w:rPr>
          <w:rFonts w:cstheme="minorHAnsi"/>
          <w:bCs/>
          <w:noProof/>
          <w:lang w:eastAsia="pl-PL"/>
        </w:rPr>
        <w:drawing>
          <wp:inline distT="0" distB="0" distL="0" distR="0" wp14:anchorId="00B06A36" wp14:editId="7548667A">
            <wp:extent cx="4495800" cy="2319931"/>
            <wp:effectExtent l="0" t="0" r="0" b="4445"/>
            <wp:docPr id="1322510302" name="Obraz 283"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0302" name="Obraz 283" descr="Obraz zawierający tekst, zrzut ekranu, design&#10;&#10;Opis wygenerowany automatyczni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14416" cy="2329537"/>
                    </a:xfrm>
                    <a:prstGeom prst="rect">
                      <a:avLst/>
                    </a:prstGeom>
                    <a:noFill/>
                    <a:ln>
                      <a:noFill/>
                    </a:ln>
                  </pic:spPr>
                </pic:pic>
              </a:graphicData>
            </a:graphic>
          </wp:inline>
        </w:drawing>
      </w:r>
    </w:p>
    <w:p w14:paraId="08BE1169" w14:textId="44955D8A" w:rsidR="00721FAD" w:rsidRPr="00CA268B" w:rsidRDefault="00721FAD" w:rsidP="00CA268B">
      <w:pPr>
        <w:pStyle w:val="nrbrzegowy2"/>
        <w:numPr>
          <w:ilvl w:val="0"/>
          <w:numId w:val="0"/>
        </w:numPr>
        <w:ind w:left="604"/>
        <w:rPr>
          <w:sz w:val="10"/>
          <w:szCs w:val="6"/>
          <w:lang w:val="en-GB"/>
        </w:rPr>
      </w:pPr>
    </w:p>
    <w:p w14:paraId="25407898" w14:textId="5A845390" w:rsidR="00CA268B" w:rsidRDefault="00CA268B" w:rsidP="00027FC3">
      <w:pPr>
        <w:pStyle w:val="nrbrzegowy2"/>
        <w:ind w:left="0" w:hanging="851"/>
      </w:pPr>
      <w:r w:rsidRPr="00CA268B">
        <w:t xml:space="preserve">Autorzy znakomicie </w:t>
      </w:r>
      <w:r>
        <w:t>symbolami i rysunkami znakomicie pomagają zrozumieć tak skomplikowane zagadnienia:</w:t>
      </w:r>
    </w:p>
    <w:p w14:paraId="043DA658" w14:textId="4EC83E22" w:rsidR="00CA268B" w:rsidRPr="00027FC3" w:rsidRDefault="00CA268B" w:rsidP="00027FC3">
      <w:pPr>
        <w:pStyle w:val="nrbrzegowy2"/>
        <w:numPr>
          <w:ilvl w:val="0"/>
          <w:numId w:val="0"/>
        </w:numPr>
        <w:rPr>
          <w:color w:val="2E74B5" w:themeColor="accent5" w:themeShade="BF"/>
          <w:lang w:val="en-US"/>
        </w:rPr>
      </w:pPr>
      <w:r w:rsidRPr="00027FC3">
        <w:rPr>
          <w:color w:val="2E74B5" w:themeColor="accent5" w:themeShade="BF"/>
          <w:lang w:val="en-US"/>
        </w:rPr>
        <w:t>The authors use excellent symbols and drawings to help us understand such complex issues:</w:t>
      </w:r>
    </w:p>
    <w:p w14:paraId="757FFEE6" w14:textId="4A62BE82" w:rsidR="00CA268B" w:rsidRDefault="00CA268B">
      <w:pPr>
        <w:rPr>
          <w:rFonts w:cstheme="minorHAnsi"/>
          <w:bCs/>
          <w:lang w:val="en-GB"/>
        </w:rPr>
      </w:pPr>
      <w:r w:rsidRPr="00EC4F25">
        <w:rPr>
          <w:rFonts w:cstheme="minorHAnsi"/>
          <w:b/>
          <w:bCs/>
          <w:noProof/>
          <w:lang w:eastAsia="pl-PL"/>
        </w:rPr>
        <w:drawing>
          <wp:inline distT="0" distB="0" distL="0" distR="0" wp14:anchorId="49334BEE" wp14:editId="74846B8A">
            <wp:extent cx="5759450" cy="4318000"/>
            <wp:effectExtent l="0" t="0" r="0" b="6350"/>
            <wp:docPr id="16020353" name="Obraz 305"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353" name="Obraz 305" descr="Obraz zawierający tekst, zrzut ekranu, Czcionka, numer&#10;&#10;Opis wygenerowany automatyczni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0D987BF8" w14:textId="178B0291" w:rsidR="004C5ABF" w:rsidRPr="00CA268B" w:rsidRDefault="00004768" w:rsidP="00721FAD">
      <w:pPr>
        <w:spacing w:after="0" w:line="240" w:lineRule="auto"/>
        <w:jc w:val="both"/>
        <w:rPr>
          <w:rFonts w:cstheme="minorHAnsi"/>
          <w:bCs/>
          <w:sz w:val="34"/>
          <w:szCs w:val="34"/>
        </w:rPr>
      </w:pPr>
      <w:r>
        <w:rPr>
          <w:rStyle w:val="Nagwek3Znak"/>
          <w:rFonts w:asciiTheme="minorHAnsi" w:hAnsiTheme="minorHAnsi" w:cstheme="minorHAnsi"/>
        </w:rPr>
        <w:lastRenderedPageBreak/>
        <w:br/>
      </w:r>
      <w:r w:rsidR="004C5ABF" w:rsidRPr="00CA268B">
        <w:rPr>
          <w:rStyle w:val="Nagwek3Znak"/>
          <w:rFonts w:asciiTheme="minorHAnsi" w:hAnsiTheme="minorHAnsi" w:cstheme="minorHAnsi"/>
          <w:b/>
          <w:bCs/>
          <w:noProof/>
          <w:sz w:val="32"/>
          <w:szCs w:val="32"/>
          <w:lang w:eastAsia="pl-PL"/>
        </w:rPr>
        <w:drawing>
          <wp:anchor distT="0" distB="0" distL="114300" distR="114300" simplePos="0" relativeHeight="252246016" behindDoc="0" locked="0" layoutInCell="1" allowOverlap="1" wp14:anchorId="2527982B" wp14:editId="4D24D9C6">
            <wp:simplePos x="0" y="0"/>
            <wp:positionH relativeFrom="column">
              <wp:posOffset>957</wp:posOffset>
            </wp:positionH>
            <wp:positionV relativeFrom="paragraph">
              <wp:posOffset>-6085</wp:posOffset>
            </wp:positionV>
            <wp:extent cx="1980000" cy="1080000"/>
            <wp:effectExtent l="0" t="0" r="1270" b="6350"/>
            <wp:wrapThrough wrapText="bothSides">
              <wp:wrapPolygon edited="0">
                <wp:start x="0" y="0"/>
                <wp:lineTo x="0" y="21346"/>
                <wp:lineTo x="21406" y="21346"/>
                <wp:lineTo x="21406" y="0"/>
                <wp:lineTo x="0" y="0"/>
              </wp:wrapPolygon>
            </wp:wrapThrough>
            <wp:docPr id="196811435" name="Obraz 106" descr="Obraz zawierający ubrania, osoba, Ludzka twarz, człowiek&#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811435" name="Obraz 106" descr="Obraz zawierający ubrania, osoba, Ludzka twarz, człowiek&#10;&#10;Opis wygenerowany automatyczni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D89291" w14:textId="75354452" w:rsidR="004C5ABF" w:rsidRPr="00EC4F25" w:rsidRDefault="005161BA" w:rsidP="004C5ABF">
      <w:pPr>
        <w:spacing w:after="0" w:line="240" w:lineRule="auto"/>
        <w:rPr>
          <w:rFonts w:cstheme="minorHAnsi"/>
          <w:bCs/>
        </w:rPr>
      </w:pPr>
      <w:bookmarkStart w:id="152" w:name="_Toc170117996"/>
      <w:r w:rsidRPr="005161BA">
        <w:rPr>
          <w:rStyle w:val="Nagwek3Znak"/>
          <w:rFonts w:asciiTheme="minorHAnsi" w:hAnsiTheme="minorHAnsi" w:cstheme="minorHAnsi"/>
          <w:b/>
          <w:bCs/>
        </w:rPr>
        <w:t xml:space="preserve">Kod geniusza. Jak </w:t>
      </w:r>
      <w:r>
        <w:rPr>
          <w:rStyle w:val="Nagwek3Znak"/>
          <w:rFonts w:asciiTheme="minorHAnsi" w:hAnsiTheme="minorHAnsi" w:cstheme="minorHAnsi"/>
          <w:b/>
          <w:bCs/>
        </w:rPr>
        <w:t xml:space="preserve">dr </w:t>
      </w:r>
      <w:r w:rsidRPr="005161BA">
        <w:rPr>
          <w:rStyle w:val="Nagwek3Znak"/>
          <w:rFonts w:asciiTheme="minorHAnsi" w:hAnsiTheme="minorHAnsi" w:cstheme="minorHAnsi"/>
          <w:b/>
          <w:bCs/>
        </w:rPr>
        <w:t>Jarosław Duda zmienił świat</w:t>
      </w:r>
      <w:bookmarkEnd w:id="152"/>
    </w:p>
    <w:p w14:paraId="1327FCBF" w14:textId="77777777" w:rsidR="00721FAD" w:rsidRDefault="00721FAD" w:rsidP="00F472B3">
      <w:pPr>
        <w:jc w:val="both"/>
        <w:rPr>
          <w:rStyle w:val="Pogrubienie"/>
          <w:rFonts w:cstheme="minorHAnsi"/>
        </w:rPr>
      </w:pPr>
    </w:p>
    <w:p w14:paraId="59B0687A" w14:textId="5EE96B53" w:rsidR="00721FAD" w:rsidRDefault="00721FAD" w:rsidP="00F472B3">
      <w:pPr>
        <w:jc w:val="both"/>
        <w:rPr>
          <w:rStyle w:val="Pogrubienie"/>
          <w:rFonts w:cstheme="minorHAnsi"/>
        </w:rPr>
      </w:pPr>
    </w:p>
    <w:p w14:paraId="687B845D" w14:textId="47480155" w:rsidR="004C5ABF" w:rsidRPr="005C0468" w:rsidRDefault="004C5ABF" w:rsidP="00027FC3">
      <w:pPr>
        <w:pStyle w:val="nrbrzegowy2"/>
        <w:numPr>
          <w:ilvl w:val="0"/>
          <w:numId w:val="71"/>
        </w:numPr>
        <w:ind w:left="0" w:hanging="851"/>
      </w:pPr>
      <w:r w:rsidRPr="0066289A">
        <w:rPr>
          <w:rStyle w:val="Pogrubienie"/>
          <w:rFonts w:cstheme="minorHAnsi"/>
          <w:szCs w:val="24"/>
        </w:rPr>
        <w:t>W ramach poznani</w:t>
      </w:r>
      <w:r w:rsidR="00F472B3" w:rsidRPr="0066289A">
        <w:rPr>
          <w:rStyle w:val="Pogrubienie"/>
          <w:rFonts w:cstheme="minorHAnsi"/>
          <w:szCs w:val="24"/>
        </w:rPr>
        <w:t>a bliżej historii,</w:t>
      </w:r>
      <w:r w:rsidR="00F472B3" w:rsidRPr="0066289A">
        <w:rPr>
          <w:rStyle w:val="Pogrubienie"/>
          <w:rFonts w:cstheme="minorHAnsi"/>
          <w:b w:val="0"/>
          <w:szCs w:val="24"/>
        </w:rPr>
        <w:t xml:space="preserve"> którą może opowiedzieć nam </w:t>
      </w:r>
      <w:r w:rsidR="00F472B3" w:rsidRPr="0066289A">
        <w:rPr>
          <w:rStyle w:val="Pogrubienie"/>
          <w:rFonts w:cstheme="minorHAnsi"/>
          <w:szCs w:val="24"/>
        </w:rPr>
        <w:t xml:space="preserve">dr Jarosław DUDA </w:t>
      </w:r>
      <w:r w:rsidR="00F472B3" w:rsidRPr="0066289A">
        <w:rPr>
          <w:rStyle w:val="Pogrubienie"/>
          <w:rFonts w:cstheme="minorHAnsi"/>
          <w:b w:val="0"/>
          <w:szCs w:val="24"/>
        </w:rPr>
        <w:t xml:space="preserve">- </w:t>
      </w:r>
      <w:r w:rsidRPr="005C0468">
        <w:t xml:space="preserve">zachęcamy do zapoznania się z artykułem: </w:t>
      </w:r>
      <w:r w:rsidRPr="0066289A">
        <w:rPr>
          <w:i/>
        </w:rPr>
        <w:t>„Kod geniusza. Jak Jarosław Duda zmienił świat i nic na tym nie zarobił.”</w:t>
      </w:r>
      <w:r w:rsidR="00F472B3" w:rsidRPr="005C0468">
        <w:t xml:space="preserve"> autorstwa Anny ŚMIGULEC</w:t>
      </w:r>
      <w:r w:rsidRPr="005C0468">
        <w:t>, który ukazał się na łamach Magazynu Wirtualn</w:t>
      </w:r>
      <w:r w:rsidR="00110D8A">
        <w:t>a</w:t>
      </w:r>
      <w:r w:rsidRPr="005C0468">
        <w:t xml:space="preserve"> Polsk</w:t>
      </w:r>
      <w:r w:rsidR="00110D8A">
        <w:t>a</w:t>
      </w:r>
      <w:r w:rsidRPr="005C0468">
        <w:t xml:space="preserve"> 24.10.2022 roku.</w:t>
      </w:r>
    </w:p>
    <w:p w14:paraId="4C311D6A" w14:textId="3C74998D" w:rsidR="004C5ABF" w:rsidRPr="005C0468" w:rsidRDefault="004C5ABF" w:rsidP="00027FC3">
      <w:pPr>
        <w:pStyle w:val="nrbrzegowy2"/>
        <w:ind w:left="0" w:hanging="851"/>
        <w:rPr>
          <w:color w:val="000000"/>
          <w:shd w:val="clear" w:color="auto" w:fill="FFFFFF"/>
        </w:rPr>
      </w:pPr>
      <w:r w:rsidRPr="005C0468">
        <w:rPr>
          <w:b/>
        </w:rPr>
        <w:t>Krótki wyciąg:</w:t>
      </w:r>
      <w:r w:rsidRPr="005C0468">
        <w:t xml:space="preserve"> Niemal wszyscy korzystamy z meto</w:t>
      </w:r>
      <w:r w:rsidR="008E3551" w:rsidRPr="005C0468">
        <w:t>dy kompresji danych</w:t>
      </w:r>
      <w:r w:rsidR="00433DC3" w:rsidRPr="005C0468">
        <w:t>, którą</w:t>
      </w:r>
      <w:r w:rsidR="008E3551" w:rsidRPr="005C0468">
        <w:t xml:space="preserve"> opracował dr Jarosław DUDA, naukowiec</w:t>
      </w:r>
      <w:r w:rsidRPr="005C0468">
        <w:t xml:space="preserve"> z Uniwersytetu Jagiellońskiego: </w:t>
      </w:r>
      <w:r w:rsidRPr="005C0468">
        <w:rPr>
          <w:color w:val="000000"/>
          <w:shd w:val="clear" w:color="auto" w:fill="FFFFFF"/>
        </w:rPr>
        <w:t xml:space="preserve">ANS, czyli </w:t>
      </w:r>
      <w:proofErr w:type="spellStart"/>
      <w:r w:rsidRPr="005C0468">
        <w:rPr>
          <w:color w:val="000000"/>
          <w:shd w:val="clear" w:color="auto" w:fill="FFFFFF"/>
        </w:rPr>
        <w:t>asymmetric</w:t>
      </w:r>
      <w:proofErr w:type="spellEnd"/>
      <w:r w:rsidRPr="005C0468">
        <w:rPr>
          <w:color w:val="000000"/>
          <w:shd w:val="clear" w:color="auto" w:fill="FFFFFF"/>
        </w:rPr>
        <w:t xml:space="preserve"> </w:t>
      </w:r>
      <w:proofErr w:type="spellStart"/>
      <w:r w:rsidRPr="005C0468">
        <w:rPr>
          <w:color w:val="000000"/>
          <w:shd w:val="clear" w:color="auto" w:fill="FFFFFF"/>
        </w:rPr>
        <w:t>numeral</w:t>
      </w:r>
      <w:proofErr w:type="spellEnd"/>
      <w:r w:rsidRPr="005C0468">
        <w:rPr>
          <w:color w:val="000000"/>
          <w:shd w:val="clear" w:color="auto" w:fill="FFFFFF"/>
        </w:rPr>
        <w:t xml:space="preserve"> </w:t>
      </w:r>
      <w:proofErr w:type="spellStart"/>
      <w:r w:rsidRPr="005C0468">
        <w:rPr>
          <w:color w:val="000000"/>
          <w:shd w:val="clear" w:color="auto" w:fill="FFFFFF"/>
        </w:rPr>
        <w:t>systems</w:t>
      </w:r>
      <w:proofErr w:type="spellEnd"/>
      <w:r w:rsidRPr="005C0468">
        <w:rPr>
          <w:color w:val="000000"/>
          <w:shd w:val="clear" w:color="auto" w:fill="FFFFFF"/>
        </w:rPr>
        <w:t xml:space="preserve"> (asymetryczne systemy liczbowe). </w:t>
      </w:r>
      <w:r w:rsidR="00433DC3" w:rsidRPr="005C0468">
        <w:rPr>
          <w:color w:val="000000"/>
          <w:shd w:val="clear" w:color="auto" w:fill="FFFFFF"/>
        </w:rPr>
        <w:t xml:space="preserve">Metody tej używają m.in. </w:t>
      </w:r>
      <w:r w:rsidRPr="005C0468">
        <w:rPr>
          <w:color w:val="000000"/>
          <w:shd w:val="clear" w:color="auto" w:fill="FFFFFF"/>
        </w:rPr>
        <w:t>Microsof</w:t>
      </w:r>
      <w:r w:rsidR="00050522" w:rsidRPr="005C0468">
        <w:rPr>
          <w:color w:val="000000"/>
          <w:shd w:val="clear" w:color="auto" w:fill="FFFFFF"/>
        </w:rPr>
        <w:t xml:space="preserve">t, Apple, Facebook, serwery </w:t>
      </w:r>
      <w:proofErr w:type="spellStart"/>
      <w:r w:rsidR="00050522" w:rsidRPr="005C0468">
        <w:rPr>
          <w:color w:val="000000"/>
          <w:shd w:val="clear" w:color="auto" w:fill="FFFFFF"/>
        </w:rPr>
        <w:t>Ama</w:t>
      </w:r>
      <w:r w:rsidRPr="005C0468">
        <w:rPr>
          <w:color w:val="000000"/>
          <w:shd w:val="clear" w:color="auto" w:fill="FFFFFF"/>
        </w:rPr>
        <w:t>zona</w:t>
      </w:r>
      <w:proofErr w:type="spellEnd"/>
      <w:r w:rsidRPr="005C0468">
        <w:rPr>
          <w:color w:val="000000"/>
          <w:shd w:val="clear" w:color="auto" w:fill="FFFFFF"/>
        </w:rPr>
        <w:t>, IBM, Google. Niedługo wszystkie zdjęcia w naszych komputerach i smartfonach będą zapisywane w nowym formacie J</w:t>
      </w:r>
      <w:r w:rsidR="00433DC3" w:rsidRPr="005C0468">
        <w:rPr>
          <w:color w:val="000000"/>
          <w:shd w:val="clear" w:color="auto" w:fill="FFFFFF"/>
        </w:rPr>
        <w:t>PEG XL opartym na tej metodzie -</w:t>
      </w:r>
      <w:r w:rsidRPr="005C0468">
        <w:rPr>
          <w:color w:val="000000"/>
          <w:shd w:val="clear" w:color="auto" w:fill="FFFFFF"/>
        </w:rPr>
        <w:t xml:space="preserve"> pozwalającej nawet na trzykrotne ich zmniejszenie bez utraty jakości. Metoda pozwala właśnie na przesyłanie danych szybciej i w lepszej jakości.</w:t>
      </w:r>
    </w:p>
    <w:p w14:paraId="134238B0" w14:textId="5F739CF2" w:rsidR="004C5ABF" w:rsidRPr="005C0468" w:rsidRDefault="00050522" w:rsidP="00027FC3">
      <w:pPr>
        <w:pStyle w:val="nrbrzegowy2"/>
        <w:ind w:left="0" w:hanging="851"/>
        <w:rPr>
          <w:color w:val="000000"/>
          <w:shd w:val="clear" w:color="auto" w:fill="FFFFFF"/>
        </w:rPr>
      </w:pPr>
      <w:r w:rsidRPr="005C0468">
        <w:rPr>
          <w:color w:val="000000"/>
          <w:shd w:val="clear" w:color="auto" w:fill="FFFFFF"/>
        </w:rPr>
        <w:t>Józef HALBERSZTADT</w:t>
      </w:r>
      <w:r w:rsidR="004C5ABF" w:rsidRPr="005C0468">
        <w:rPr>
          <w:color w:val="000000"/>
          <w:shd w:val="clear" w:color="auto" w:fill="FFFFFF"/>
        </w:rPr>
        <w:t xml:space="preserve"> - ekspert Urzędu Patentowego mówi, że tak przełomowe rozwiązania zdarzają się „</w:t>
      </w:r>
      <w:r w:rsidR="004C5ABF" w:rsidRPr="005C0468">
        <w:rPr>
          <w:i/>
          <w:iCs/>
          <w:color w:val="000000"/>
          <w:shd w:val="clear" w:color="auto" w:fill="FFFFFF"/>
        </w:rPr>
        <w:t xml:space="preserve">raz na kilkadziesiąt lat”. </w:t>
      </w:r>
      <w:r w:rsidR="004C5ABF" w:rsidRPr="005C0468">
        <w:rPr>
          <w:color w:val="000000"/>
          <w:shd w:val="clear" w:color="auto" w:fill="FFFFFF"/>
        </w:rPr>
        <w:t>Do niedawna w tej dziedzinie korzystano z roz</w:t>
      </w:r>
      <w:r w:rsidR="007368B6" w:rsidRPr="005C0468">
        <w:rPr>
          <w:color w:val="000000"/>
          <w:shd w:val="clear" w:color="auto" w:fill="FFFFFF"/>
        </w:rPr>
        <w:t>wiązań sprzed ponad pół wieku: k</w:t>
      </w:r>
      <w:r w:rsidR="004C5ABF" w:rsidRPr="005C0468">
        <w:rPr>
          <w:color w:val="000000"/>
          <w:shd w:val="clear" w:color="auto" w:fill="FFFFFF"/>
        </w:rPr>
        <w:t>ompresji danych H</w:t>
      </w:r>
      <w:r w:rsidR="007368B6" w:rsidRPr="005C0468">
        <w:rPr>
          <w:color w:val="000000"/>
          <w:shd w:val="clear" w:color="auto" w:fill="FFFFFF"/>
        </w:rPr>
        <w:t>OFFMANA</w:t>
      </w:r>
      <w:r w:rsidR="004C5ABF" w:rsidRPr="005C0468">
        <w:rPr>
          <w:color w:val="000000"/>
          <w:shd w:val="clear" w:color="auto" w:fill="FFFFFF"/>
        </w:rPr>
        <w:t xml:space="preserve"> i ko</w:t>
      </w:r>
      <w:r w:rsidR="007368B6" w:rsidRPr="005C0468">
        <w:rPr>
          <w:color w:val="000000"/>
          <w:shd w:val="clear" w:color="auto" w:fill="FFFFFF"/>
        </w:rPr>
        <w:t>dowania arytmetycznego RISSANENA</w:t>
      </w:r>
      <w:r w:rsidR="004C5ABF" w:rsidRPr="005C0468">
        <w:rPr>
          <w:color w:val="000000"/>
          <w:shd w:val="clear" w:color="auto" w:fill="FFFFFF"/>
        </w:rPr>
        <w:t>. Niestety</w:t>
      </w:r>
      <w:r w:rsidR="002B1DF7" w:rsidRPr="005C0468">
        <w:rPr>
          <w:color w:val="000000"/>
          <w:shd w:val="clear" w:color="auto" w:fill="FFFFFF"/>
        </w:rPr>
        <w:t xml:space="preserve"> dr Jarosław DUDA</w:t>
      </w:r>
      <w:r w:rsidR="004C5ABF" w:rsidRPr="005C0468">
        <w:rPr>
          <w:color w:val="000000"/>
          <w:shd w:val="clear" w:color="auto" w:fill="FFFFFF"/>
        </w:rPr>
        <w:t xml:space="preserve"> nie opatentował swojej metody, chciał, żeby jego rozwiązanie było dostępne w środo</w:t>
      </w:r>
      <w:r w:rsidR="002B1DF7" w:rsidRPr="005C0468">
        <w:rPr>
          <w:color w:val="000000"/>
          <w:shd w:val="clear" w:color="auto" w:fill="FFFFFF"/>
        </w:rPr>
        <w:t>wisku otwartego oprogramowania -</w:t>
      </w:r>
      <w:r w:rsidR="004C5ABF" w:rsidRPr="005C0468">
        <w:rPr>
          <w:color w:val="000000"/>
          <w:shd w:val="clear" w:color="auto" w:fill="FFFFFF"/>
        </w:rPr>
        <w:t xml:space="preserve"> by nikt nie miał na nie monopolu i mogło służyć ludziom. Nie wszyscy </w:t>
      </w:r>
      <w:r w:rsidR="0025715A" w:rsidRPr="005C0468">
        <w:rPr>
          <w:color w:val="000000"/>
          <w:shd w:val="clear" w:color="auto" w:fill="FFFFFF"/>
        </w:rPr>
        <w:t>są tak szlachetni</w:t>
      </w:r>
      <w:r w:rsidR="004C5ABF" w:rsidRPr="005C0468">
        <w:rPr>
          <w:color w:val="000000"/>
          <w:shd w:val="clear" w:color="auto" w:fill="FFFFFF"/>
        </w:rPr>
        <w:t xml:space="preserve">. </w:t>
      </w:r>
    </w:p>
    <w:p w14:paraId="6E856EDC" w14:textId="77777777" w:rsidR="004C5ABF" w:rsidRPr="00336007" w:rsidRDefault="004C5ABF" w:rsidP="00027FC3">
      <w:pPr>
        <w:pStyle w:val="nrbrzegowy2"/>
        <w:numPr>
          <w:ilvl w:val="0"/>
          <w:numId w:val="0"/>
        </w:numPr>
        <w:ind w:hanging="851"/>
        <w:rPr>
          <w:color w:val="000000"/>
          <w:sz w:val="10"/>
          <w:szCs w:val="10"/>
          <w:shd w:val="clear" w:color="auto" w:fill="FFFFFF"/>
        </w:rPr>
      </w:pPr>
    </w:p>
    <w:p w14:paraId="0FFACD3C" w14:textId="33E82530" w:rsidR="004C5ABF" w:rsidRPr="005C0468" w:rsidRDefault="004C5ABF" w:rsidP="00027FC3">
      <w:pPr>
        <w:pStyle w:val="nrbrzegowy2"/>
        <w:numPr>
          <w:ilvl w:val="0"/>
          <w:numId w:val="0"/>
        </w:numPr>
        <w:ind w:left="567"/>
        <w:rPr>
          <w:i/>
          <w:iCs/>
          <w:color w:val="000000"/>
          <w:shd w:val="clear" w:color="auto" w:fill="FFFFFF"/>
        </w:rPr>
      </w:pPr>
      <w:r w:rsidRPr="005C0468">
        <w:rPr>
          <w:i/>
          <w:iCs/>
          <w:color w:val="000000"/>
          <w:shd w:val="clear" w:color="auto" w:fill="FFFFFF"/>
        </w:rPr>
        <w:t>„</w:t>
      </w:r>
      <w:r w:rsidR="002B1DF7" w:rsidRPr="005C0468">
        <w:rPr>
          <w:i/>
          <w:iCs/>
          <w:color w:val="000000"/>
          <w:shd w:val="clear" w:color="auto" w:fill="FFFFFF"/>
        </w:rPr>
        <w:t>Dr Jarosław DUDA</w:t>
      </w:r>
      <w:r w:rsidRPr="005C0468">
        <w:rPr>
          <w:i/>
          <w:iCs/>
          <w:color w:val="000000"/>
          <w:shd w:val="clear" w:color="auto" w:fill="FFFFFF"/>
        </w:rPr>
        <w:t xml:space="preserve"> wynalazł metodę kompresji danych ANS, z której dziś korzystają miliardy ludzi. Wynalazek miał służyć całej ludzkości, więc naukowiec z UJ go nie opatentował. Zrobił to Microsoft. Spór z gigantem o unieważnienie patentu byłby kosztowny. Pomóc mógłby polski rząd, ale tego nie robi.”</w:t>
      </w:r>
    </w:p>
    <w:p w14:paraId="23A02C13" w14:textId="77777777" w:rsidR="004C5ABF" w:rsidRPr="0066289A" w:rsidRDefault="004C5ABF" w:rsidP="00027FC3">
      <w:pPr>
        <w:pStyle w:val="nrbrzegowy2"/>
        <w:numPr>
          <w:ilvl w:val="0"/>
          <w:numId w:val="0"/>
        </w:numPr>
        <w:ind w:hanging="851"/>
        <w:rPr>
          <w:color w:val="000000"/>
          <w:sz w:val="10"/>
          <w:szCs w:val="6"/>
          <w:shd w:val="clear" w:color="auto" w:fill="FFFFFF"/>
        </w:rPr>
      </w:pPr>
    </w:p>
    <w:p w14:paraId="6ADA14DB" w14:textId="77777777" w:rsidR="0025715A" w:rsidRPr="005C0468" w:rsidRDefault="004C5ABF" w:rsidP="00027FC3">
      <w:pPr>
        <w:pStyle w:val="nrbrzegowy2"/>
        <w:ind w:left="0" w:hanging="851"/>
        <w:rPr>
          <w:color w:val="000000"/>
          <w:shd w:val="clear" w:color="auto" w:fill="FFFFFF"/>
        </w:rPr>
      </w:pPr>
      <w:r w:rsidRPr="005C0468">
        <w:rPr>
          <w:color w:val="000000"/>
          <w:shd w:val="clear" w:color="auto" w:fill="FFFFFF"/>
        </w:rPr>
        <w:t xml:space="preserve">Dla koncernów informatycznych </w:t>
      </w:r>
      <w:r w:rsidR="0025715A" w:rsidRPr="005C0468">
        <w:rPr>
          <w:color w:val="000000"/>
          <w:shd w:val="clear" w:color="auto" w:fill="FFFFFF"/>
        </w:rPr>
        <w:t xml:space="preserve">zmonopolizowanie takich rozwiązań oznacza </w:t>
      </w:r>
      <w:r w:rsidRPr="005C0468">
        <w:rPr>
          <w:color w:val="000000"/>
          <w:shd w:val="clear" w:color="auto" w:fill="FFFFFF"/>
        </w:rPr>
        <w:t xml:space="preserve">wielkie zyski. </w:t>
      </w:r>
    </w:p>
    <w:p w14:paraId="0FD2E5B1" w14:textId="77777777" w:rsidR="00336007" w:rsidRDefault="004C5ABF" w:rsidP="00027FC3">
      <w:pPr>
        <w:pStyle w:val="nrbrzegowy2"/>
        <w:ind w:left="0" w:hanging="851"/>
        <w:rPr>
          <w:color w:val="000000"/>
          <w:shd w:val="clear" w:color="auto" w:fill="FFFFFF"/>
        </w:rPr>
      </w:pPr>
      <w:r w:rsidRPr="005C0468">
        <w:rPr>
          <w:color w:val="000000"/>
          <w:shd w:val="clear" w:color="auto" w:fill="FFFFFF"/>
        </w:rPr>
        <w:t xml:space="preserve">W 2017 roku </w:t>
      </w:r>
      <w:r w:rsidR="007C0DDA" w:rsidRPr="005C0468">
        <w:rPr>
          <w:color w:val="000000"/>
          <w:shd w:val="clear" w:color="auto" w:fill="FFFFFF"/>
        </w:rPr>
        <w:t>Google usiłował</w:t>
      </w:r>
      <w:r w:rsidR="00336007">
        <w:rPr>
          <w:color w:val="000000"/>
          <w:shd w:val="clear" w:color="auto" w:fill="FFFFFF"/>
        </w:rPr>
        <w:t>o</w:t>
      </w:r>
      <w:r w:rsidR="007C0DDA" w:rsidRPr="005C0468">
        <w:rPr>
          <w:color w:val="000000"/>
          <w:shd w:val="clear" w:color="auto" w:fill="FFFFFF"/>
        </w:rPr>
        <w:t xml:space="preserve"> opatentować to rozwiązanie</w:t>
      </w:r>
      <w:r w:rsidRPr="005C0468">
        <w:rPr>
          <w:color w:val="000000"/>
          <w:shd w:val="clear" w:color="auto" w:fill="FFFFFF"/>
        </w:rPr>
        <w:t>, na szczęście w porę udało się interweniow</w:t>
      </w:r>
      <w:r w:rsidR="0025715A" w:rsidRPr="005C0468">
        <w:rPr>
          <w:color w:val="000000"/>
          <w:shd w:val="clear" w:color="auto" w:fill="FFFFFF"/>
        </w:rPr>
        <w:t>ać</w:t>
      </w:r>
      <w:r w:rsidRPr="005C0468">
        <w:rPr>
          <w:color w:val="000000"/>
          <w:shd w:val="clear" w:color="auto" w:fill="FFFFFF"/>
        </w:rPr>
        <w:t xml:space="preserve">. </w:t>
      </w:r>
    </w:p>
    <w:p w14:paraId="49423F7B" w14:textId="1BAE7BDF" w:rsidR="0025715A" w:rsidRPr="005C0468" w:rsidRDefault="004C5ABF" w:rsidP="00027FC3">
      <w:pPr>
        <w:pStyle w:val="nrbrzegowy2"/>
        <w:ind w:left="0" w:hanging="851"/>
        <w:rPr>
          <w:color w:val="000000"/>
          <w:shd w:val="clear" w:color="auto" w:fill="FFFFFF"/>
        </w:rPr>
      </w:pPr>
      <w:r w:rsidRPr="005C0468">
        <w:rPr>
          <w:color w:val="000000"/>
          <w:shd w:val="clear" w:color="auto" w:fill="FFFFFF"/>
        </w:rPr>
        <w:t>Jednak już w 2022 rok</w:t>
      </w:r>
      <w:r w:rsidR="0011619A" w:rsidRPr="005C0468">
        <w:rPr>
          <w:color w:val="000000"/>
          <w:shd w:val="clear" w:color="auto" w:fill="FFFFFF"/>
        </w:rPr>
        <w:t xml:space="preserve">u firma Microsoft uzyskała </w:t>
      </w:r>
      <w:r w:rsidRPr="005C0468">
        <w:rPr>
          <w:color w:val="000000"/>
          <w:shd w:val="clear" w:color="auto" w:fill="FFFFFF"/>
        </w:rPr>
        <w:t>patent</w:t>
      </w:r>
      <w:r w:rsidR="0011619A" w:rsidRPr="005C0468">
        <w:rPr>
          <w:color w:val="000000"/>
          <w:shd w:val="clear" w:color="auto" w:fill="FFFFFF"/>
        </w:rPr>
        <w:t xml:space="preserve"> na to rozwiązanie</w:t>
      </w:r>
      <w:r w:rsidRPr="005C0468">
        <w:rPr>
          <w:color w:val="000000"/>
          <w:shd w:val="clear" w:color="auto" w:fill="FFFFFF"/>
        </w:rPr>
        <w:t xml:space="preserve">. </w:t>
      </w:r>
    </w:p>
    <w:p w14:paraId="52C78DFF" w14:textId="39251889" w:rsidR="004C5ABF" w:rsidRPr="005C0468" w:rsidRDefault="0011619A" w:rsidP="00027FC3">
      <w:pPr>
        <w:pStyle w:val="nrbrzegowy2"/>
        <w:ind w:left="0" w:hanging="851"/>
        <w:rPr>
          <w:color w:val="000000"/>
          <w:shd w:val="clear" w:color="auto" w:fill="FFFFFF"/>
        </w:rPr>
      </w:pPr>
      <w:r w:rsidRPr="005C0468">
        <w:rPr>
          <w:color w:val="000000"/>
          <w:shd w:val="clear" w:color="auto" w:fill="FFFFFF"/>
        </w:rPr>
        <w:t>Mimo dwu</w:t>
      </w:r>
      <w:r w:rsidR="00F472B3" w:rsidRPr="005C0468">
        <w:rPr>
          <w:color w:val="000000"/>
          <w:shd w:val="clear" w:color="auto" w:fill="FFFFFF"/>
        </w:rPr>
        <w:t xml:space="preserve"> interpelacji</w:t>
      </w:r>
      <w:r w:rsidR="0025715A" w:rsidRPr="005C0468">
        <w:rPr>
          <w:color w:val="000000"/>
          <w:shd w:val="clear" w:color="auto" w:fill="FFFFFF"/>
        </w:rPr>
        <w:t xml:space="preserve"> poselskich</w:t>
      </w:r>
      <w:r w:rsidR="00F472B3" w:rsidRPr="005C0468">
        <w:rPr>
          <w:color w:val="000000"/>
          <w:shd w:val="clear" w:color="auto" w:fill="FFFFFF"/>
        </w:rPr>
        <w:t xml:space="preserve"> (pierwszej podp</w:t>
      </w:r>
      <w:r w:rsidR="00336007">
        <w:rPr>
          <w:color w:val="000000"/>
          <w:shd w:val="clear" w:color="auto" w:fill="FFFFFF"/>
        </w:rPr>
        <w:t>i</w:t>
      </w:r>
      <w:r w:rsidR="00F472B3" w:rsidRPr="005C0468">
        <w:rPr>
          <w:color w:val="000000"/>
          <w:shd w:val="clear" w:color="auto" w:fill="FFFFFF"/>
        </w:rPr>
        <w:t>sa</w:t>
      </w:r>
      <w:r w:rsidRPr="005C0468">
        <w:rPr>
          <w:color w:val="000000"/>
          <w:shd w:val="clear" w:color="auto" w:fill="FFFFFF"/>
        </w:rPr>
        <w:t>nej</w:t>
      </w:r>
      <w:r w:rsidR="00F472B3" w:rsidRPr="005C0468">
        <w:rPr>
          <w:color w:val="000000"/>
          <w:shd w:val="clear" w:color="auto" w:fill="FFFFFF"/>
        </w:rPr>
        <w:t xml:space="preserve"> przez 92 posłów</w:t>
      </w:r>
      <w:r w:rsidRPr="005C0468">
        <w:rPr>
          <w:color w:val="000000"/>
          <w:shd w:val="clear" w:color="auto" w:fill="FFFFFF"/>
        </w:rPr>
        <w:t xml:space="preserve"> i drugiej</w:t>
      </w:r>
      <w:r w:rsidR="00F472B3" w:rsidRPr="005C0468">
        <w:rPr>
          <w:color w:val="000000"/>
          <w:shd w:val="clear" w:color="auto" w:fill="FFFFFF"/>
        </w:rPr>
        <w:t xml:space="preserve"> podpisanej przez 130 posłów</w:t>
      </w:r>
      <w:r w:rsidRPr="005C0468">
        <w:rPr>
          <w:color w:val="000000"/>
          <w:shd w:val="clear" w:color="auto" w:fill="FFFFFF"/>
        </w:rPr>
        <w:t>)</w:t>
      </w:r>
      <w:r w:rsidR="0025715A" w:rsidRPr="005C0468">
        <w:rPr>
          <w:color w:val="000000"/>
          <w:shd w:val="clear" w:color="auto" w:fill="FFFFFF"/>
        </w:rPr>
        <w:t xml:space="preserve"> - odpowiadając na nie</w:t>
      </w:r>
      <w:r w:rsidR="004C5ABF" w:rsidRPr="005C0468">
        <w:rPr>
          <w:color w:val="000000"/>
          <w:shd w:val="clear" w:color="auto" w:fill="FFFFFF"/>
        </w:rPr>
        <w:t xml:space="preserve"> </w:t>
      </w:r>
      <w:r w:rsidR="0025715A" w:rsidRPr="005C0468">
        <w:rPr>
          <w:color w:val="000000"/>
          <w:shd w:val="clear" w:color="auto" w:fill="FFFFFF"/>
        </w:rPr>
        <w:t>Minister Rozwoju i T</w:t>
      </w:r>
      <w:r w:rsidRPr="005C0468">
        <w:rPr>
          <w:color w:val="000000"/>
          <w:shd w:val="clear" w:color="auto" w:fill="FFFFFF"/>
        </w:rPr>
        <w:t xml:space="preserve">echnologii </w:t>
      </w:r>
      <w:r w:rsidR="00336007">
        <w:rPr>
          <w:color w:val="000000"/>
          <w:shd w:val="clear" w:color="auto" w:fill="FFFFFF"/>
        </w:rPr>
        <w:t>-</w:t>
      </w:r>
      <w:r w:rsidRPr="005C0468">
        <w:rPr>
          <w:color w:val="000000"/>
          <w:shd w:val="clear" w:color="auto" w:fill="FFFFFF"/>
        </w:rPr>
        <w:t xml:space="preserve"> </w:t>
      </w:r>
      <w:r w:rsidR="0025715A" w:rsidRPr="005C0468">
        <w:rPr>
          <w:color w:val="000000"/>
          <w:shd w:val="clear" w:color="auto" w:fill="FFFFFF"/>
        </w:rPr>
        <w:t xml:space="preserve">prawdopodobnie bazując na materiałach nadesłanych mu przez Urząd Patentowy RP w następujący sposób wyjaśniał, dlaczego dr Jarosław DUDA nie uzyskał pomocy i dlaczego Urząd odmówił jej udzielenia: </w:t>
      </w:r>
      <w:r w:rsidR="004C5ABF" w:rsidRPr="005C0468">
        <w:rPr>
          <w:i/>
          <w:iCs/>
          <w:color w:val="000000"/>
          <w:shd w:val="clear" w:color="auto" w:fill="FFFFFF"/>
        </w:rPr>
        <w:t>„Urząd Patentowy RP i jego eksperci nie są więc właściwi do udzielenia merytorycznej pomocy w sprawie unieważnienia patentu (…)”</w:t>
      </w:r>
      <w:r w:rsidR="004C5ABF" w:rsidRPr="005C0468">
        <w:rPr>
          <w:color w:val="000000"/>
          <w:shd w:val="clear" w:color="auto" w:fill="FFFFFF"/>
        </w:rPr>
        <w:t>. Jak komentuje sam Pan Duda:</w:t>
      </w:r>
    </w:p>
    <w:p w14:paraId="4C9F5936" w14:textId="77777777" w:rsidR="004C5ABF" w:rsidRPr="0066289A" w:rsidRDefault="004C5ABF" w:rsidP="00027FC3">
      <w:pPr>
        <w:pStyle w:val="nrbrzegowy2"/>
        <w:numPr>
          <w:ilvl w:val="0"/>
          <w:numId w:val="0"/>
        </w:numPr>
        <w:ind w:hanging="851"/>
        <w:rPr>
          <w:rFonts w:ascii="Plain" w:hAnsi="Plain"/>
          <w:color w:val="000000"/>
          <w:sz w:val="10"/>
          <w:szCs w:val="6"/>
          <w:shd w:val="clear" w:color="auto" w:fill="FFFFFF"/>
        </w:rPr>
      </w:pPr>
    </w:p>
    <w:p w14:paraId="182E43D6" w14:textId="77777777" w:rsidR="004C5ABF" w:rsidRPr="005C0468" w:rsidRDefault="004C5ABF" w:rsidP="00027FC3">
      <w:pPr>
        <w:pStyle w:val="nrbrzegowy2"/>
        <w:numPr>
          <w:ilvl w:val="0"/>
          <w:numId w:val="0"/>
        </w:numPr>
        <w:ind w:left="567"/>
        <w:rPr>
          <w:i/>
          <w:iCs/>
          <w:color w:val="000000"/>
          <w:shd w:val="clear" w:color="auto" w:fill="FFFFFF"/>
        </w:rPr>
      </w:pPr>
      <w:r w:rsidRPr="005C0468">
        <w:rPr>
          <w:i/>
          <w:iCs/>
          <w:color w:val="000000"/>
          <w:shd w:val="clear" w:color="auto" w:fill="FFFFFF"/>
        </w:rPr>
        <w:t>„Jedyna instytucja w Polsce, która ma zasoby, żeby mi pomóc, twierdzi, że nie może wchodzić w kompetencje innych i każe mi samemu znaleźć profesjonalnego pełnomocnika. Krótko mówiąc: radź sobie sam.”</w:t>
      </w:r>
    </w:p>
    <w:p w14:paraId="41ED2CB4" w14:textId="77777777" w:rsidR="004C5ABF" w:rsidRPr="0066289A" w:rsidRDefault="004C5ABF" w:rsidP="00027FC3">
      <w:pPr>
        <w:pStyle w:val="nrbrzegowy2"/>
        <w:numPr>
          <w:ilvl w:val="0"/>
          <w:numId w:val="0"/>
        </w:numPr>
        <w:ind w:hanging="851"/>
        <w:rPr>
          <w:i/>
          <w:iCs/>
          <w:color w:val="000000"/>
          <w:sz w:val="10"/>
          <w:szCs w:val="6"/>
          <w:shd w:val="clear" w:color="auto" w:fill="FFFFFF"/>
        </w:rPr>
      </w:pPr>
    </w:p>
    <w:p w14:paraId="11200CCB" w14:textId="5F746CE2" w:rsidR="004C5ABF" w:rsidRDefault="0025715A" w:rsidP="00027FC3">
      <w:pPr>
        <w:pStyle w:val="nrbrzegowy2"/>
        <w:ind w:left="0" w:hanging="851"/>
        <w:rPr>
          <w:color w:val="000000"/>
          <w:shd w:val="clear" w:color="auto" w:fill="FFFFFF"/>
        </w:rPr>
      </w:pPr>
      <w:r w:rsidRPr="005C0468">
        <w:rPr>
          <w:color w:val="000000"/>
          <w:shd w:val="clear" w:color="auto" w:fill="FFFFFF"/>
        </w:rPr>
        <w:t>Uczyńmy wszystko, aby polski naukowiec nie został sam</w:t>
      </w:r>
      <w:r w:rsidR="004C5ABF" w:rsidRPr="005C0468">
        <w:rPr>
          <w:color w:val="000000"/>
          <w:shd w:val="clear" w:color="auto" w:fill="FFFFFF"/>
        </w:rPr>
        <w:t xml:space="preserve">. </w:t>
      </w:r>
    </w:p>
    <w:p w14:paraId="17ABFF7A" w14:textId="77777777" w:rsidR="005161BA" w:rsidRDefault="005161BA" w:rsidP="00721FAD">
      <w:pPr>
        <w:spacing w:after="0" w:line="240" w:lineRule="auto"/>
        <w:rPr>
          <w:rFonts w:cstheme="minorHAnsi"/>
          <w:color w:val="000000"/>
          <w:sz w:val="24"/>
          <w:szCs w:val="24"/>
          <w:shd w:val="clear" w:color="auto" w:fill="FFFFFF"/>
        </w:rPr>
      </w:pPr>
    </w:p>
    <w:p w14:paraId="6E7BF598" w14:textId="725E61AC" w:rsidR="004C5ABF" w:rsidRPr="00336007" w:rsidRDefault="004C5ABF" w:rsidP="00721FAD">
      <w:pPr>
        <w:spacing w:after="0" w:line="240" w:lineRule="auto"/>
        <w:jc w:val="both"/>
        <w:rPr>
          <w:rStyle w:val="Nagwek3Znak"/>
          <w:b/>
          <w:bCs/>
          <w:sz w:val="30"/>
          <w:szCs w:val="30"/>
        </w:rPr>
      </w:pPr>
      <w:r w:rsidRPr="00336007">
        <w:rPr>
          <w:rStyle w:val="Nagwek3Znak"/>
          <w:b/>
          <w:bCs/>
          <w:noProof/>
          <w:sz w:val="26"/>
          <w:szCs w:val="26"/>
          <w:lang w:eastAsia="pl-PL"/>
        </w:rPr>
        <w:lastRenderedPageBreak/>
        <w:drawing>
          <wp:anchor distT="0" distB="0" distL="114300" distR="114300" simplePos="0" relativeHeight="252247040" behindDoc="0" locked="0" layoutInCell="1" allowOverlap="1" wp14:anchorId="045814D0" wp14:editId="5ADB7318">
            <wp:simplePos x="0" y="0"/>
            <wp:positionH relativeFrom="column">
              <wp:posOffset>957</wp:posOffset>
            </wp:positionH>
            <wp:positionV relativeFrom="paragraph">
              <wp:posOffset>1810</wp:posOffset>
            </wp:positionV>
            <wp:extent cx="1980000" cy="1080000"/>
            <wp:effectExtent l="0" t="0" r="1270" b="6350"/>
            <wp:wrapThrough wrapText="bothSides">
              <wp:wrapPolygon edited="0">
                <wp:start x="0" y="0"/>
                <wp:lineTo x="0" y="21346"/>
                <wp:lineTo x="21406" y="21346"/>
                <wp:lineTo x="21406" y="0"/>
                <wp:lineTo x="0" y="0"/>
              </wp:wrapPolygon>
            </wp:wrapThrough>
            <wp:docPr id="761810789" name="Obraz 284" descr="Obraz zawierający osoba, ubrania, drzewo, meble&#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810789" name="Obraz 284" descr="Obraz zawierający osoba, ubrania, drzewo, meble&#10;&#10;Opis wygenerowany automatyczni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89000" w14:textId="5838DF86" w:rsidR="00336007" w:rsidRPr="00336007" w:rsidRDefault="00336007" w:rsidP="00336007">
      <w:pPr>
        <w:spacing w:after="0" w:line="240" w:lineRule="auto"/>
        <w:jc w:val="both"/>
        <w:rPr>
          <w:rStyle w:val="Nagwek3Znak"/>
          <w:b/>
          <w:bCs/>
        </w:rPr>
      </w:pPr>
      <w:bookmarkStart w:id="153" w:name="_Toc170117997"/>
      <w:r w:rsidRPr="00336007">
        <w:rPr>
          <w:rStyle w:val="Nagwek3Znak"/>
          <w:b/>
          <w:bCs/>
          <w:sz w:val="26"/>
          <w:szCs w:val="26"/>
        </w:rPr>
        <w:t xml:space="preserve">ANS zastępujące </w:t>
      </w:r>
      <w:r>
        <w:rPr>
          <w:rStyle w:val="Nagwek3Znak"/>
          <w:b/>
          <w:bCs/>
          <w:sz w:val="26"/>
          <w:szCs w:val="26"/>
        </w:rPr>
        <w:t xml:space="preserve">kompresję danych </w:t>
      </w:r>
      <w:proofErr w:type="spellStart"/>
      <w:r w:rsidRPr="00336007">
        <w:rPr>
          <w:rStyle w:val="Nagwek3Znak"/>
          <w:b/>
          <w:bCs/>
          <w:sz w:val="26"/>
          <w:szCs w:val="26"/>
        </w:rPr>
        <w:t>Huffmana</w:t>
      </w:r>
      <w:proofErr w:type="spellEnd"/>
      <w:r w:rsidRPr="00336007">
        <w:rPr>
          <w:rStyle w:val="Nagwek3Znak"/>
          <w:b/>
          <w:bCs/>
          <w:sz w:val="26"/>
          <w:szCs w:val="26"/>
        </w:rPr>
        <w:t xml:space="preserve"> i arytmetyczne </w:t>
      </w:r>
      <w:r>
        <w:rPr>
          <w:rStyle w:val="Nagwek3Znak"/>
          <w:b/>
          <w:bCs/>
          <w:sz w:val="26"/>
          <w:szCs w:val="26"/>
        </w:rPr>
        <w:t xml:space="preserve">kodowanie RISSANENA </w:t>
      </w:r>
      <w:r w:rsidRPr="00336007">
        <w:rPr>
          <w:rStyle w:val="Nagwek3Znak"/>
          <w:b/>
          <w:bCs/>
          <w:sz w:val="26"/>
          <w:szCs w:val="26"/>
        </w:rPr>
        <w:t xml:space="preserve">- stało się podstawową metodą zapisu </w:t>
      </w:r>
      <w:proofErr w:type="gramStart"/>
      <w:r w:rsidRPr="00336007">
        <w:rPr>
          <w:rStyle w:val="Nagwek3Znak"/>
          <w:b/>
          <w:bCs/>
          <w:sz w:val="26"/>
          <w:szCs w:val="26"/>
        </w:rPr>
        <w:t xml:space="preserve">informacji  </w:t>
      </w:r>
      <w:r w:rsidR="005161BA">
        <w:rPr>
          <w:rStyle w:val="Nagwek3Znak"/>
          <w:b/>
          <w:bCs/>
          <w:sz w:val="26"/>
          <w:szCs w:val="26"/>
        </w:rPr>
        <w:t>-</w:t>
      </w:r>
      <w:proofErr w:type="gramEnd"/>
      <w:r w:rsidRPr="00336007">
        <w:rPr>
          <w:rStyle w:val="Nagwek3Znak"/>
          <w:b/>
          <w:bCs/>
          <w:sz w:val="26"/>
          <w:szCs w:val="26"/>
        </w:rPr>
        <w:t xml:space="preserve"> prezentacja</w:t>
      </w:r>
      <w:r w:rsidRPr="00336007">
        <w:rPr>
          <w:rStyle w:val="Nagwek3Znak"/>
          <w:b/>
          <w:bCs/>
        </w:rPr>
        <w:t>.</w:t>
      </w:r>
      <w:r w:rsidRPr="00336007">
        <w:rPr>
          <w:rStyle w:val="Nagwek3Znak"/>
          <w:b/>
          <w:bCs/>
        </w:rPr>
        <w:softHyphen/>
      </w:r>
      <w:r w:rsidRPr="00336007">
        <w:rPr>
          <w:rStyle w:val="Nagwek3Znak"/>
          <w:b/>
          <w:bCs/>
        </w:rPr>
        <w:softHyphen/>
      </w:r>
      <w:bookmarkEnd w:id="153"/>
    </w:p>
    <w:p w14:paraId="29D7C90C" w14:textId="77777777" w:rsidR="00336007" w:rsidRPr="00336007" w:rsidRDefault="00336007" w:rsidP="00721FAD">
      <w:pPr>
        <w:spacing w:after="0" w:line="240" w:lineRule="auto"/>
        <w:jc w:val="both"/>
        <w:rPr>
          <w:rStyle w:val="Nagwek3Znak"/>
          <w:b/>
          <w:bCs/>
        </w:rPr>
      </w:pPr>
    </w:p>
    <w:p w14:paraId="353F92F1" w14:textId="2BC67875" w:rsidR="00721FAD" w:rsidRDefault="00721FAD" w:rsidP="00721FAD">
      <w:pPr>
        <w:rPr>
          <w:lang w:eastAsia="pl-PL"/>
        </w:rPr>
      </w:pPr>
    </w:p>
    <w:p w14:paraId="2489B444" w14:textId="409BC497" w:rsidR="004C5ABF" w:rsidRDefault="004C5ABF" w:rsidP="004C5ABF">
      <w:pPr>
        <w:spacing w:after="0" w:line="240" w:lineRule="auto"/>
        <w:jc w:val="both"/>
        <w:rPr>
          <w:rFonts w:cstheme="minorHAnsi"/>
          <w:b/>
          <w:bCs/>
        </w:rPr>
      </w:pPr>
    </w:p>
    <w:p w14:paraId="2BC9C764" w14:textId="77777777" w:rsidR="005161BA" w:rsidRPr="005C0468" w:rsidRDefault="005161BA" w:rsidP="005161BA">
      <w:pPr>
        <w:spacing w:after="0" w:line="240" w:lineRule="auto"/>
        <w:rPr>
          <w:sz w:val="24"/>
          <w:szCs w:val="24"/>
        </w:rPr>
      </w:pPr>
      <w:r w:rsidRPr="005C0468">
        <w:rPr>
          <w:b/>
          <w:bCs/>
          <w:sz w:val="24"/>
          <w:szCs w:val="24"/>
        </w:rPr>
        <w:t>Pojęcia kluczowe:</w:t>
      </w:r>
      <w:r w:rsidRPr="005C0468">
        <w:rPr>
          <w:sz w:val="24"/>
          <w:szCs w:val="24"/>
        </w:rPr>
        <w:t xml:space="preserve"> KODOWANIE ANS, ZAWŁASZCZENIE, PATENT, UNIEWAŻNIENIE, KONCERN INFORMATYCZNY, DR JAROSŁAW DUDA, UNIWERSYTET JAGIELLOŃSKI</w:t>
      </w:r>
    </w:p>
    <w:p w14:paraId="76F32369" w14:textId="77777777" w:rsidR="005161BA" w:rsidRPr="005161BA" w:rsidRDefault="005161BA" w:rsidP="005161BA">
      <w:pPr>
        <w:spacing w:after="0" w:line="240" w:lineRule="auto"/>
        <w:rPr>
          <w:color w:val="0070C0"/>
          <w:sz w:val="24"/>
          <w:szCs w:val="24"/>
        </w:rPr>
      </w:pPr>
      <w:r w:rsidRPr="005C0468">
        <w:rPr>
          <w:b/>
          <w:bCs/>
          <w:sz w:val="24"/>
          <w:szCs w:val="24"/>
        </w:rPr>
        <w:t>Miejsce publikacji:</w:t>
      </w:r>
      <w:r w:rsidRPr="005C0468">
        <w:rPr>
          <w:sz w:val="24"/>
          <w:szCs w:val="24"/>
        </w:rPr>
        <w:t xml:space="preserve"> </w:t>
      </w:r>
      <w:hyperlink r:id="rId196" w:history="1">
        <w:r w:rsidRPr="005161BA">
          <w:rPr>
            <w:rStyle w:val="Hipercze"/>
            <w:color w:val="0070C0"/>
            <w:sz w:val="24"/>
            <w:szCs w:val="24"/>
          </w:rPr>
          <w:t>https://wiadomosci.wp.pl/kod-geniusza-jak-jaroslaw-duda-zmienil-swiat-i-nic-na-tym-nie-zarobil-6824682458536864a</w:t>
        </w:r>
      </w:hyperlink>
      <w:r w:rsidRPr="005161BA">
        <w:rPr>
          <w:color w:val="0070C0"/>
          <w:sz w:val="24"/>
          <w:szCs w:val="24"/>
        </w:rPr>
        <w:t xml:space="preserve">  </w:t>
      </w:r>
    </w:p>
    <w:p w14:paraId="3594E2B3" w14:textId="77777777" w:rsidR="005161BA" w:rsidRPr="00EC4F25" w:rsidRDefault="005161BA" w:rsidP="004C5ABF">
      <w:pPr>
        <w:spacing w:after="0" w:line="240" w:lineRule="auto"/>
        <w:jc w:val="both"/>
        <w:rPr>
          <w:rFonts w:cstheme="minorHAnsi"/>
          <w:b/>
          <w:bCs/>
        </w:rPr>
      </w:pPr>
    </w:p>
    <w:p w14:paraId="51D56BD8"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drawing>
          <wp:inline distT="0" distB="0" distL="0" distR="0" wp14:anchorId="35CA859E" wp14:editId="353D0783">
            <wp:extent cx="5759450" cy="4273550"/>
            <wp:effectExtent l="0" t="0" r="0" b="0"/>
            <wp:docPr id="82590612" name="Obraz 285" descr="Obraz zawierający tekst, zrzut ekranu, oprogramowanie, Ikona komputer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0612" name="Obraz 285" descr="Obraz zawierający tekst, zrzut ekranu, oprogramowanie, Ikona komputerowa&#10;&#10;Opis wygenerowany automatyczni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3131" cy="4276281"/>
                    </a:xfrm>
                    <a:prstGeom prst="rect">
                      <a:avLst/>
                    </a:prstGeom>
                    <a:noFill/>
                    <a:ln>
                      <a:noFill/>
                    </a:ln>
                  </pic:spPr>
                </pic:pic>
              </a:graphicData>
            </a:graphic>
          </wp:inline>
        </w:drawing>
      </w:r>
    </w:p>
    <w:p w14:paraId="039720D4"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lastRenderedPageBreak/>
        <w:drawing>
          <wp:inline distT="0" distB="0" distL="0" distR="0" wp14:anchorId="5A769D6C" wp14:editId="13822602">
            <wp:extent cx="5759450" cy="4318000"/>
            <wp:effectExtent l="0" t="0" r="0" b="6350"/>
            <wp:docPr id="1068797554"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57D312F2"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drawing>
          <wp:inline distT="0" distB="0" distL="0" distR="0" wp14:anchorId="02F8D22D" wp14:editId="1EA3CBB6">
            <wp:extent cx="5759450" cy="4318000"/>
            <wp:effectExtent l="0" t="0" r="0" b="6350"/>
            <wp:docPr id="69017530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578AB504"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lastRenderedPageBreak/>
        <w:drawing>
          <wp:inline distT="0" distB="0" distL="0" distR="0" wp14:anchorId="0CCAC3EA" wp14:editId="59CA945D">
            <wp:extent cx="5759450" cy="4318000"/>
            <wp:effectExtent l="0" t="0" r="0" b="6350"/>
            <wp:docPr id="909114235"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7F4F31E4"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drawing>
          <wp:inline distT="0" distB="0" distL="0" distR="0" wp14:anchorId="4BAAA201" wp14:editId="6C15E19E">
            <wp:extent cx="5759450" cy="4318000"/>
            <wp:effectExtent l="0" t="0" r="0" b="6350"/>
            <wp:docPr id="105463304"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1C39F70F"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lastRenderedPageBreak/>
        <w:drawing>
          <wp:inline distT="0" distB="0" distL="0" distR="0" wp14:anchorId="1E7D61C3" wp14:editId="4B1C36F4">
            <wp:extent cx="5759450" cy="4318000"/>
            <wp:effectExtent l="0" t="0" r="0" b="6350"/>
            <wp:docPr id="431407495"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76C7BE68"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drawing>
          <wp:inline distT="0" distB="0" distL="0" distR="0" wp14:anchorId="14750290" wp14:editId="67F01292">
            <wp:extent cx="5759450" cy="4318000"/>
            <wp:effectExtent l="0" t="0" r="0" b="6350"/>
            <wp:docPr id="699322847"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67E09251"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lastRenderedPageBreak/>
        <w:drawing>
          <wp:inline distT="0" distB="0" distL="0" distR="0" wp14:anchorId="00055717" wp14:editId="67EABDFB">
            <wp:extent cx="5759450" cy="4318000"/>
            <wp:effectExtent l="0" t="0" r="0" b="6350"/>
            <wp:docPr id="594607546"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2D5A150E"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drawing>
          <wp:inline distT="0" distB="0" distL="0" distR="0" wp14:anchorId="338741F8" wp14:editId="66FA8B20">
            <wp:extent cx="5759450" cy="4318000"/>
            <wp:effectExtent l="0" t="0" r="0" b="6350"/>
            <wp:docPr id="727540079"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73E67593" w14:textId="77777777" w:rsidR="004C5ABF" w:rsidRPr="00EC4F25" w:rsidRDefault="004C5ABF" w:rsidP="004C5ABF">
      <w:pPr>
        <w:spacing w:after="0" w:line="240" w:lineRule="auto"/>
        <w:jc w:val="center"/>
        <w:rPr>
          <w:rFonts w:cstheme="minorHAnsi"/>
          <w:b/>
          <w:bCs/>
        </w:rPr>
      </w:pPr>
      <w:r w:rsidRPr="00EC4F25">
        <w:rPr>
          <w:rFonts w:cstheme="minorHAnsi"/>
          <w:b/>
          <w:bCs/>
          <w:noProof/>
          <w:lang w:eastAsia="pl-PL"/>
        </w:rPr>
        <w:lastRenderedPageBreak/>
        <w:drawing>
          <wp:inline distT="0" distB="0" distL="0" distR="0" wp14:anchorId="34B84822" wp14:editId="1CB3FD58">
            <wp:extent cx="5759450" cy="4318000"/>
            <wp:effectExtent l="0" t="0" r="0" b="6350"/>
            <wp:docPr id="403108082"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6B399125" w14:textId="77777777" w:rsidR="004C5ABF" w:rsidRPr="00EC4F25" w:rsidRDefault="004C5ABF" w:rsidP="004C5ABF">
      <w:pPr>
        <w:spacing w:after="0" w:line="240" w:lineRule="auto"/>
        <w:jc w:val="center"/>
        <w:rPr>
          <w:rFonts w:cstheme="minorHAnsi"/>
          <w:b/>
          <w:bCs/>
        </w:rPr>
      </w:pPr>
    </w:p>
    <w:p w14:paraId="1A822551" w14:textId="77777777" w:rsidR="004C5ABF" w:rsidRPr="00EC4F25" w:rsidRDefault="004C5ABF" w:rsidP="004C5ABF">
      <w:pPr>
        <w:spacing w:after="0" w:line="240" w:lineRule="auto"/>
        <w:rPr>
          <w:b/>
          <w:bCs/>
          <w:sz w:val="24"/>
          <w:szCs w:val="24"/>
          <w:lang w:val="en-GB" w:eastAsia="pl-PL"/>
        </w:rPr>
      </w:pPr>
      <w:r w:rsidRPr="00EC4F25">
        <w:rPr>
          <w:b/>
          <w:bCs/>
          <w:sz w:val="24"/>
          <w:szCs w:val="24"/>
          <w:lang w:val="en-GB" w:eastAsia="pl-PL"/>
        </w:rPr>
        <w:t>ANS coding replacing Huffman and AC – modern basic data representation – presentation.</w:t>
      </w:r>
    </w:p>
    <w:p w14:paraId="0DDE450F"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drawing>
          <wp:inline distT="0" distB="0" distL="0" distR="0" wp14:anchorId="400AED43" wp14:editId="7E3D0A70">
            <wp:extent cx="5221900" cy="3886200"/>
            <wp:effectExtent l="0" t="0" r="0" b="0"/>
            <wp:docPr id="1330657672" name="Obraz 297" descr="Obraz zawierający tekst, zrzut ekranu, oprogramowanie, Ikona komputer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57672" name="Obraz 297" descr="Obraz zawierający tekst, zrzut ekranu, oprogramowanie, Ikona komputerowa&#10;&#10;Opis wygenerowany automatyczni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29958" cy="3892197"/>
                    </a:xfrm>
                    <a:prstGeom prst="rect">
                      <a:avLst/>
                    </a:prstGeom>
                    <a:noFill/>
                    <a:ln>
                      <a:noFill/>
                    </a:ln>
                  </pic:spPr>
                </pic:pic>
              </a:graphicData>
            </a:graphic>
          </wp:inline>
        </w:drawing>
      </w:r>
    </w:p>
    <w:p w14:paraId="230BFF82" w14:textId="77777777" w:rsidR="004C5ABF" w:rsidRPr="00EC4F25" w:rsidRDefault="004C5ABF" w:rsidP="004C5ABF">
      <w:pPr>
        <w:spacing w:after="0" w:line="240" w:lineRule="auto"/>
        <w:rPr>
          <w:rFonts w:cstheme="minorHAnsi"/>
          <w:b/>
          <w:bCs/>
          <w:lang w:val="en-GB"/>
        </w:rPr>
      </w:pPr>
      <w:r w:rsidRPr="00EC4F25">
        <w:rPr>
          <w:rFonts w:cstheme="minorHAnsi"/>
          <w:b/>
          <w:bCs/>
          <w:noProof/>
          <w:lang w:eastAsia="pl-PL"/>
        </w:rPr>
        <w:lastRenderedPageBreak/>
        <w:drawing>
          <wp:inline distT="0" distB="0" distL="0" distR="0" wp14:anchorId="06C6687F" wp14:editId="04A382B8">
            <wp:extent cx="5410200" cy="4056159"/>
            <wp:effectExtent l="0" t="0" r="0" b="1905"/>
            <wp:docPr id="53886301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15174" cy="4059888"/>
                    </a:xfrm>
                    <a:prstGeom prst="rect">
                      <a:avLst/>
                    </a:prstGeom>
                    <a:noFill/>
                    <a:ln>
                      <a:noFill/>
                    </a:ln>
                  </pic:spPr>
                </pic:pic>
              </a:graphicData>
            </a:graphic>
          </wp:inline>
        </w:drawing>
      </w:r>
    </w:p>
    <w:p w14:paraId="1E55D467"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drawing>
          <wp:inline distT="0" distB="0" distL="0" distR="0" wp14:anchorId="0FDA7143" wp14:editId="4A37D575">
            <wp:extent cx="5759450" cy="4318000"/>
            <wp:effectExtent l="0" t="0" r="0" b="6350"/>
            <wp:docPr id="619348604"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5DC23368"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lastRenderedPageBreak/>
        <w:drawing>
          <wp:inline distT="0" distB="0" distL="0" distR="0" wp14:anchorId="5B04B33B" wp14:editId="5E5CD472">
            <wp:extent cx="5759450" cy="4318000"/>
            <wp:effectExtent l="0" t="0" r="0" b="6350"/>
            <wp:docPr id="1722914984"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7E3AFB43"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drawing>
          <wp:inline distT="0" distB="0" distL="0" distR="0" wp14:anchorId="2A4EF67A" wp14:editId="325270BA">
            <wp:extent cx="5759450" cy="4318000"/>
            <wp:effectExtent l="0" t="0" r="0" b="6350"/>
            <wp:docPr id="26609254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37C63B6B"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lastRenderedPageBreak/>
        <w:drawing>
          <wp:inline distT="0" distB="0" distL="0" distR="0" wp14:anchorId="1FBB5136" wp14:editId="70273C96">
            <wp:extent cx="5759450" cy="4318000"/>
            <wp:effectExtent l="0" t="0" r="0" b="6350"/>
            <wp:docPr id="2107138895"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4AE237EF"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drawing>
          <wp:inline distT="0" distB="0" distL="0" distR="0" wp14:anchorId="2C4C3AA2" wp14:editId="03722150">
            <wp:extent cx="5759450" cy="4318000"/>
            <wp:effectExtent l="0" t="0" r="0" b="6350"/>
            <wp:docPr id="1165149968"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6388B146"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lastRenderedPageBreak/>
        <w:drawing>
          <wp:inline distT="0" distB="0" distL="0" distR="0" wp14:anchorId="4C749FFA" wp14:editId="312A1037">
            <wp:extent cx="5759450" cy="4318000"/>
            <wp:effectExtent l="0" t="0" r="0" b="6350"/>
            <wp:docPr id="899683450"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0E05C863" w14:textId="77777777" w:rsidR="004C5ABF" w:rsidRPr="00EC4F25" w:rsidRDefault="004C5ABF" w:rsidP="004C5ABF">
      <w:pPr>
        <w:spacing w:after="0" w:line="240" w:lineRule="auto"/>
        <w:jc w:val="center"/>
        <w:rPr>
          <w:rFonts w:cstheme="minorHAnsi"/>
          <w:b/>
          <w:bCs/>
          <w:lang w:val="en-GB"/>
        </w:rPr>
      </w:pPr>
      <w:r w:rsidRPr="00EC4F25">
        <w:rPr>
          <w:rFonts w:cstheme="minorHAnsi"/>
          <w:b/>
          <w:bCs/>
          <w:noProof/>
          <w:lang w:eastAsia="pl-PL"/>
        </w:rPr>
        <w:drawing>
          <wp:inline distT="0" distB="0" distL="0" distR="0" wp14:anchorId="35BCD204" wp14:editId="27D1BA99">
            <wp:extent cx="5759450" cy="4318000"/>
            <wp:effectExtent l="0" t="0" r="0" b="6350"/>
            <wp:docPr id="2106778823"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a:noFill/>
                    </a:ln>
                  </pic:spPr>
                </pic:pic>
              </a:graphicData>
            </a:graphic>
          </wp:inline>
        </w:drawing>
      </w:r>
    </w:p>
    <w:p w14:paraId="0EE53E68" w14:textId="1D99A6E2" w:rsidR="004C5ABF" w:rsidRPr="00EC4F25" w:rsidRDefault="004C5ABF" w:rsidP="004C5ABF">
      <w:pPr>
        <w:spacing w:after="0" w:line="240" w:lineRule="auto"/>
        <w:jc w:val="center"/>
        <w:rPr>
          <w:rFonts w:cstheme="minorHAnsi"/>
          <w:b/>
          <w:bCs/>
          <w:lang w:val="en-GB"/>
        </w:rPr>
      </w:pPr>
    </w:p>
    <w:p w14:paraId="5819D63E" w14:textId="289DA7A1" w:rsidR="004C5ABF" w:rsidRPr="00336007" w:rsidRDefault="004C5ABF" w:rsidP="00E251B1">
      <w:pPr>
        <w:rPr>
          <w:sz w:val="44"/>
          <w:szCs w:val="44"/>
        </w:rPr>
      </w:pPr>
      <w:r w:rsidRPr="00336007">
        <w:rPr>
          <w:noProof/>
          <w:lang w:eastAsia="pl-PL"/>
        </w:rPr>
        <w:lastRenderedPageBreak/>
        <w:drawing>
          <wp:anchor distT="0" distB="0" distL="114300" distR="114300" simplePos="0" relativeHeight="252249088" behindDoc="0" locked="0" layoutInCell="1" allowOverlap="1" wp14:anchorId="0D6007E0" wp14:editId="78D56228">
            <wp:simplePos x="0" y="0"/>
            <wp:positionH relativeFrom="column">
              <wp:posOffset>957</wp:posOffset>
            </wp:positionH>
            <wp:positionV relativeFrom="paragraph">
              <wp:posOffset>957</wp:posOffset>
            </wp:positionV>
            <wp:extent cx="1980000" cy="1080000"/>
            <wp:effectExtent l="0" t="0" r="1270" b="6350"/>
            <wp:wrapThrough wrapText="bothSides">
              <wp:wrapPolygon edited="0">
                <wp:start x="0" y="0"/>
                <wp:lineTo x="0" y="21346"/>
                <wp:lineTo x="21406" y="21346"/>
                <wp:lineTo x="21406" y="0"/>
                <wp:lineTo x="0" y="0"/>
              </wp:wrapPolygon>
            </wp:wrapThrough>
            <wp:docPr id="335800237" name="Obraz 306" descr="Obraz zawierający szkic, rysowanie, Grafika liniowa&#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800237" name="Obraz 306" descr="Obraz zawierający szkic, rysowanie, Grafika liniowa&#10;&#10;Opis wygenerowany automatycznie"/>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452ECF" w14:textId="77777777" w:rsidR="00336007" w:rsidRPr="005C0468" w:rsidRDefault="00336007" w:rsidP="00336007">
      <w:pPr>
        <w:pStyle w:val="Nagwek3"/>
        <w:rPr>
          <w:sz w:val="26"/>
          <w:szCs w:val="26"/>
        </w:rPr>
      </w:pPr>
      <w:bookmarkStart w:id="154" w:name="_Toc170117998"/>
      <w:r w:rsidRPr="00336007">
        <w:rPr>
          <w:rFonts w:asciiTheme="minorHAnsi" w:hAnsiTheme="minorHAnsi" w:cstheme="minorHAnsi"/>
          <w:b/>
          <w:bCs/>
        </w:rPr>
        <w:t>Zestawienie informacji</w:t>
      </w:r>
      <w:r w:rsidRPr="005C0468">
        <w:rPr>
          <w:sz w:val="26"/>
          <w:szCs w:val="26"/>
        </w:rPr>
        <w:t>.</w:t>
      </w:r>
      <w:bookmarkEnd w:id="154"/>
    </w:p>
    <w:p w14:paraId="51A8DCBB" w14:textId="473EAE3E" w:rsidR="002B1E08" w:rsidRDefault="002B1E08" w:rsidP="002B1E08"/>
    <w:p w14:paraId="23A3DCA8" w14:textId="77777777" w:rsidR="0066289A" w:rsidRDefault="0066289A" w:rsidP="002B1E08"/>
    <w:p w14:paraId="0C46B2C0" w14:textId="77777777" w:rsidR="00153D21" w:rsidRPr="0034262F" w:rsidRDefault="00153D21" w:rsidP="00985EE2"/>
    <w:p w14:paraId="3668EA6E" w14:textId="200D0596" w:rsidR="0066289A" w:rsidRPr="00985EE2" w:rsidRDefault="0066289A" w:rsidP="00985EE2">
      <w:pPr>
        <w:spacing w:after="0"/>
        <w:jc w:val="center"/>
        <w:rPr>
          <w:sz w:val="28"/>
          <w:szCs w:val="28"/>
        </w:rPr>
      </w:pPr>
      <w:r w:rsidRPr="00985EE2">
        <w:rPr>
          <w:rFonts w:cstheme="minorHAnsi"/>
          <w:b/>
          <w:bCs/>
          <w:sz w:val="24"/>
          <w:szCs w:val="24"/>
        </w:rPr>
        <w:t>Zestawienie informacji</w:t>
      </w:r>
    </w:p>
    <w:p w14:paraId="413449E2" w14:textId="2E9C050A" w:rsidR="0066289A" w:rsidRPr="00985EE2" w:rsidRDefault="0066289A" w:rsidP="00985EE2">
      <w:pPr>
        <w:spacing w:after="0"/>
        <w:jc w:val="center"/>
        <w:rPr>
          <w:b/>
          <w:bCs/>
          <w:color w:val="0070C0"/>
          <w:sz w:val="24"/>
          <w:szCs w:val="24"/>
        </w:rPr>
      </w:pPr>
      <w:proofErr w:type="spellStart"/>
      <w:r w:rsidRPr="00027FC3">
        <w:rPr>
          <w:b/>
          <w:color w:val="2E74B5" w:themeColor="accent5" w:themeShade="BF"/>
          <w:sz w:val="24"/>
          <w:szCs w:val="24"/>
        </w:rPr>
        <w:t>Summary</w:t>
      </w:r>
      <w:proofErr w:type="spellEnd"/>
      <w:r w:rsidRPr="00027FC3">
        <w:rPr>
          <w:b/>
          <w:color w:val="2E74B5" w:themeColor="accent5" w:themeShade="BF"/>
          <w:sz w:val="24"/>
          <w:szCs w:val="24"/>
        </w:rPr>
        <w:t xml:space="preserve"> of </w:t>
      </w:r>
      <w:proofErr w:type="spellStart"/>
      <w:r w:rsidRPr="00027FC3">
        <w:rPr>
          <w:b/>
          <w:color w:val="2E74B5" w:themeColor="accent5" w:themeShade="BF"/>
          <w:sz w:val="24"/>
          <w:szCs w:val="24"/>
        </w:rPr>
        <w:t>information</w:t>
      </w:r>
      <w:proofErr w:type="spellEnd"/>
    </w:p>
    <w:p w14:paraId="34D6B39E" w14:textId="77777777" w:rsidR="0066289A" w:rsidRPr="0034262F" w:rsidRDefault="0066289A" w:rsidP="0066289A"/>
    <w:p w14:paraId="15578144" w14:textId="53CD8868" w:rsidR="0066289A" w:rsidRDefault="004C5ABF" w:rsidP="00027FC3">
      <w:pPr>
        <w:pStyle w:val="nrbrzegowy2"/>
        <w:numPr>
          <w:ilvl w:val="0"/>
          <w:numId w:val="72"/>
        </w:numPr>
        <w:ind w:left="0" w:hanging="851"/>
      </w:pPr>
      <w:r w:rsidRPr="005C0468">
        <w:t xml:space="preserve">Pan </w:t>
      </w:r>
      <w:r w:rsidRPr="0066289A">
        <w:rPr>
          <w:b/>
        </w:rPr>
        <w:t xml:space="preserve">dr Jarosław DUDA - </w:t>
      </w:r>
      <w:r w:rsidR="0066289A">
        <w:rPr>
          <w:b/>
        </w:rPr>
        <w:t>n</w:t>
      </w:r>
      <w:r w:rsidRPr="0066289A">
        <w:rPr>
          <w:b/>
        </w:rPr>
        <w:t>aukowiec Uniwersytetu Jagiellońskiego, twórca ANS</w:t>
      </w:r>
      <w:r w:rsidRPr="005C0468">
        <w:t xml:space="preserve"> - wyjaśnia, jak Polska mogłaby wizerunkowo/promocyjnie wykorzystać ANS</w:t>
      </w:r>
      <w:r w:rsidR="0066289A">
        <w:t>.</w:t>
      </w:r>
    </w:p>
    <w:p w14:paraId="1E7F8CC4" w14:textId="0530F426" w:rsidR="00153D21" w:rsidRPr="00027FC3" w:rsidRDefault="00153D21" w:rsidP="00027FC3">
      <w:pPr>
        <w:pStyle w:val="nrbrzegowy2"/>
        <w:numPr>
          <w:ilvl w:val="0"/>
          <w:numId w:val="0"/>
        </w:numPr>
        <w:rPr>
          <w:rFonts w:cstheme="minorHAnsi"/>
          <w:color w:val="2E74B5" w:themeColor="accent5" w:themeShade="BF"/>
          <w:lang w:val="en-GB"/>
        </w:rPr>
      </w:pPr>
      <w:r w:rsidRPr="00027FC3">
        <w:rPr>
          <w:rFonts w:cstheme="minorHAnsi"/>
          <w:color w:val="2E74B5" w:themeColor="accent5" w:themeShade="BF"/>
          <w:lang w:val="en-GB"/>
        </w:rPr>
        <w:t xml:space="preserve">Mr Jarosław DUDA, Ph.D. - Researcher at the Jagiellonian University, creator of ANS - explains how Poland could use ANS in terms of image/promotion </w:t>
      </w:r>
      <w:r w:rsidRPr="00027FC3">
        <w:rPr>
          <w:color w:val="2E74B5" w:themeColor="accent5" w:themeShade="BF"/>
          <w:lang w:val="en-US"/>
        </w:rPr>
        <w:t>purposes</w:t>
      </w:r>
      <w:r w:rsidRPr="00027FC3">
        <w:rPr>
          <w:rFonts w:cstheme="minorHAnsi"/>
          <w:color w:val="2E74B5" w:themeColor="accent5" w:themeShade="BF"/>
          <w:lang w:val="en-GB"/>
        </w:rPr>
        <w:t>.</w:t>
      </w:r>
    </w:p>
    <w:p w14:paraId="01BE5F97" w14:textId="0C6063B7" w:rsidR="0066289A" w:rsidRDefault="004C5ABF" w:rsidP="00027FC3">
      <w:pPr>
        <w:pStyle w:val="nrbrzegowy2"/>
        <w:numPr>
          <w:ilvl w:val="0"/>
          <w:numId w:val="72"/>
        </w:numPr>
        <w:ind w:left="0" w:hanging="851"/>
      </w:pPr>
      <w:r w:rsidRPr="0066289A">
        <w:rPr>
          <w:b/>
        </w:rPr>
        <w:t>Internet to głównie technologie z USA</w:t>
      </w:r>
      <w:r w:rsidRPr="005C0468">
        <w:t xml:space="preserve">, a tu </w:t>
      </w:r>
      <w:r w:rsidRPr="0066289A">
        <w:rPr>
          <w:b/>
        </w:rPr>
        <w:t>nieoczekiwanie okazało się, że podstawowy "</w:t>
      </w:r>
      <w:r w:rsidRPr="0066289A">
        <w:rPr>
          <w:b/>
          <w:i/>
          <w:iCs/>
        </w:rPr>
        <w:t>język</w:t>
      </w:r>
      <w:r w:rsidRPr="0066289A">
        <w:rPr>
          <w:b/>
        </w:rPr>
        <w:t>", którego używa się (i będzie używany)</w:t>
      </w:r>
      <w:r w:rsidR="00336007">
        <w:t xml:space="preserve"> </w:t>
      </w:r>
      <w:r w:rsidR="00153D21">
        <w:t xml:space="preserve">- </w:t>
      </w:r>
      <w:r w:rsidRPr="005C0468">
        <w:t xml:space="preserve">został opracowany </w:t>
      </w:r>
      <w:r w:rsidRPr="0066289A">
        <w:rPr>
          <w:b/>
        </w:rPr>
        <w:t>w Polsce</w:t>
      </w:r>
      <w:r w:rsidR="00153D21">
        <w:t>:</w:t>
      </w:r>
    </w:p>
    <w:p w14:paraId="32A6ECFA" w14:textId="34DF2238" w:rsidR="00153D21" w:rsidRPr="00027FC3" w:rsidRDefault="00B82931" w:rsidP="00027FC3">
      <w:pPr>
        <w:pStyle w:val="nrbrzegowy2"/>
        <w:numPr>
          <w:ilvl w:val="0"/>
          <w:numId w:val="0"/>
        </w:numPr>
        <w:rPr>
          <w:color w:val="2E74B5" w:themeColor="accent5" w:themeShade="BF"/>
        </w:rPr>
      </w:pPr>
      <w:hyperlink r:id="rId216" w:history="1">
        <w:r w:rsidR="00027FC3" w:rsidRPr="00027FC3">
          <w:rPr>
            <w:rStyle w:val="Hipercze"/>
            <w:color w:val="2E74B5" w:themeColor="accent5" w:themeShade="BF"/>
            <w:szCs w:val="24"/>
          </w:rPr>
          <w:t>https://www.dropbox.com/s/m85rm1zi7gh5gfl/linki%20promocyjne%20ANS.pdf</w:t>
        </w:r>
      </w:hyperlink>
    </w:p>
    <w:p w14:paraId="63B8624E" w14:textId="2AA7EC3D" w:rsidR="004C5ABF" w:rsidRPr="00027FC3" w:rsidRDefault="00153D21" w:rsidP="00027FC3">
      <w:pPr>
        <w:pStyle w:val="nrbrzegowy2"/>
        <w:numPr>
          <w:ilvl w:val="0"/>
          <w:numId w:val="0"/>
        </w:numPr>
        <w:rPr>
          <w:color w:val="2E74B5" w:themeColor="accent5" w:themeShade="BF"/>
          <w:lang w:val="en-US"/>
        </w:rPr>
      </w:pPr>
      <w:r w:rsidRPr="00027FC3">
        <w:rPr>
          <w:color w:val="2E74B5" w:themeColor="accent5" w:themeShade="BF"/>
          <w:lang w:val="en-US"/>
        </w:rPr>
        <w:t>The Internet is mainly of technologies from the USA, and here it unexpectedly turned out that the basic "</w:t>
      </w:r>
      <w:r w:rsidRPr="00027FC3">
        <w:rPr>
          <w:i/>
          <w:iCs/>
          <w:color w:val="2E74B5" w:themeColor="accent5" w:themeShade="BF"/>
          <w:lang w:val="en-US"/>
        </w:rPr>
        <w:t>language</w:t>
      </w:r>
      <w:r w:rsidRPr="00027FC3">
        <w:rPr>
          <w:color w:val="2E74B5" w:themeColor="accent5" w:themeShade="BF"/>
          <w:lang w:val="en-US"/>
        </w:rPr>
        <w:t>" used (and will be used) - was developed in Poland</w:t>
      </w:r>
      <w:r w:rsidR="004C5ABF" w:rsidRPr="00027FC3">
        <w:rPr>
          <w:color w:val="2E74B5" w:themeColor="accent5" w:themeShade="BF"/>
          <w:lang w:val="en-US"/>
        </w:rPr>
        <w:t xml:space="preserve">: </w:t>
      </w:r>
      <w:hyperlink r:id="rId217" w:history="1">
        <w:r w:rsidR="004C5ABF" w:rsidRPr="00027FC3">
          <w:rPr>
            <w:rStyle w:val="Hipercze"/>
            <w:color w:val="2E74B5" w:themeColor="accent5" w:themeShade="BF"/>
            <w:szCs w:val="24"/>
            <w:lang w:val="en-US"/>
          </w:rPr>
          <w:t>https://www.dropbox.com/s/m85rm1zi7gh5gfl/linki%20promocyjne%20ANS.pdf</w:t>
        </w:r>
      </w:hyperlink>
    </w:p>
    <w:p w14:paraId="33A041D9" w14:textId="77777777" w:rsidR="004C5ABF" w:rsidRPr="00153D21" w:rsidRDefault="004C5ABF" w:rsidP="004C5ABF">
      <w:pPr>
        <w:spacing w:after="0" w:line="240" w:lineRule="auto"/>
        <w:rPr>
          <w:sz w:val="24"/>
          <w:szCs w:val="24"/>
          <w:lang w:val="en-US"/>
        </w:rPr>
      </w:pPr>
    </w:p>
    <w:p w14:paraId="260AF0CF" w14:textId="6DA07E5F" w:rsidR="004C5ABF" w:rsidRPr="005C0468" w:rsidRDefault="004C5ABF" w:rsidP="0066289A">
      <w:pPr>
        <w:tabs>
          <w:tab w:val="left" w:pos="567"/>
        </w:tabs>
        <w:spacing w:after="0" w:line="240" w:lineRule="auto"/>
        <w:ind w:left="567" w:hanging="567"/>
        <w:rPr>
          <w:sz w:val="24"/>
          <w:szCs w:val="24"/>
        </w:rPr>
      </w:pPr>
      <w:r w:rsidRPr="005C0468">
        <w:rPr>
          <w:sz w:val="24"/>
          <w:szCs w:val="24"/>
        </w:rPr>
        <w:t xml:space="preserve">1) </w:t>
      </w:r>
      <w:r w:rsidR="00C9781A">
        <w:rPr>
          <w:sz w:val="24"/>
          <w:szCs w:val="24"/>
        </w:rPr>
        <w:tab/>
      </w:r>
      <w:r w:rsidRPr="005C0468">
        <w:rPr>
          <w:sz w:val="24"/>
          <w:szCs w:val="24"/>
        </w:rPr>
        <w:t xml:space="preserve">Ogólne o ANS </w:t>
      </w:r>
    </w:p>
    <w:p w14:paraId="0CC4F9E9"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Wikipedia: </w:t>
      </w:r>
    </w:p>
    <w:p w14:paraId="7BB428C5" w14:textId="77777777" w:rsidR="004C5ABF" w:rsidRPr="0027777E" w:rsidRDefault="004C5ABF" w:rsidP="0066289A">
      <w:pPr>
        <w:tabs>
          <w:tab w:val="left" w:pos="567"/>
        </w:tabs>
        <w:spacing w:after="0" w:line="240" w:lineRule="auto"/>
        <w:ind w:left="567"/>
        <w:rPr>
          <w:color w:val="0070C0"/>
          <w:sz w:val="24"/>
          <w:szCs w:val="24"/>
        </w:rPr>
      </w:pPr>
      <w:r w:rsidRPr="005C0468">
        <w:rPr>
          <w:sz w:val="24"/>
          <w:szCs w:val="24"/>
        </w:rPr>
        <w:t>polski</w:t>
      </w:r>
      <w:r w:rsidRPr="00296EA0">
        <w:rPr>
          <w:rStyle w:val="Hipercze"/>
          <w:color w:val="0070C0"/>
        </w:rPr>
        <w:t xml:space="preserve">: </w:t>
      </w:r>
      <w:hyperlink r:id="rId218" w:history="1">
        <w:proofErr w:type="spellStart"/>
        <w:r w:rsidRPr="0027777E">
          <w:rPr>
            <w:rStyle w:val="Hipercze"/>
            <w:color w:val="0070C0"/>
            <w:sz w:val="24"/>
            <w:szCs w:val="24"/>
          </w:rPr>
          <w:t>Asymmetric</w:t>
        </w:r>
        <w:proofErr w:type="spellEnd"/>
        <w:r w:rsidRPr="0027777E">
          <w:rPr>
            <w:rStyle w:val="Hipercze"/>
            <w:color w:val="0070C0"/>
            <w:sz w:val="24"/>
            <w:szCs w:val="24"/>
          </w:rPr>
          <w:t xml:space="preserve"> </w:t>
        </w:r>
        <w:proofErr w:type="spellStart"/>
        <w:r w:rsidRPr="0027777E">
          <w:rPr>
            <w:rStyle w:val="Hipercze"/>
            <w:color w:val="0070C0"/>
            <w:sz w:val="24"/>
            <w:szCs w:val="24"/>
          </w:rPr>
          <w:t>Numeral</w:t>
        </w:r>
        <w:proofErr w:type="spellEnd"/>
        <w:r w:rsidRPr="0027777E">
          <w:rPr>
            <w:rStyle w:val="Hipercze"/>
            <w:color w:val="0070C0"/>
            <w:sz w:val="24"/>
            <w:szCs w:val="24"/>
          </w:rPr>
          <w:t xml:space="preserve"> Systems – Wikipedia, wolna encyklopedia</w:t>
        </w:r>
      </w:hyperlink>
      <w:r w:rsidRPr="0027777E">
        <w:rPr>
          <w:color w:val="0070C0"/>
          <w:sz w:val="24"/>
          <w:szCs w:val="24"/>
        </w:rPr>
        <w:t xml:space="preserve"> </w:t>
      </w:r>
    </w:p>
    <w:p w14:paraId="498D188F" w14:textId="77777777" w:rsidR="004C5ABF" w:rsidRPr="0066289A" w:rsidRDefault="004C5ABF" w:rsidP="0066289A">
      <w:pPr>
        <w:tabs>
          <w:tab w:val="left" w:pos="567"/>
        </w:tabs>
        <w:spacing w:after="0" w:line="240" w:lineRule="auto"/>
        <w:ind w:left="567"/>
        <w:rPr>
          <w:color w:val="0070C0"/>
          <w:sz w:val="24"/>
          <w:szCs w:val="24"/>
        </w:rPr>
      </w:pPr>
      <w:r w:rsidRPr="005C0468">
        <w:rPr>
          <w:sz w:val="24"/>
          <w:szCs w:val="24"/>
        </w:rPr>
        <w:t>angielski:</w:t>
      </w:r>
      <w:r w:rsidRPr="0066289A">
        <w:rPr>
          <w:color w:val="0070C0"/>
          <w:sz w:val="24"/>
          <w:szCs w:val="24"/>
        </w:rPr>
        <w:t xml:space="preserve"> </w:t>
      </w:r>
      <w:hyperlink r:id="rId219" w:history="1">
        <w:r w:rsidRPr="0066289A">
          <w:rPr>
            <w:rStyle w:val="Hipercze"/>
            <w:color w:val="0070C0"/>
            <w:sz w:val="24"/>
            <w:szCs w:val="24"/>
          </w:rPr>
          <w:t>https://en.wikipedia.org/wiki/Asymmetric_numeral_systems</w:t>
        </w:r>
      </w:hyperlink>
      <w:r w:rsidRPr="0066289A">
        <w:rPr>
          <w:color w:val="0070C0"/>
          <w:sz w:val="24"/>
          <w:szCs w:val="24"/>
        </w:rPr>
        <w:t xml:space="preserve"> </w:t>
      </w:r>
    </w:p>
    <w:p w14:paraId="44F3FDB1"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Animacja z UJ: </w:t>
      </w:r>
    </w:p>
    <w:p w14:paraId="5F583DAD" w14:textId="77777777" w:rsidR="004C5ABF" w:rsidRPr="0066289A" w:rsidRDefault="004C5ABF" w:rsidP="0066289A">
      <w:pPr>
        <w:tabs>
          <w:tab w:val="left" w:pos="567"/>
        </w:tabs>
        <w:spacing w:after="0" w:line="240" w:lineRule="auto"/>
        <w:ind w:left="567"/>
        <w:rPr>
          <w:color w:val="0070C0"/>
          <w:sz w:val="24"/>
          <w:szCs w:val="24"/>
        </w:rPr>
      </w:pPr>
      <w:r w:rsidRPr="005C0468">
        <w:rPr>
          <w:sz w:val="24"/>
          <w:szCs w:val="24"/>
        </w:rPr>
        <w:t xml:space="preserve">polski: </w:t>
      </w:r>
      <w:hyperlink r:id="rId220" w:history="1">
        <w:r w:rsidRPr="0066289A">
          <w:rPr>
            <w:rStyle w:val="Hipercze"/>
            <w:color w:val="0070C0"/>
            <w:sz w:val="24"/>
            <w:szCs w:val="24"/>
          </w:rPr>
          <w:t>Polski wynalazek z UJ rewolucjonizuje wirtualny świat – YouTube</w:t>
        </w:r>
      </w:hyperlink>
      <w:r w:rsidRPr="0066289A">
        <w:rPr>
          <w:color w:val="0070C0"/>
          <w:sz w:val="24"/>
          <w:szCs w:val="24"/>
        </w:rPr>
        <w:t xml:space="preserve"> </w:t>
      </w:r>
    </w:p>
    <w:p w14:paraId="5742EF89"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angielski: </w:t>
      </w:r>
      <w:hyperlink r:id="rId221" w:history="1">
        <w:r w:rsidRPr="0066289A">
          <w:rPr>
            <w:rStyle w:val="Hipercze"/>
            <w:color w:val="0070C0"/>
            <w:sz w:val="24"/>
            <w:szCs w:val="24"/>
          </w:rPr>
          <w:t>https://www.youtube.com/watch?v=uXtmN9fE01k</w:t>
        </w:r>
      </w:hyperlink>
      <w:r w:rsidRPr="0066289A">
        <w:rPr>
          <w:color w:val="0070C0"/>
          <w:sz w:val="24"/>
          <w:szCs w:val="24"/>
        </w:rPr>
        <w:t xml:space="preserve"> </w:t>
      </w:r>
    </w:p>
    <w:p w14:paraId="3DEC44DE"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Slajdy: </w:t>
      </w:r>
    </w:p>
    <w:p w14:paraId="2C1ADA48"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polski: </w:t>
      </w:r>
      <w:hyperlink r:id="rId222" w:history="1">
        <w:r w:rsidRPr="0066289A">
          <w:rPr>
            <w:rStyle w:val="Hipercze"/>
            <w:color w:val="0070C0"/>
            <w:sz w:val="24"/>
            <w:szCs w:val="24"/>
          </w:rPr>
          <w:t>ANSminipl.pdf (dropbox.com)</w:t>
        </w:r>
      </w:hyperlink>
      <w:r w:rsidRPr="0066289A">
        <w:rPr>
          <w:color w:val="0070C0"/>
          <w:sz w:val="24"/>
          <w:szCs w:val="24"/>
        </w:rPr>
        <w:t xml:space="preserve"> </w:t>
      </w:r>
    </w:p>
    <w:p w14:paraId="1D34C9A2"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angielski: </w:t>
      </w:r>
      <w:hyperlink r:id="rId223" w:history="1">
        <w:r w:rsidRPr="00153D21">
          <w:rPr>
            <w:rStyle w:val="Hipercze"/>
            <w:color w:val="0070C0"/>
            <w:sz w:val="24"/>
            <w:szCs w:val="24"/>
          </w:rPr>
          <w:t>https://www.dropbox.com/s/ycexgkvp0a8if90/ANSmini.pdf</w:t>
        </w:r>
      </w:hyperlink>
    </w:p>
    <w:p w14:paraId="0D281EA7"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Przykładowe kompresory używające ANS: </w:t>
      </w:r>
    </w:p>
    <w:p w14:paraId="572C9521"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Domyślny w sprzęcie Apple: </w:t>
      </w:r>
      <w:hyperlink r:id="rId224" w:history="1">
        <w:r w:rsidRPr="00153D21">
          <w:rPr>
            <w:rStyle w:val="Hipercze"/>
            <w:color w:val="0070C0"/>
            <w:sz w:val="24"/>
            <w:szCs w:val="24"/>
          </w:rPr>
          <w:t>https://en.wikipedia.org/wiki/LZFSE</w:t>
        </w:r>
      </w:hyperlink>
      <w:r w:rsidRPr="00153D21">
        <w:rPr>
          <w:color w:val="0070C0"/>
          <w:sz w:val="24"/>
          <w:szCs w:val="24"/>
        </w:rPr>
        <w:t xml:space="preserve"> </w:t>
      </w:r>
    </w:p>
    <w:p w14:paraId="6461F01F"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Popularny z Facebook m.in. w Linux: </w:t>
      </w:r>
      <w:hyperlink r:id="rId225" w:history="1">
        <w:r w:rsidRPr="00153D21">
          <w:rPr>
            <w:rStyle w:val="Hipercze"/>
            <w:color w:val="0070C0"/>
            <w:sz w:val="24"/>
            <w:szCs w:val="24"/>
          </w:rPr>
          <w:t>https://en.wikipedia.org/wiki/Zstd</w:t>
        </w:r>
      </w:hyperlink>
      <w:r w:rsidRPr="00153D21">
        <w:rPr>
          <w:color w:val="0070C0"/>
          <w:sz w:val="24"/>
          <w:szCs w:val="24"/>
        </w:rPr>
        <w:t xml:space="preserve"> </w:t>
      </w:r>
    </w:p>
    <w:p w14:paraId="1C45CD00"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Domyślny materiału genetycznego: </w:t>
      </w:r>
      <w:hyperlink r:id="rId226" w:history="1">
        <w:r w:rsidRPr="00153D21">
          <w:rPr>
            <w:rStyle w:val="Hipercze"/>
            <w:color w:val="0070C0"/>
            <w:sz w:val="24"/>
            <w:szCs w:val="24"/>
          </w:rPr>
          <w:t>https://en.wikipedia.org/wiki/CRAM_(file_format)</w:t>
        </w:r>
      </w:hyperlink>
      <w:r w:rsidRPr="00153D21">
        <w:rPr>
          <w:color w:val="0070C0"/>
          <w:sz w:val="24"/>
          <w:szCs w:val="24"/>
        </w:rPr>
        <w:t xml:space="preserve"> </w:t>
      </w:r>
    </w:p>
    <w:p w14:paraId="3CD63684"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Następca JPEG (zdjęcia, grafiki, ok. 3x lepsza kompresja): </w:t>
      </w:r>
      <w:hyperlink r:id="rId227" w:history="1">
        <w:r w:rsidRPr="00153D21">
          <w:rPr>
            <w:rStyle w:val="Hipercze"/>
            <w:color w:val="0070C0"/>
            <w:sz w:val="24"/>
            <w:szCs w:val="24"/>
          </w:rPr>
          <w:t>https://en.wikipedia.org/wiki/JPEG_XL</w:t>
        </w:r>
      </w:hyperlink>
      <w:r w:rsidRPr="00153D21">
        <w:rPr>
          <w:color w:val="0070C0"/>
          <w:sz w:val="24"/>
          <w:szCs w:val="24"/>
        </w:rPr>
        <w:t xml:space="preserve"> </w:t>
      </w:r>
    </w:p>
    <w:p w14:paraId="00F644AB"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Zebrane kilkadziesiąt linków do kompresorów na ANS i innych materiałów: </w:t>
      </w:r>
      <w:hyperlink r:id="rId228" w:history="1">
        <w:r w:rsidRPr="00153D21">
          <w:rPr>
            <w:rStyle w:val="Hipercze"/>
            <w:color w:val="0070C0"/>
            <w:sz w:val="24"/>
            <w:szCs w:val="24"/>
          </w:rPr>
          <w:t>https://encode.su/threads/2078-List-of-Asymmetric-Numeral-Systems-implementations</w:t>
        </w:r>
      </w:hyperlink>
    </w:p>
    <w:p w14:paraId="02B4F804" w14:textId="77777777" w:rsidR="004C5ABF" w:rsidRPr="0066289A" w:rsidRDefault="004C5ABF" w:rsidP="0066289A">
      <w:pPr>
        <w:tabs>
          <w:tab w:val="left" w:pos="567"/>
        </w:tabs>
        <w:spacing w:after="0" w:line="240" w:lineRule="auto"/>
        <w:ind w:left="567" w:hanging="567"/>
        <w:rPr>
          <w:rFonts w:cstheme="minorHAnsi"/>
          <w:b/>
          <w:bCs/>
          <w:sz w:val="10"/>
          <w:szCs w:val="10"/>
        </w:rPr>
      </w:pPr>
    </w:p>
    <w:p w14:paraId="739B6527" w14:textId="411D020A" w:rsidR="004C5ABF" w:rsidRPr="005C0468" w:rsidRDefault="004C5ABF" w:rsidP="0066289A">
      <w:pPr>
        <w:tabs>
          <w:tab w:val="left" w:pos="567"/>
        </w:tabs>
        <w:spacing w:after="0" w:line="240" w:lineRule="auto"/>
        <w:ind w:left="567" w:hanging="567"/>
        <w:rPr>
          <w:sz w:val="24"/>
          <w:szCs w:val="24"/>
        </w:rPr>
      </w:pPr>
      <w:r w:rsidRPr="005C0468">
        <w:rPr>
          <w:sz w:val="24"/>
          <w:szCs w:val="24"/>
        </w:rPr>
        <w:t xml:space="preserve">2) </w:t>
      </w:r>
      <w:r w:rsidR="00C9781A">
        <w:rPr>
          <w:sz w:val="24"/>
          <w:szCs w:val="24"/>
        </w:rPr>
        <w:tab/>
      </w:r>
      <w:r w:rsidRPr="005C0468">
        <w:rPr>
          <w:sz w:val="24"/>
          <w:szCs w:val="24"/>
        </w:rPr>
        <w:t>Przykładowe ogólne informacje prasowe:</w:t>
      </w:r>
    </w:p>
    <w:p w14:paraId="2B847B3F" w14:textId="77777777" w:rsidR="004C5ABF" w:rsidRPr="005C0468" w:rsidRDefault="004C5ABF" w:rsidP="0066289A">
      <w:pPr>
        <w:tabs>
          <w:tab w:val="left" w:pos="567"/>
        </w:tabs>
        <w:spacing w:after="0" w:line="240" w:lineRule="auto"/>
        <w:ind w:left="567"/>
        <w:rPr>
          <w:sz w:val="24"/>
          <w:szCs w:val="24"/>
        </w:rPr>
      </w:pPr>
      <w:r w:rsidRPr="005C0468">
        <w:rPr>
          <w:sz w:val="24"/>
          <w:szCs w:val="24"/>
        </w:rPr>
        <w:t>ANS wygrał:</w:t>
      </w:r>
    </w:p>
    <w:p w14:paraId="1478E499" w14:textId="77777777" w:rsidR="004C5ABF" w:rsidRPr="00153D21" w:rsidRDefault="00B82931" w:rsidP="0066289A">
      <w:pPr>
        <w:tabs>
          <w:tab w:val="left" w:pos="567"/>
        </w:tabs>
        <w:spacing w:after="0" w:line="240" w:lineRule="auto"/>
        <w:ind w:left="567"/>
        <w:rPr>
          <w:color w:val="0070C0"/>
          <w:sz w:val="24"/>
          <w:szCs w:val="24"/>
        </w:rPr>
      </w:pPr>
      <w:hyperlink r:id="rId229" w:history="1">
        <w:r w:rsidR="004C5ABF" w:rsidRPr="00153D21">
          <w:rPr>
            <w:rStyle w:val="Hipercze"/>
            <w:color w:val="0070C0"/>
            <w:sz w:val="24"/>
            <w:szCs w:val="24"/>
          </w:rPr>
          <w:t>https://www.rp.pl/Spoleczenstwo/210119906-Dziesiec-niezwykle-istotnychosiagniec-naukowych2020-roku.html</w:t>
        </w:r>
      </w:hyperlink>
    </w:p>
    <w:p w14:paraId="7CE68AB5" w14:textId="77777777" w:rsidR="004C5ABF" w:rsidRPr="00153D21" w:rsidRDefault="00B82931" w:rsidP="0066289A">
      <w:pPr>
        <w:tabs>
          <w:tab w:val="left" w:pos="567"/>
        </w:tabs>
        <w:spacing w:after="0" w:line="240" w:lineRule="auto"/>
        <w:ind w:left="567"/>
        <w:rPr>
          <w:color w:val="0070C0"/>
          <w:sz w:val="24"/>
          <w:szCs w:val="24"/>
        </w:rPr>
      </w:pPr>
      <w:hyperlink r:id="rId230" w:history="1">
        <w:r w:rsidR="004C5ABF" w:rsidRPr="00153D21">
          <w:rPr>
            <w:rStyle w:val="Hipercze"/>
            <w:color w:val="0070C0"/>
            <w:sz w:val="24"/>
            <w:szCs w:val="24"/>
          </w:rPr>
          <w:t>https://krakow.naszemiasto.pl/kodowanie-ans-dr-jaroslawa-dudy-jezykiem-swiatowej/ar/c1- 8133741</w:t>
        </w:r>
      </w:hyperlink>
    </w:p>
    <w:p w14:paraId="33644CBF" w14:textId="77777777" w:rsidR="004C5ABF" w:rsidRPr="00153D21" w:rsidRDefault="00B82931" w:rsidP="0066289A">
      <w:pPr>
        <w:tabs>
          <w:tab w:val="left" w:pos="567"/>
        </w:tabs>
        <w:spacing w:after="0" w:line="240" w:lineRule="auto"/>
        <w:ind w:left="567"/>
        <w:rPr>
          <w:color w:val="0070C0"/>
          <w:sz w:val="24"/>
          <w:szCs w:val="24"/>
        </w:rPr>
      </w:pPr>
      <w:hyperlink r:id="rId231" w:history="1">
        <w:r w:rsidR="004C5ABF" w:rsidRPr="00153D21">
          <w:rPr>
            <w:rStyle w:val="Hipercze"/>
            <w:color w:val="0070C0"/>
            <w:sz w:val="24"/>
            <w:szCs w:val="24"/>
          </w:rPr>
          <w:t>https://www.money.pl/gospodarka/metoda-z-polski-jezykiem-swiatowej-elektroniki6587588258085696a.html</w:t>
        </w:r>
      </w:hyperlink>
    </w:p>
    <w:p w14:paraId="29E11321" w14:textId="77777777" w:rsidR="004C5ABF" w:rsidRPr="00153D21" w:rsidRDefault="00B82931" w:rsidP="0066289A">
      <w:pPr>
        <w:tabs>
          <w:tab w:val="left" w:pos="567"/>
        </w:tabs>
        <w:spacing w:after="0" w:line="240" w:lineRule="auto"/>
        <w:ind w:left="567"/>
        <w:rPr>
          <w:color w:val="0070C0"/>
          <w:sz w:val="24"/>
          <w:szCs w:val="24"/>
        </w:rPr>
      </w:pPr>
      <w:hyperlink r:id="rId232" w:history="1">
        <w:r w:rsidR="004C5ABF" w:rsidRPr="00153D21">
          <w:rPr>
            <w:rStyle w:val="Hipercze"/>
            <w:color w:val="0070C0"/>
            <w:sz w:val="24"/>
            <w:szCs w:val="24"/>
          </w:rPr>
          <w:t>https://www.tygodnikpowszechny.pl/kodowanie-po-krakosku-166670</w:t>
        </w:r>
      </w:hyperlink>
    </w:p>
    <w:p w14:paraId="3AA7A75D" w14:textId="77777777" w:rsidR="004C5ABF" w:rsidRPr="00153D21" w:rsidRDefault="004C5ABF" w:rsidP="0066289A">
      <w:pPr>
        <w:tabs>
          <w:tab w:val="left" w:pos="567"/>
        </w:tabs>
        <w:spacing w:after="0" w:line="240" w:lineRule="auto"/>
        <w:ind w:left="567" w:hanging="567"/>
        <w:rPr>
          <w:sz w:val="10"/>
          <w:szCs w:val="10"/>
        </w:rPr>
      </w:pPr>
    </w:p>
    <w:p w14:paraId="4CCC7479" w14:textId="24220A90" w:rsidR="004C5ABF" w:rsidRPr="005C0468" w:rsidRDefault="004C5ABF" w:rsidP="0066289A">
      <w:pPr>
        <w:tabs>
          <w:tab w:val="left" w:pos="567"/>
        </w:tabs>
        <w:spacing w:after="0" w:line="240" w:lineRule="auto"/>
        <w:ind w:left="567" w:hanging="567"/>
        <w:rPr>
          <w:sz w:val="24"/>
          <w:szCs w:val="24"/>
        </w:rPr>
      </w:pPr>
      <w:r w:rsidRPr="005C0468">
        <w:rPr>
          <w:sz w:val="24"/>
          <w:szCs w:val="24"/>
        </w:rPr>
        <w:t xml:space="preserve">3) </w:t>
      </w:r>
      <w:r w:rsidR="0066289A">
        <w:rPr>
          <w:sz w:val="24"/>
          <w:szCs w:val="24"/>
        </w:rPr>
        <w:tab/>
      </w:r>
      <w:r w:rsidRPr="005C0468">
        <w:rPr>
          <w:sz w:val="24"/>
          <w:szCs w:val="24"/>
        </w:rPr>
        <w:t xml:space="preserve">Przykładowe informacje prasowe skupione na sprawach patentowych: </w:t>
      </w:r>
    </w:p>
    <w:p w14:paraId="5A9D300E" w14:textId="77777777" w:rsidR="004C5ABF" w:rsidRPr="00153D21" w:rsidRDefault="00B82931" w:rsidP="0066289A">
      <w:pPr>
        <w:tabs>
          <w:tab w:val="left" w:pos="567"/>
        </w:tabs>
        <w:spacing w:after="0" w:line="240" w:lineRule="auto"/>
        <w:ind w:left="567"/>
        <w:rPr>
          <w:color w:val="0070C0"/>
          <w:sz w:val="24"/>
          <w:szCs w:val="24"/>
        </w:rPr>
      </w:pPr>
      <w:hyperlink r:id="rId233" w:history="1">
        <w:r w:rsidR="004C5ABF" w:rsidRPr="00153D21">
          <w:rPr>
            <w:rStyle w:val="Hipercze"/>
            <w:color w:val="0070C0"/>
            <w:sz w:val="24"/>
            <w:szCs w:val="24"/>
          </w:rPr>
          <w:t>https://krakow.wyborcza.pl/krakow/7,44425,25635664,wygral-z-google-podbija-cyfrowyswiat.html</w:t>
        </w:r>
      </w:hyperlink>
    </w:p>
    <w:p w14:paraId="5B496AB7" w14:textId="77777777" w:rsidR="004C5ABF" w:rsidRPr="00153D21" w:rsidRDefault="00B82931" w:rsidP="0066289A">
      <w:pPr>
        <w:tabs>
          <w:tab w:val="left" w:pos="567"/>
        </w:tabs>
        <w:spacing w:after="0" w:line="240" w:lineRule="auto"/>
        <w:ind w:left="567"/>
        <w:rPr>
          <w:color w:val="0070C0"/>
          <w:sz w:val="24"/>
          <w:szCs w:val="24"/>
        </w:rPr>
      </w:pPr>
      <w:hyperlink r:id="rId234" w:history="1">
        <w:r w:rsidR="004C5ABF" w:rsidRPr="00153D21">
          <w:rPr>
            <w:rStyle w:val="Hipercze"/>
            <w:color w:val="0070C0"/>
            <w:sz w:val="24"/>
            <w:szCs w:val="24"/>
          </w:rPr>
          <w:t>https://www.komputerswiat.pl/artykuly/redakcyjne/polski-geniusz-okradziony-przezgooglemicrosoft-i-apple-z-jego-pomyslu-korzysta-caly/nqrf0re</w:t>
        </w:r>
      </w:hyperlink>
    </w:p>
    <w:p w14:paraId="2A8FE252" w14:textId="77777777" w:rsidR="004C5ABF" w:rsidRPr="00153D21" w:rsidRDefault="00B82931" w:rsidP="0066289A">
      <w:pPr>
        <w:tabs>
          <w:tab w:val="left" w:pos="567"/>
        </w:tabs>
        <w:spacing w:after="0" w:line="240" w:lineRule="auto"/>
        <w:ind w:left="567"/>
        <w:rPr>
          <w:color w:val="0070C0"/>
          <w:sz w:val="24"/>
          <w:szCs w:val="24"/>
        </w:rPr>
      </w:pPr>
      <w:hyperlink r:id="rId235" w:history="1">
        <w:r w:rsidR="004C5ABF" w:rsidRPr="00153D21">
          <w:rPr>
            <w:rStyle w:val="Hipercze"/>
            <w:color w:val="0070C0"/>
            <w:sz w:val="24"/>
            <w:szCs w:val="24"/>
          </w:rPr>
          <w:t>https://arstechnica.com/features/2018/06/inventor-says-google-is-patenting-work-he-put-inthepublic-domain/</w:t>
        </w:r>
      </w:hyperlink>
    </w:p>
    <w:p w14:paraId="6CEA3695" w14:textId="77777777" w:rsidR="004C5ABF" w:rsidRPr="00153D21" w:rsidRDefault="00B82931" w:rsidP="0066289A">
      <w:pPr>
        <w:tabs>
          <w:tab w:val="left" w:pos="567"/>
        </w:tabs>
        <w:spacing w:after="0" w:line="240" w:lineRule="auto"/>
        <w:ind w:left="567"/>
        <w:rPr>
          <w:color w:val="0070C0"/>
          <w:sz w:val="24"/>
          <w:szCs w:val="24"/>
        </w:rPr>
      </w:pPr>
      <w:hyperlink r:id="rId236" w:history="1">
        <w:r w:rsidR="004C5ABF" w:rsidRPr="00153D21">
          <w:rPr>
            <w:rStyle w:val="Hipercze"/>
            <w:color w:val="0070C0"/>
            <w:sz w:val="24"/>
            <w:szCs w:val="24"/>
          </w:rPr>
          <w:t>https://www.eff.org/deeplinks/2018/08/after-patent-office-rejection-it-time-google-abandonitsattempt-patent-use-public</w:t>
        </w:r>
      </w:hyperlink>
    </w:p>
    <w:p w14:paraId="703CE750" w14:textId="77777777" w:rsidR="004C5ABF" w:rsidRPr="005C0468" w:rsidRDefault="004C5ABF" w:rsidP="0066289A">
      <w:pPr>
        <w:tabs>
          <w:tab w:val="left" w:pos="567"/>
        </w:tabs>
        <w:spacing w:after="0" w:line="240" w:lineRule="auto"/>
        <w:ind w:left="567" w:hanging="567"/>
        <w:rPr>
          <w:sz w:val="24"/>
          <w:szCs w:val="24"/>
        </w:rPr>
      </w:pPr>
    </w:p>
    <w:p w14:paraId="6B82EB8F" w14:textId="1C7AE6EC" w:rsidR="004C5ABF" w:rsidRPr="005C0468" w:rsidRDefault="004C5ABF" w:rsidP="0066289A">
      <w:pPr>
        <w:tabs>
          <w:tab w:val="left" w:pos="567"/>
        </w:tabs>
        <w:spacing w:after="0" w:line="240" w:lineRule="auto"/>
        <w:ind w:left="567" w:hanging="567"/>
        <w:rPr>
          <w:sz w:val="24"/>
          <w:szCs w:val="24"/>
        </w:rPr>
      </w:pPr>
      <w:r w:rsidRPr="005C0468">
        <w:rPr>
          <w:sz w:val="24"/>
          <w:szCs w:val="24"/>
        </w:rPr>
        <w:t xml:space="preserve">4) </w:t>
      </w:r>
      <w:r w:rsidR="00C9781A">
        <w:rPr>
          <w:sz w:val="24"/>
          <w:szCs w:val="24"/>
        </w:rPr>
        <w:t xml:space="preserve"> </w:t>
      </w:r>
      <w:r w:rsidR="0066289A">
        <w:rPr>
          <w:sz w:val="24"/>
          <w:szCs w:val="24"/>
        </w:rPr>
        <w:tab/>
      </w:r>
      <w:r w:rsidRPr="005C0468">
        <w:rPr>
          <w:sz w:val="24"/>
          <w:szCs w:val="24"/>
        </w:rPr>
        <w:t>Obecny stan prawny wynikający z działań z Microsoft:</w:t>
      </w:r>
    </w:p>
    <w:p w14:paraId="1893C4C3"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Rok temu: </w:t>
      </w:r>
      <w:hyperlink r:id="rId237" w:history="1">
        <w:r w:rsidRPr="00153D21">
          <w:rPr>
            <w:rStyle w:val="Hipercze"/>
            <w:color w:val="0070C0"/>
            <w:sz w:val="24"/>
            <w:szCs w:val="24"/>
          </w:rPr>
          <w:t>https://www.theregister.com/2021/03/13/microsoft_ans_patent/</w:t>
        </w:r>
      </w:hyperlink>
    </w:p>
    <w:p w14:paraId="77F03165"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Po uzyskaniu:</w:t>
      </w:r>
      <w:r w:rsidRPr="00153D21">
        <w:rPr>
          <w:color w:val="0070C0"/>
          <w:sz w:val="24"/>
          <w:szCs w:val="24"/>
        </w:rPr>
        <w:t xml:space="preserve"> </w:t>
      </w:r>
      <w:hyperlink r:id="rId238" w:history="1">
        <w:r w:rsidRPr="00153D21">
          <w:rPr>
            <w:rStyle w:val="Hipercze"/>
            <w:color w:val="0070C0"/>
            <w:sz w:val="24"/>
            <w:szCs w:val="24"/>
          </w:rPr>
          <w:t>https://www.theregister.com/2022/02/17/microsoft_ans_patent/</w:t>
        </w:r>
      </w:hyperlink>
    </w:p>
    <w:p w14:paraId="54A3F79C" w14:textId="77777777" w:rsidR="004C5ABF" w:rsidRPr="004D64A0" w:rsidRDefault="004C5ABF" w:rsidP="0066289A">
      <w:pPr>
        <w:tabs>
          <w:tab w:val="left" w:pos="567"/>
        </w:tabs>
        <w:spacing w:after="0" w:line="240" w:lineRule="auto"/>
        <w:ind w:left="567"/>
        <w:rPr>
          <w:sz w:val="24"/>
          <w:szCs w:val="24"/>
          <w:lang w:val="en-US"/>
        </w:rPr>
      </w:pPr>
      <w:r w:rsidRPr="004D64A0">
        <w:rPr>
          <w:sz w:val="24"/>
          <w:szCs w:val="24"/>
          <w:lang w:val="en-US"/>
        </w:rPr>
        <w:t xml:space="preserve">Patent: </w:t>
      </w:r>
      <w:hyperlink r:id="rId239" w:history="1">
        <w:r w:rsidRPr="004D64A0">
          <w:rPr>
            <w:rStyle w:val="Hipercze"/>
            <w:color w:val="0070C0"/>
            <w:sz w:val="24"/>
            <w:szCs w:val="24"/>
            <w:lang w:val="en-US"/>
          </w:rPr>
          <w:t>https://patents.google.com/patent/US11234023B2/en</w:t>
        </w:r>
      </w:hyperlink>
      <w:r w:rsidRPr="004D64A0">
        <w:rPr>
          <w:color w:val="0070C0"/>
          <w:sz w:val="24"/>
          <w:szCs w:val="24"/>
          <w:lang w:val="en-US"/>
        </w:rPr>
        <w:t xml:space="preserve"> </w:t>
      </w:r>
      <w:r w:rsidRPr="004D64A0">
        <w:rPr>
          <w:sz w:val="24"/>
          <w:szCs w:val="24"/>
          <w:lang w:val="en-US"/>
        </w:rPr>
        <w:t xml:space="preserve">Global Dossiers: </w:t>
      </w:r>
    </w:p>
    <w:p w14:paraId="315F08B2"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USPTO: </w:t>
      </w:r>
      <w:hyperlink r:id="rId240" w:history="1">
        <w:r w:rsidRPr="00153D21">
          <w:rPr>
            <w:rStyle w:val="Hipercze"/>
            <w:color w:val="0070C0"/>
            <w:sz w:val="24"/>
            <w:szCs w:val="24"/>
          </w:rPr>
          <w:t>https://register.epo.org/ipfwretrieve?apn=US.201916456602.A&amp;lng=en</w:t>
        </w:r>
      </w:hyperlink>
    </w:p>
    <w:p w14:paraId="25DD5328" w14:textId="77777777" w:rsidR="004C5ABF" w:rsidRPr="00153D21" w:rsidRDefault="004C5ABF" w:rsidP="0066289A">
      <w:pPr>
        <w:tabs>
          <w:tab w:val="left" w:pos="567"/>
        </w:tabs>
        <w:spacing w:after="0" w:line="240" w:lineRule="auto"/>
        <w:ind w:left="567"/>
        <w:rPr>
          <w:color w:val="0070C0"/>
          <w:sz w:val="24"/>
          <w:szCs w:val="24"/>
        </w:rPr>
      </w:pPr>
      <w:r w:rsidRPr="005C0468">
        <w:rPr>
          <w:sz w:val="24"/>
          <w:szCs w:val="24"/>
        </w:rPr>
        <w:t xml:space="preserve">WO: </w:t>
      </w:r>
      <w:hyperlink r:id="rId241" w:history="1">
        <w:r w:rsidRPr="00153D21">
          <w:rPr>
            <w:rStyle w:val="Hipercze"/>
            <w:color w:val="0070C0"/>
            <w:sz w:val="24"/>
            <w:szCs w:val="24"/>
          </w:rPr>
          <w:t>https://register.epo.org/application?number=EP20728649&amp;lng=en&amp;tab=event</w:t>
        </w:r>
      </w:hyperlink>
    </w:p>
    <w:p w14:paraId="36CBEBBD"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EPO: </w:t>
      </w:r>
      <w:hyperlink r:id="rId242" w:history="1">
        <w:r w:rsidRPr="00153D21">
          <w:rPr>
            <w:rStyle w:val="Hipercze"/>
            <w:color w:val="0070C0"/>
            <w:sz w:val="24"/>
            <w:szCs w:val="24"/>
          </w:rPr>
          <w:t>https://register.epo.org/ipfwretrieve?apn=US.2020032397.W&amp;lng=en</w:t>
        </w:r>
      </w:hyperlink>
    </w:p>
    <w:p w14:paraId="481F9311" w14:textId="77777777" w:rsidR="004C5ABF" w:rsidRPr="005C0468" w:rsidRDefault="004C5ABF" w:rsidP="0066289A">
      <w:pPr>
        <w:tabs>
          <w:tab w:val="left" w:pos="567"/>
        </w:tabs>
        <w:spacing w:after="0" w:line="240" w:lineRule="auto"/>
        <w:ind w:left="567"/>
        <w:rPr>
          <w:sz w:val="24"/>
          <w:szCs w:val="24"/>
        </w:rPr>
      </w:pPr>
      <w:r w:rsidRPr="005C0468">
        <w:rPr>
          <w:sz w:val="24"/>
          <w:szCs w:val="24"/>
        </w:rPr>
        <w:t xml:space="preserve">Nagroda Miasta Krakowa 2021: https://www.krakow.pl/aktualnosci/255256,33,komunikat,oto_laureaci_nagrod_miasta_krakow a_i_mecenasi_kultury_krakowa__.html </w:t>
      </w:r>
    </w:p>
    <w:p w14:paraId="7E59D21B" w14:textId="77777777" w:rsidR="004C5ABF" w:rsidRPr="005C0468" w:rsidRDefault="004C5ABF" w:rsidP="0066289A">
      <w:pPr>
        <w:tabs>
          <w:tab w:val="left" w:pos="567"/>
        </w:tabs>
        <w:spacing w:after="0" w:line="240" w:lineRule="auto"/>
        <w:ind w:left="567" w:hanging="567"/>
        <w:rPr>
          <w:sz w:val="24"/>
          <w:szCs w:val="24"/>
        </w:rPr>
      </w:pPr>
    </w:p>
    <w:p w14:paraId="56DE5B54" w14:textId="6D134413" w:rsidR="004C5ABF" w:rsidRPr="005C0468" w:rsidRDefault="004C5ABF" w:rsidP="0066289A">
      <w:pPr>
        <w:tabs>
          <w:tab w:val="left" w:pos="567"/>
        </w:tabs>
        <w:spacing w:after="0" w:line="240" w:lineRule="auto"/>
        <w:ind w:left="567" w:hanging="567"/>
        <w:rPr>
          <w:sz w:val="24"/>
          <w:szCs w:val="24"/>
        </w:rPr>
      </w:pPr>
      <w:r w:rsidRPr="005C0468">
        <w:rPr>
          <w:sz w:val="24"/>
          <w:szCs w:val="24"/>
        </w:rPr>
        <w:t xml:space="preserve">5) </w:t>
      </w:r>
      <w:r w:rsidR="00C9781A">
        <w:rPr>
          <w:sz w:val="24"/>
          <w:szCs w:val="24"/>
        </w:rPr>
        <w:t xml:space="preserve"> </w:t>
      </w:r>
      <w:r w:rsidR="0066289A">
        <w:rPr>
          <w:sz w:val="24"/>
          <w:szCs w:val="24"/>
        </w:rPr>
        <w:tab/>
      </w:r>
      <w:r w:rsidRPr="005C0468">
        <w:rPr>
          <w:sz w:val="24"/>
          <w:szCs w:val="24"/>
        </w:rPr>
        <w:t>Poniżej grafika z wystawy stałej Muzeum Miasta Krakowa w Krzysztoforach:</w:t>
      </w:r>
    </w:p>
    <w:p w14:paraId="0A6E40DE" w14:textId="77777777" w:rsidR="00296EA0" w:rsidRDefault="00296EA0" w:rsidP="0066289A">
      <w:pPr>
        <w:tabs>
          <w:tab w:val="left" w:pos="567"/>
        </w:tabs>
        <w:spacing w:after="0" w:line="240" w:lineRule="auto"/>
        <w:ind w:left="567" w:hanging="567"/>
        <w:jc w:val="center"/>
        <w:rPr>
          <w:rFonts w:cstheme="minorHAnsi"/>
          <w:b/>
          <w:bCs/>
        </w:rPr>
      </w:pPr>
    </w:p>
    <w:p w14:paraId="2B6299BB" w14:textId="0BCB1EEE" w:rsidR="004C5ABF" w:rsidRPr="00EC4F25" w:rsidRDefault="004C5ABF" w:rsidP="0066289A">
      <w:pPr>
        <w:tabs>
          <w:tab w:val="left" w:pos="567"/>
        </w:tabs>
        <w:spacing w:after="0" w:line="240" w:lineRule="auto"/>
        <w:ind w:left="567" w:hanging="567"/>
        <w:jc w:val="center"/>
        <w:rPr>
          <w:rFonts w:cstheme="minorHAnsi"/>
          <w:b/>
          <w:bCs/>
        </w:rPr>
      </w:pPr>
      <w:r w:rsidRPr="00EC4F25">
        <w:rPr>
          <w:rFonts w:cstheme="minorHAnsi"/>
          <w:b/>
          <w:bCs/>
          <w:noProof/>
          <w:lang w:eastAsia="pl-PL"/>
        </w:rPr>
        <w:drawing>
          <wp:inline distT="0" distB="0" distL="0" distR="0" wp14:anchorId="4723DECE" wp14:editId="4CA2A454">
            <wp:extent cx="4837332" cy="3058510"/>
            <wp:effectExtent l="0" t="0" r="1905" b="8890"/>
            <wp:docPr id="615480512"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896038" cy="3095628"/>
                    </a:xfrm>
                    <a:prstGeom prst="rect">
                      <a:avLst/>
                    </a:prstGeom>
                    <a:noFill/>
                    <a:ln>
                      <a:noFill/>
                    </a:ln>
                  </pic:spPr>
                </pic:pic>
              </a:graphicData>
            </a:graphic>
          </wp:inline>
        </w:drawing>
      </w:r>
    </w:p>
    <w:p w14:paraId="5085B52F" w14:textId="4AEE230E" w:rsidR="002560E0" w:rsidRDefault="002560E0" w:rsidP="0066289A">
      <w:pPr>
        <w:tabs>
          <w:tab w:val="left" w:pos="567"/>
        </w:tabs>
        <w:spacing w:after="0" w:line="240" w:lineRule="auto"/>
        <w:ind w:left="567" w:hanging="567"/>
        <w:jc w:val="both"/>
        <w:rPr>
          <w:b/>
          <w:bCs/>
          <w:sz w:val="26"/>
          <w:szCs w:val="26"/>
        </w:rPr>
      </w:pPr>
    </w:p>
    <w:p w14:paraId="25591ECC" w14:textId="77777777" w:rsidR="00296EA0" w:rsidRPr="002F7E5D" w:rsidRDefault="00296EA0" w:rsidP="0066289A">
      <w:pPr>
        <w:tabs>
          <w:tab w:val="left" w:pos="567"/>
        </w:tabs>
        <w:spacing w:after="0" w:line="240" w:lineRule="auto"/>
        <w:ind w:left="567" w:hanging="567"/>
        <w:jc w:val="both"/>
        <w:rPr>
          <w:b/>
          <w:bCs/>
          <w:sz w:val="26"/>
          <w:szCs w:val="26"/>
        </w:rPr>
      </w:pPr>
    </w:p>
    <w:p w14:paraId="1ED9A54B" w14:textId="598AB072" w:rsidR="007B40A5" w:rsidRDefault="00376859" w:rsidP="00994071">
      <w:pPr>
        <w:pStyle w:val="NumeracjaRozdzial"/>
      </w:pPr>
      <w:bookmarkStart w:id="155" w:name="_Hlk161158515"/>
      <w:r>
        <w:lastRenderedPageBreak/>
        <w:t>2</w:t>
      </w:r>
      <w:r w:rsidR="00396797">
        <w:t>.</w:t>
      </w:r>
    </w:p>
    <w:p w14:paraId="3341C002" w14:textId="77777777" w:rsidR="002B2932" w:rsidRDefault="002B2932" w:rsidP="002B2932">
      <w:pPr>
        <w:pStyle w:val="NumeracjaRozdzial"/>
        <w:rPr>
          <w:rStyle w:val="Nagwek2Znak"/>
          <w:sz w:val="32"/>
          <w:szCs w:val="32"/>
        </w:rPr>
      </w:pPr>
      <w:bookmarkStart w:id="156" w:name="_Hlk161336036"/>
      <w:bookmarkEnd w:id="155"/>
      <w:r>
        <w:rPr>
          <w:noProof/>
        </w:rPr>
        <w:drawing>
          <wp:anchor distT="0" distB="0" distL="114300" distR="114300" simplePos="0" relativeHeight="252288000" behindDoc="0" locked="0" layoutInCell="1" allowOverlap="1" wp14:anchorId="6018C52D" wp14:editId="61F14372">
            <wp:simplePos x="0" y="0"/>
            <wp:positionH relativeFrom="column">
              <wp:posOffset>17780</wp:posOffset>
            </wp:positionH>
            <wp:positionV relativeFrom="paragraph">
              <wp:posOffset>27636</wp:posOffset>
            </wp:positionV>
            <wp:extent cx="1963420" cy="1414780"/>
            <wp:effectExtent l="0" t="0" r="0" b="0"/>
            <wp:wrapThrough wrapText="bothSides">
              <wp:wrapPolygon edited="0">
                <wp:start x="0" y="0"/>
                <wp:lineTo x="0" y="21232"/>
                <wp:lineTo x="21376" y="21232"/>
                <wp:lineTo x="21376" y="0"/>
                <wp:lineTo x="0" y="0"/>
              </wp:wrapPolygon>
            </wp:wrapThrough>
            <wp:docPr id="1393948002" name="Obraz 13" descr="Obraz zawierający osoba, Ludzka twarz, ubrania,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48002" name="Obraz 13" descr="Obraz zawierający osoba, Ludzka twarz, ubrania, uśmiech&#10;&#10;Opis wygenerowany automatycznie"/>
                    <pic:cNvPicPr>
                      <a:picLocks noChangeAspect="1" noChangeArrowheads="1"/>
                    </pic:cNvPicPr>
                  </pic:nvPicPr>
                  <pic:blipFill rotWithShape="1">
                    <a:blip r:embed="rId244">
                      <a:extLst>
                        <a:ext uri="{28A0092B-C50C-407E-A947-70E740481C1C}">
                          <a14:useLocalDpi xmlns:a14="http://schemas.microsoft.com/office/drawing/2010/main" val="0"/>
                        </a:ext>
                      </a:extLst>
                    </a:blip>
                    <a:srcRect l="810" t="12505" r="-810" b="5048"/>
                    <a:stretch/>
                  </pic:blipFill>
                  <pic:spPr bwMode="auto">
                    <a:xfrm>
                      <a:off x="0" y="0"/>
                      <a:ext cx="1963420" cy="141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57" w:name="_Toc168380144"/>
    </w:p>
    <w:p w14:paraId="3AA670B1" w14:textId="77777777" w:rsidR="002B2932" w:rsidRPr="002B2932" w:rsidRDefault="002B2932" w:rsidP="002B2932">
      <w:pPr>
        <w:pStyle w:val="NumeracjaRozdzial"/>
        <w:rPr>
          <w:rStyle w:val="Nagwek2Znak"/>
          <w:sz w:val="14"/>
          <w:szCs w:val="14"/>
        </w:rPr>
      </w:pPr>
    </w:p>
    <w:p w14:paraId="1ECEEDB6" w14:textId="24F93F7F" w:rsidR="007963DB" w:rsidRPr="0037305F" w:rsidRDefault="007963DB" w:rsidP="002B2932">
      <w:pPr>
        <w:pStyle w:val="NumeracjaRozdzial"/>
        <w:rPr>
          <w:rStyle w:val="Nagwek2Znak"/>
          <w:rFonts w:eastAsiaTheme="minorHAnsi"/>
          <w:b/>
          <w:bCs/>
          <w:sz w:val="42"/>
          <w:szCs w:val="42"/>
        </w:rPr>
      </w:pPr>
      <w:bookmarkStart w:id="158" w:name="_Toc170117999"/>
      <w:r w:rsidRPr="0037305F">
        <w:rPr>
          <w:rStyle w:val="Nagwek2Znak"/>
          <w:b/>
          <w:bCs/>
        </w:rPr>
        <w:t xml:space="preserve">Elastyczne, </w:t>
      </w:r>
      <w:bookmarkStart w:id="159" w:name="_Hlk168515263"/>
      <w:r w:rsidRPr="0037305F">
        <w:rPr>
          <w:rStyle w:val="Nagwek2Znak"/>
          <w:b/>
          <w:bCs/>
        </w:rPr>
        <w:t xml:space="preserve">perowskitowe </w:t>
      </w:r>
      <w:bookmarkEnd w:id="159"/>
      <w:r w:rsidRPr="0037305F">
        <w:rPr>
          <w:rStyle w:val="Nagwek2Znak"/>
          <w:b/>
          <w:bCs/>
        </w:rPr>
        <w:t>panele fotowoltaiczne w elewacjach budynków + szyby generujące prąd wymyślone i już produkowane w Polsce</w:t>
      </w:r>
      <w:bookmarkEnd w:id="157"/>
      <w:bookmarkEnd w:id="158"/>
    </w:p>
    <w:p w14:paraId="03822EB2" w14:textId="00D37C26" w:rsidR="007963DB" w:rsidRDefault="007963DB" w:rsidP="007963DB">
      <w:pPr>
        <w:spacing w:after="0" w:line="240" w:lineRule="auto"/>
      </w:pPr>
    </w:p>
    <w:p w14:paraId="34461265" w14:textId="186BB14B" w:rsidR="007963DB" w:rsidRDefault="007963DB" w:rsidP="007963DB">
      <w:pPr>
        <w:spacing w:after="0" w:line="240" w:lineRule="auto"/>
      </w:pPr>
    </w:p>
    <w:p w14:paraId="7F3C7B36" w14:textId="77777777" w:rsidR="007963DB" w:rsidRDefault="007963DB" w:rsidP="007963DB">
      <w:pPr>
        <w:tabs>
          <w:tab w:val="left" w:pos="1809"/>
        </w:tabs>
        <w:spacing w:after="0" w:line="240" w:lineRule="auto"/>
      </w:pPr>
    </w:p>
    <w:p w14:paraId="4E4FD49B" w14:textId="77777777" w:rsidR="007963DB" w:rsidRDefault="007963DB" w:rsidP="007963DB">
      <w:pPr>
        <w:tabs>
          <w:tab w:val="left" w:pos="1809"/>
        </w:tabs>
        <w:spacing w:after="0" w:line="240" w:lineRule="auto"/>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86"/>
      </w:tblGrid>
      <w:tr w:rsidR="007963DB" w:rsidRPr="006A1234" w14:paraId="65CBA594" w14:textId="77777777" w:rsidTr="002409A2">
        <w:tc>
          <w:tcPr>
            <w:tcW w:w="9062" w:type="dxa"/>
            <w:gridSpan w:val="2"/>
          </w:tcPr>
          <w:p w14:paraId="061676C4" w14:textId="77777777" w:rsidR="00D46663" w:rsidRDefault="00D46663" w:rsidP="002409A2">
            <w:pPr>
              <w:rPr>
                <w:rFonts w:cstheme="minorHAnsi"/>
                <w:b/>
                <w:bCs/>
                <w:noProof/>
                <w:sz w:val="18"/>
                <w:szCs w:val="18"/>
              </w:rPr>
            </w:pPr>
          </w:p>
          <w:p w14:paraId="1D306CD3" w14:textId="388014A9" w:rsidR="007963DB" w:rsidRPr="006A1234" w:rsidRDefault="007963DB" w:rsidP="002409A2">
            <w:pPr>
              <w:ind w:left="-100"/>
              <w:rPr>
                <w:rFonts w:asciiTheme="minorHAnsi" w:hAnsiTheme="minorHAnsi" w:cstheme="minorHAnsi"/>
                <w:b/>
                <w:bCs/>
                <w:color w:val="000000"/>
              </w:rPr>
            </w:pPr>
            <w:r>
              <w:rPr>
                <w:rFonts w:asciiTheme="minorHAnsi" w:hAnsiTheme="minorHAnsi" w:cstheme="minorHAnsi"/>
                <w:b/>
                <w:bCs/>
                <w:color w:val="000000"/>
              </w:rPr>
              <w:t>AUTOR</w:t>
            </w:r>
            <w:r w:rsidR="0037305F">
              <w:rPr>
                <w:rFonts w:asciiTheme="minorHAnsi" w:hAnsiTheme="minorHAnsi" w:cstheme="minorHAnsi"/>
                <w:b/>
                <w:bCs/>
                <w:color w:val="000000"/>
              </w:rPr>
              <w:t xml:space="preserve"> KOMENTARZA</w:t>
            </w:r>
            <w:r>
              <w:rPr>
                <w:rFonts w:asciiTheme="minorHAnsi" w:hAnsiTheme="minorHAnsi" w:cstheme="minorHAnsi"/>
                <w:b/>
                <w:bCs/>
                <w:color w:val="000000"/>
              </w:rPr>
              <w:t>:</w:t>
            </w:r>
          </w:p>
        </w:tc>
      </w:tr>
      <w:tr w:rsidR="007963DB" w:rsidRPr="006A1234" w14:paraId="0E4BF991" w14:textId="77777777" w:rsidTr="002409A2">
        <w:tc>
          <w:tcPr>
            <w:tcW w:w="9062" w:type="dxa"/>
            <w:gridSpan w:val="2"/>
          </w:tcPr>
          <w:p w14:paraId="509C112E" w14:textId="77777777" w:rsidR="007963DB" w:rsidRPr="009271FD" w:rsidRDefault="007963DB" w:rsidP="002409A2">
            <w:pPr>
              <w:rPr>
                <w:rFonts w:cstheme="minorHAnsi"/>
                <w:b/>
                <w:bCs/>
                <w:noProof/>
                <w:sz w:val="10"/>
                <w:szCs w:val="10"/>
              </w:rPr>
            </w:pPr>
          </w:p>
        </w:tc>
      </w:tr>
      <w:tr w:rsidR="007963DB" w:rsidRPr="006A1234" w14:paraId="1C696D6D" w14:textId="77777777" w:rsidTr="00F345F3">
        <w:trPr>
          <w:trHeight w:val="1662"/>
        </w:trPr>
        <w:tc>
          <w:tcPr>
            <w:tcW w:w="1276" w:type="dxa"/>
          </w:tcPr>
          <w:p w14:paraId="13B1D9B7" w14:textId="77777777" w:rsidR="007963DB" w:rsidRDefault="007963DB" w:rsidP="002409A2">
            <w:pPr>
              <w:tabs>
                <w:tab w:val="left" w:pos="2261"/>
              </w:tabs>
              <w:rPr>
                <w:noProof/>
                <w:sz w:val="6"/>
                <w:szCs w:val="6"/>
              </w:rPr>
            </w:pPr>
          </w:p>
          <w:p w14:paraId="28F9F123" w14:textId="77777777" w:rsidR="007963DB" w:rsidRPr="004B308F" w:rsidRDefault="007963DB" w:rsidP="002409A2">
            <w:pPr>
              <w:tabs>
                <w:tab w:val="left" w:pos="2261"/>
              </w:tabs>
              <w:rPr>
                <w:noProof/>
                <w:sz w:val="6"/>
                <w:szCs w:val="6"/>
              </w:rPr>
            </w:pPr>
          </w:p>
          <w:p w14:paraId="17A49346" w14:textId="77777777" w:rsidR="007963DB" w:rsidRDefault="007963DB" w:rsidP="002409A2">
            <w:pPr>
              <w:tabs>
                <w:tab w:val="left" w:pos="2261"/>
              </w:tabs>
              <w:ind w:left="-100"/>
              <w:rPr>
                <w:rFonts w:cstheme="minorHAnsi"/>
                <w:b/>
                <w:bCs/>
                <w:color w:val="000000"/>
                <w:sz w:val="26"/>
                <w:szCs w:val="26"/>
              </w:rPr>
            </w:pPr>
            <w:r>
              <w:rPr>
                <w:noProof/>
              </w:rPr>
              <w:drawing>
                <wp:inline distT="0" distB="0" distL="0" distR="0" wp14:anchorId="66B518F7" wp14:editId="4C8BA514">
                  <wp:extent cx="637200" cy="907200"/>
                  <wp:effectExtent l="0" t="0" r="0" b="7620"/>
                  <wp:docPr id="637770916" name="Obraz 2" descr="Obraz zawierający osoba, tekst, Ludzka twarz, Czoł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70916" name="Obraz 2" descr="Obraz zawierający osoba, tekst, Ludzka twarz, Czoło&#10;&#10;Opis wygenerowany automatyczni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7200" cy="907200"/>
                          </a:xfrm>
                          <a:prstGeom prst="rect">
                            <a:avLst/>
                          </a:prstGeom>
                          <a:noFill/>
                          <a:ln>
                            <a:noFill/>
                          </a:ln>
                        </pic:spPr>
                      </pic:pic>
                    </a:graphicData>
                  </a:graphic>
                </wp:inline>
              </w:drawing>
            </w:r>
          </w:p>
        </w:tc>
        <w:tc>
          <w:tcPr>
            <w:tcW w:w="7786" w:type="dxa"/>
          </w:tcPr>
          <w:p w14:paraId="77411BA2" w14:textId="77777777" w:rsidR="0037305F" w:rsidRDefault="0037305F" w:rsidP="002409A2">
            <w:pPr>
              <w:rPr>
                <w:rFonts w:asciiTheme="minorHAnsi" w:hAnsiTheme="minorHAnsi" w:cstheme="minorHAnsi"/>
                <w:bCs/>
                <w:color w:val="000000"/>
              </w:rPr>
            </w:pPr>
          </w:p>
          <w:p w14:paraId="577BD0E7" w14:textId="77777777" w:rsidR="0037305F" w:rsidRDefault="0037305F" w:rsidP="002409A2">
            <w:pPr>
              <w:rPr>
                <w:rFonts w:asciiTheme="minorHAnsi" w:hAnsiTheme="minorHAnsi" w:cstheme="minorHAnsi"/>
                <w:bCs/>
                <w:color w:val="000000"/>
              </w:rPr>
            </w:pPr>
          </w:p>
          <w:p w14:paraId="1FB2A9D1" w14:textId="17CE1156" w:rsidR="007963DB" w:rsidRDefault="007963DB" w:rsidP="002409A2">
            <w:pPr>
              <w:rPr>
                <w:rFonts w:asciiTheme="minorHAnsi" w:hAnsiTheme="minorHAnsi" w:cstheme="minorHAnsi"/>
                <w:bCs/>
                <w:color w:val="000000"/>
              </w:rPr>
            </w:pPr>
            <w:r>
              <w:rPr>
                <w:rFonts w:asciiTheme="minorHAnsi" w:hAnsiTheme="minorHAnsi" w:cstheme="minorHAnsi"/>
                <w:bCs/>
                <w:color w:val="000000"/>
              </w:rPr>
              <w:t>Sławomir</w:t>
            </w:r>
            <w:r w:rsidRPr="00882209">
              <w:rPr>
                <w:rFonts w:asciiTheme="minorHAnsi" w:hAnsiTheme="minorHAnsi" w:cstheme="minorHAnsi"/>
                <w:bCs/>
                <w:color w:val="000000"/>
              </w:rPr>
              <w:t xml:space="preserve"> </w:t>
            </w:r>
            <w:r>
              <w:rPr>
                <w:rFonts w:asciiTheme="minorHAnsi" w:hAnsiTheme="minorHAnsi" w:cstheme="minorHAnsi"/>
                <w:bCs/>
                <w:color w:val="000000"/>
              </w:rPr>
              <w:t>KWAPISZ</w:t>
            </w:r>
          </w:p>
          <w:p w14:paraId="2429720C" w14:textId="77777777" w:rsidR="007963DB" w:rsidRPr="00A62E08" w:rsidRDefault="007963DB" w:rsidP="007963DB">
            <w:pPr>
              <w:pStyle w:val="Akapitzlist"/>
              <w:numPr>
                <w:ilvl w:val="0"/>
                <w:numId w:val="45"/>
              </w:numPr>
              <w:ind w:left="314" w:hanging="283"/>
              <w:rPr>
                <w:rFonts w:cs="Calibri"/>
                <w:bCs/>
                <w:color w:val="000000"/>
              </w:rPr>
            </w:pPr>
            <w:r w:rsidRPr="00A62E08">
              <w:rPr>
                <w:rFonts w:cs="Calibri"/>
                <w:bCs/>
                <w:color w:val="000000"/>
              </w:rPr>
              <w:t>Ekspert Urzędu Patentowego RP od 16 sierpnia 2016 r.</w:t>
            </w:r>
          </w:p>
          <w:p w14:paraId="6508F5E6" w14:textId="77777777" w:rsidR="007963DB" w:rsidRDefault="007963DB" w:rsidP="002409A2">
            <w:pPr>
              <w:pStyle w:val="Akapitzlist"/>
              <w:ind w:left="314"/>
              <w:rPr>
                <w:rFonts w:cstheme="minorHAnsi"/>
                <w:b/>
                <w:bCs/>
                <w:color w:val="000000"/>
                <w:sz w:val="26"/>
                <w:szCs w:val="26"/>
              </w:rPr>
            </w:pPr>
          </w:p>
          <w:p w14:paraId="67521FB0" w14:textId="77777777" w:rsidR="0037305F" w:rsidRPr="00F345F3" w:rsidRDefault="0037305F" w:rsidP="00F345F3">
            <w:pPr>
              <w:rPr>
                <w:rFonts w:cs="Calibri"/>
                <w:bCs/>
                <w:color w:val="000000"/>
              </w:rPr>
            </w:pPr>
          </w:p>
          <w:p w14:paraId="3D69BC4B" w14:textId="6DDC48C2" w:rsidR="007963DB" w:rsidRPr="00164F7A" w:rsidRDefault="007963DB" w:rsidP="002409A2">
            <w:pPr>
              <w:pStyle w:val="Akapitzlist"/>
              <w:ind w:left="314"/>
              <w:jc w:val="right"/>
              <w:rPr>
                <w:rFonts w:cstheme="minorHAnsi"/>
                <w:color w:val="000000"/>
                <w:sz w:val="26"/>
                <w:szCs w:val="26"/>
              </w:rPr>
            </w:pPr>
          </w:p>
        </w:tc>
      </w:tr>
    </w:tbl>
    <w:p w14:paraId="1D8E071F" w14:textId="77777777" w:rsidR="0037305F" w:rsidRPr="00F345F3" w:rsidRDefault="0037305F" w:rsidP="00F345F3">
      <w:pPr>
        <w:rPr>
          <w:rFonts w:cs="Calibri"/>
          <w:bCs/>
          <w:color w:val="000000"/>
        </w:rPr>
      </w:pPr>
    </w:p>
    <w:p w14:paraId="0D48CB71" w14:textId="6CB400BB" w:rsidR="0037305F" w:rsidRDefault="0037305F" w:rsidP="0037305F">
      <w:pPr>
        <w:tabs>
          <w:tab w:val="left" w:pos="1809"/>
        </w:tabs>
        <w:spacing w:after="0" w:line="240" w:lineRule="auto"/>
        <w:jc w:val="right"/>
        <w:rPr>
          <w:rFonts w:cs="Calibri"/>
          <w:bCs/>
          <w:color w:val="000000"/>
        </w:rPr>
      </w:pPr>
      <w:r w:rsidRPr="00164F7A">
        <w:rPr>
          <w:rFonts w:cs="Calibri"/>
          <w:bCs/>
          <w:color w:val="000000"/>
        </w:rPr>
        <w:t xml:space="preserve">Tomaszów Mazowiecki, </w:t>
      </w:r>
      <w:r>
        <w:rPr>
          <w:rFonts w:cs="Calibri"/>
          <w:bCs/>
          <w:color w:val="000000"/>
        </w:rPr>
        <w:t>m</w:t>
      </w:r>
      <w:r w:rsidRPr="00164F7A">
        <w:rPr>
          <w:rFonts w:cs="Calibri"/>
          <w:bCs/>
          <w:color w:val="000000"/>
        </w:rPr>
        <w:t>aj 2023</w:t>
      </w:r>
    </w:p>
    <w:p w14:paraId="405D7AE9" w14:textId="77777777" w:rsidR="003F6CA0" w:rsidRDefault="003F6CA0" w:rsidP="0037305F">
      <w:pPr>
        <w:tabs>
          <w:tab w:val="left" w:pos="1809"/>
        </w:tabs>
        <w:spacing w:after="0" w:line="240" w:lineRule="auto"/>
        <w:jc w:val="right"/>
        <w:rPr>
          <w:rFonts w:cs="Calibri"/>
          <w:bCs/>
          <w:color w:val="000000"/>
        </w:rPr>
      </w:pPr>
    </w:p>
    <w:p w14:paraId="781F3184" w14:textId="73E02DAC" w:rsidR="00F345F3" w:rsidRDefault="003F6CA0" w:rsidP="003F6CA0">
      <w:pPr>
        <w:tabs>
          <w:tab w:val="left" w:pos="1809"/>
        </w:tabs>
        <w:spacing w:after="0" w:line="240" w:lineRule="auto"/>
        <w:jc w:val="both"/>
        <w:rPr>
          <w:rStyle w:val="Nagwek2Znak"/>
        </w:rPr>
      </w:pPr>
      <w:r w:rsidRPr="003F6CA0">
        <w:rPr>
          <w:rFonts w:cs="Calibri"/>
          <w:b/>
          <w:color w:val="000000"/>
        </w:rPr>
        <w:t>Elastyczne, perowskitowe panele fotowoltaiczne w elewacjach budynków + szyby generujące prąd wymyślone i już produkowane w Polsce</w:t>
      </w:r>
    </w:p>
    <w:p w14:paraId="4DA9F908" w14:textId="77777777" w:rsidR="0037305F" w:rsidRDefault="0037305F" w:rsidP="009D26CF"/>
    <w:p w14:paraId="4019AC0F" w14:textId="66AF371A" w:rsidR="007963DB" w:rsidRPr="00F345F3" w:rsidRDefault="007963DB" w:rsidP="00027FC3">
      <w:pPr>
        <w:pStyle w:val="nrbrzegowy2"/>
        <w:numPr>
          <w:ilvl w:val="0"/>
          <w:numId w:val="87"/>
        </w:numPr>
        <w:ind w:left="0" w:hanging="851"/>
      </w:pPr>
      <w:r w:rsidRPr="00F345F3">
        <w:t xml:space="preserve">Dr Olga MALINKIEWICZ, polska fizyczka, urodziła się 26 listopada 1982 r. Studia rozpoczęła na Wydziale Fizyki Uniwersytetu Warszawskiego, a następnie kontynuowała je na Politechnice Katalońskiej w Barcelonie. </w:t>
      </w:r>
    </w:p>
    <w:p w14:paraId="05C4E977" w14:textId="56BE95A9" w:rsidR="007963DB" w:rsidRPr="00F345F3" w:rsidRDefault="007963DB" w:rsidP="00027FC3">
      <w:pPr>
        <w:pStyle w:val="nrbrzegowy2"/>
        <w:ind w:left="0" w:hanging="851"/>
      </w:pPr>
      <w:r w:rsidRPr="00F345F3">
        <w:t xml:space="preserve">W roku 2017 na Uniwersytecie w Walencji obroniła doktorat. Jeszcze jako młoda doktorantka wymyśliła rewolucyjną metodę produkcji ogniw słonecznych poprzez powlekanie </w:t>
      </w:r>
      <w:proofErr w:type="spellStart"/>
      <w:r w:rsidRPr="00F345F3">
        <w:t>perowskitami</w:t>
      </w:r>
      <w:proofErr w:type="spellEnd"/>
      <w:r w:rsidRPr="00F345F3">
        <w:t xml:space="preserve"> elastycznych folii. Rozumiejąc, że jej wynalazek może mieć zmienić transformację energetyczną na całym świecie, w 2014 r. wraz z Piotrem KRYCHEM i Arturem KUPCZUNASEM założyła spółkę </w:t>
      </w:r>
      <w:proofErr w:type="spellStart"/>
      <w:r w:rsidRPr="00F345F3">
        <w:t>Saule</w:t>
      </w:r>
      <w:proofErr w:type="spellEnd"/>
      <w:r w:rsidRPr="00F345F3">
        <w:t xml:space="preserve"> </w:t>
      </w:r>
      <w:proofErr w:type="spellStart"/>
      <w:r w:rsidRPr="00F345F3">
        <w:t>Techologies</w:t>
      </w:r>
      <w:proofErr w:type="spellEnd"/>
      <w:r w:rsidRPr="00F345F3">
        <w:t xml:space="preserve"> S.A. </w:t>
      </w:r>
    </w:p>
    <w:p w14:paraId="6E3D2AB5" w14:textId="77777777" w:rsidR="007963DB" w:rsidRPr="00F345F3" w:rsidRDefault="007963DB" w:rsidP="00027FC3">
      <w:pPr>
        <w:pStyle w:val="nrbrzegowy2"/>
        <w:ind w:left="0" w:hanging="851"/>
      </w:pPr>
      <w:r w:rsidRPr="00F345F3">
        <w:t xml:space="preserve">W Brukseli, w 2014 r., podczas dorocznego spotkania Photonics21 Olga MALINKIEWICZ odbierała nagrodę za innowacyjność Photonics21 z rąk komisarz UE </w:t>
      </w:r>
      <w:proofErr w:type="spellStart"/>
      <w:r w:rsidRPr="00F345F3">
        <w:t>Neelie</w:t>
      </w:r>
      <w:proofErr w:type="spellEnd"/>
      <w:r w:rsidRPr="00F345F3">
        <w:t xml:space="preserve"> KROES.</w:t>
      </w:r>
    </w:p>
    <w:p w14:paraId="3B9C4F99" w14:textId="77777777" w:rsidR="007963DB" w:rsidRPr="00F345F3" w:rsidRDefault="007963DB" w:rsidP="00027FC3">
      <w:pPr>
        <w:pStyle w:val="nrbrzegowy2"/>
        <w:ind w:left="0" w:hanging="851"/>
      </w:pPr>
      <w:r w:rsidRPr="00F345F3">
        <w:t xml:space="preserve">W ramach cyklicznej imprezy organizowanej przez </w:t>
      </w:r>
      <w:proofErr w:type="spellStart"/>
      <w:r w:rsidRPr="00F345F3">
        <w:t>MamBiznes</w:t>
      </w:r>
      <w:proofErr w:type="spellEnd"/>
      <w:r w:rsidRPr="00F345F3">
        <w:t xml:space="preserve"> Spółka </w:t>
      </w:r>
      <w:proofErr w:type="spellStart"/>
      <w:r w:rsidRPr="00F345F3">
        <w:t>Saule</w:t>
      </w:r>
      <w:proofErr w:type="spellEnd"/>
      <w:r w:rsidRPr="00F345F3">
        <w:t xml:space="preserve"> Technologies S.A. otrzymała tytuł „</w:t>
      </w:r>
      <w:r w:rsidRPr="00F345F3">
        <w:rPr>
          <w:i/>
          <w:iCs/>
        </w:rPr>
        <w:t>Startup Roku 2014</w:t>
      </w:r>
      <w:r w:rsidRPr="00F345F3">
        <w:t>” - jako jedna z pierwszych firm na świecie, która pracuje nad stworzeniem ogniw zmniejszających koszty wytwarzania energii elektrycznej.</w:t>
      </w:r>
    </w:p>
    <w:p w14:paraId="76A68582" w14:textId="77777777" w:rsidR="007963DB" w:rsidRPr="00F345F3" w:rsidRDefault="007963DB" w:rsidP="00027FC3">
      <w:pPr>
        <w:pStyle w:val="nrbrzegowy2"/>
        <w:ind w:left="0" w:hanging="851"/>
      </w:pPr>
      <w:r w:rsidRPr="00F345F3">
        <w:t>W 2015 roku Olga otrzymała tytuł „</w:t>
      </w:r>
      <w:proofErr w:type="spellStart"/>
      <w:r w:rsidRPr="00F345F3">
        <w:rPr>
          <w:i/>
          <w:iCs/>
        </w:rPr>
        <w:t>Innovator</w:t>
      </w:r>
      <w:proofErr w:type="spellEnd"/>
      <w:r w:rsidRPr="00F345F3">
        <w:rPr>
          <w:i/>
          <w:iCs/>
        </w:rPr>
        <w:t xml:space="preserve"> of the </w:t>
      </w:r>
      <w:proofErr w:type="spellStart"/>
      <w:r w:rsidRPr="00F345F3">
        <w:rPr>
          <w:i/>
          <w:iCs/>
        </w:rPr>
        <w:t>Year</w:t>
      </w:r>
      <w:proofErr w:type="spellEnd"/>
      <w:r w:rsidRPr="00F345F3">
        <w:t xml:space="preserve">” - w konkursie organizowanym przez „MIT Technology </w:t>
      </w:r>
      <w:proofErr w:type="spellStart"/>
      <w:r w:rsidRPr="00F345F3">
        <w:t>Review</w:t>
      </w:r>
      <w:proofErr w:type="spellEnd"/>
      <w:r w:rsidRPr="00F345F3">
        <w:t xml:space="preserve">”. </w:t>
      </w:r>
    </w:p>
    <w:p w14:paraId="6D5CBFC3" w14:textId="77777777" w:rsidR="007963DB" w:rsidRPr="00F345F3" w:rsidRDefault="007963DB" w:rsidP="00027FC3">
      <w:pPr>
        <w:pStyle w:val="nrbrzegowy2"/>
        <w:ind w:left="0" w:hanging="851"/>
      </w:pPr>
      <w:r w:rsidRPr="00F345F3">
        <w:t>W 2016 roku została odznaczona Krzyżem Kawalerskim Orderu Odrodzenia Polski „</w:t>
      </w:r>
      <w:r w:rsidRPr="00F345F3">
        <w:rPr>
          <w:i/>
          <w:iCs/>
        </w:rPr>
        <w:t>za wybitne zasługi dla rozwoju nauki polskiej</w:t>
      </w:r>
      <w:r w:rsidRPr="00F345F3">
        <w:t xml:space="preserve">” przez Prezydenta Andrzeja DUDĘ. </w:t>
      </w:r>
    </w:p>
    <w:p w14:paraId="1A359FA4" w14:textId="77777777" w:rsidR="007963DB" w:rsidRPr="00F345F3" w:rsidRDefault="007963DB" w:rsidP="00027FC3">
      <w:pPr>
        <w:pStyle w:val="nrbrzegowy2"/>
        <w:ind w:left="0" w:hanging="851"/>
      </w:pPr>
      <w:r w:rsidRPr="00F345F3">
        <w:t>W 2020 roku Olga otrzymała wyróżnienie magazynu Amerykańskiego Towarzystwa Chemicznego i została nominowana do nagrody przez chemiczkę Jennifer DOUDNA, laureatkę Nagrody Nobla. Rok później została uhonorowana nagrodą Planety Lema.</w:t>
      </w:r>
    </w:p>
    <w:p w14:paraId="163A1D8A" w14:textId="77777777" w:rsidR="007963DB" w:rsidRPr="00F345F3" w:rsidRDefault="007963DB" w:rsidP="00F345F3">
      <w:pPr>
        <w:pStyle w:val="nrbrzegowy2"/>
        <w:numPr>
          <w:ilvl w:val="0"/>
          <w:numId w:val="0"/>
        </w:numPr>
        <w:ind w:left="604"/>
      </w:pPr>
    </w:p>
    <w:p w14:paraId="0585B95A" w14:textId="77777777" w:rsidR="007963DB" w:rsidRPr="00F345F3" w:rsidRDefault="007963DB" w:rsidP="00F345F3">
      <w:pPr>
        <w:pStyle w:val="nrbrzegowy2"/>
        <w:numPr>
          <w:ilvl w:val="0"/>
          <w:numId w:val="0"/>
        </w:numPr>
        <w:ind w:left="604"/>
      </w:pPr>
      <w:r w:rsidRPr="00F345F3">
        <w:rPr>
          <w:noProof/>
        </w:rPr>
        <w:lastRenderedPageBreak/>
        <w:drawing>
          <wp:anchor distT="0" distB="0" distL="114300" distR="114300" simplePos="0" relativeHeight="252285952" behindDoc="0" locked="0" layoutInCell="1" allowOverlap="1" wp14:anchorId="0E07DBAD" wp14:editId="5E832E6C">
            <wp:simplePos x="0" y="0"/>
            <wp:positionH relativeFrom="column">
              <wp:posOffset>4051935</wp:posOffset>
            </wp:positionH>
            <wp:positionV relativeFrom="paragraph">
              <wp:posOffset>54610</wp:posOffset>
            </wp:positionV>
            <wp:extent cx="2009775" cy="2676525"/>
            <wp:effectExtent l="0" t="0" r="9525" b="9525"/>
            <wp:wrapThrough wrapText="bothSides">
              <wp:wrapPolygon edited="0">
                <wp:start x="0" y="0"/>
                <wp:lineTo x="0" y="21523"/>
                <wp:lineTo x="21498" y="21523"/>
                <wp:lineTo x="21498" y="0"/>
                <wp:lineTo x="0" y="0"/>
              </wp:wrapPolygon>
            </wp:wrapThrough>
            <wp:docPr id="372797015" name="Obraz 12" descr="Obraz zawierający stożek, na wolnym powietrzu, sztu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97015" name="Obraz 12" descr="Obraz zawierający stożek, na wolnym powietrzu, sztuka&#10;&#10;Opis wygenerowany automatyczni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009775" cy="2676525"/>
                    </a:xfrm>
                    <a:prstGeom prst="rect">
                      <a:avLst/>
                    </a:prstGeom>
                    <a:noFill/>
                  </pic:spPr>
                </pic:pic>
              </a:graphicData>
            </a:graphic>
            <wp14:sizeRelH relativeFrom="page">
              <wp14:pctWidth>0</wp14:pctWidth>
            </wp14:sizeRelH>
            <wp14:sizeRelV relativeFrom="page">
              <wp14:pctHeight>0</wp14:pctHeight>
            </wp14:sizeRelV>
          </wp:anchor>
        </w:drawing>
      </w:r>
    </w:p>
    <w:p w14:paraId="76245715" w14:textId="77777777" w:rsidR="007963DB" w:rsidRPr="00F345F3" w:rsidRDefault="007963DB" w:rsidP="005D5AFB">
      <w:pPr>
        <w:pStyle w:val="nrbrzegowy2"/>
        <w:numPr>
          <w:ilvl w:val="0"/>
          <w:numId w:val="0"/>
        </w:numPr>
        <w:ind w:left="604"/>
      </w:pPr>
      <w:r w:rsidRPr="00F345F3">
        <w:rPr>
          <w:noProof/>
        </w:rPr>
        <w:drawing>
          <wp:anchor distT="0" distB="0" distL="114300" distR="114300" simplePos="0" relativeHeight="252286976" behindDoc="0" locked="0" layoutInCell="1" allowOverlap="1" wp14:anchorId="6998D660" wp14:editId="1E38DE66">
            <wp:simplePos x="0" y="0"/>
            <wp:positionH relativeFrom="column">
              <wp:posOffset>-1270</wp:posOffset>
            </wp:positionH>
            <wp:positionV relativeFrom="paragraph">
              <wp:posOffset>2540</wp:posOffset>
            </wp:positionV>
            <wp:extent cx="4779010" cy="2414270"/>
            <wp:effectExtent l="0" t="0" r="2540" b="5080"/>
            <wp:wrapThrough wrapText="bothSides">
              <wp:wrapPolygon edited="0">
                <wp:start x="0" y="0"/>
                <wp:lineTo x="0" y="21475"/>
                <wp:lineTo x="21525" y="21475"/>
                <wp:lineTo x="21525" y="0"/>
                <wp:lineTo x="0" y="0"/>
              </wp:wrapPolygon>
            </wp:wrapThrough>
            <wp:docPr id="857251958" name="Obraz 11" descr="Obraz zawierający tekst, zrzut ekranu, Strona internetowa, Reklama internet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51958" name="Obraz 11" descr="Obraz zawierający tekst, zrzut ekranu, Strona internetowa, Reklama internetowa&#10;&#10;Opis wygenerowany automatyczni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779010" cy="2414270"/>
                    </a:xfrm>
                    <a:prstGeom prst="rect">
                      <a:avLst/>
                    </a:prstGeom>
                    <a:noFill/>
                  </pic:spPr>
                </pic:pic>
              </a:graphicData>
            </a:graphic>
            <wp14:sizeRelH relativeFrom="page">
              <wp14:pctWidth>0</wp14:pctWidth>
            </wp14:sizeRelH>
            <wp14:sizeRelV relativeFrom="page">
              <wp14:pctHeight>0</wp14:pctHeight>
            </wp14:sizeRelV>
          </wp:anchor>
        </w:drawing>
      </w:r>
    </w:p>
    <w:p w14:paraId="6B2DB2F8" w14:textId="77777777" w:rsidR="007963DB" w:rsidRPr="00F345F3" w:rsidRDefault="007963DB" w:rsidP="00027FC3">
      <w:pPr>
        <w:pStyle w:val="nrbrzegowy2"/>
        <w:ind w:left="0" w:hanging="851"/>
      </w:pPr>
      <w:r w:rsidRPr="00F345F3">
        <w:t>Czym zatem jest perowskit? To minerał zbudowany z tytanianu wapnia. W wyniku drobnej modyfikacji syntetyczny perowskit doskonale przewodzi prąd elektryczny, a zdolność pochłaniania światła przez ten minerał jest dużo lepsza w porównaniu z dotychczas stosowanym krzemem. Panele perowskitowe można drukować na elastycznej folii - tak samo jak można ją zadrukować przy użyciu atramentu.</w:t>
      </w:r>
    </w:p>
    <w:p w14:paraId="5337B520" w14:textId="77777777" w:rsidR="007963DB" w:rsidRPr="00F345F3" w:rsidRDefault="007963DB" w:rsidP="00027FC3">
      <w:pPr>
        <w:pStyle w:val="nrbrzegowy2"/>
        <w:ind w:left="0" w:hanging="851"/>
      </w:pPr>
      <w:r w:rsidRPr="00F345F3">
        <w:t xml:space="preserve">Kompozycja, którą nakłada się na folię, może mieć postać proszku, tuszu lub roztworu - w zależności od konkretnych potrzeb. </w:t>
      </w:r>
    </w:p>
    <w:p w14:paraId="1B2C6F29" w14:textId="77777777" w:rsidR="007963DB" w:rsidRPr="00F345F3" w:rsidRDefault="007963DB" w:rsidP="00027FC3">
      <w:pPr>
        <w:pStyle w:val="nrbrzegowy2"/>
        <w:ind w:left="0" w:hanging="851"/>
      </w:pPr>
      <w:r w:rsidRPr="00F345F3">
        <w:t xml:space="preserve">Zaletą takich farb </w:t>
      </w:r>
      <w:proofErr w:type="spellStart"/>
      <w:r w:rsidRPr="00F345F3">
        <w:t>fotoaktywnych</w:t>
      </w:r>
      <w:proofErr w:type="spellEnd"/>
      <w:r w:rsidRPr="00F345F3">
        <w:t xml:space="preserve"> jest to, że można je łatwo i tanio nanieść na podłoże. Farba drukowana jest na podłożu, a wybór techniki druku zależy od rodzaju podłoża i właściwości fizycznych farby, jak lepkość lub przyczepność atramentu. Folie </w:t>
      </w:r>
      <w:proofErr w:type="spellStart"/>
      <w:r w:rsidRPr="00F345F3">
        <w:t>fotoaktywne</w:t>
      </w:r>
      <w:proofErr w:type="spellEnd"/>
      <w:r w:rsidRPr="00F345F3">
        <w:t xml:space="preserve"> wykorzystuje się do produkcji ogniw fotowoltaicznych, czyli elementów półprzewodnikowych przetwarzających promieniowanie słoneczne na energię elektryczną.</w:t>
      </w:r>
    </w:p>
    <w:p w14:paraId="12B125E7" w14:textId="77777777" w:rsidR="007963DB" w:rsidRPr="00F345F3" w:rsidRDefault="007963DB" w:rsidP="00027FC3">
      <w:pPr>
        <w:pStyle w:val="nrbrzegowy2"/>
        <w:numPr>
          <w:ilvl w:val="0"/>
          <w:numId w:val="0"/>
        </w:numPr>
        <w:ind w:hanging="851"/>
        <w:rPr>
          <w:sz w:val="8"/>
          <w:szCs w:val="8"/>
        </w:rPr>
      </w:pPr>
    </w:p>
    <w:p w14:paraId="3107D6A0" w14:textId="77777777" w:rsidR="007963DB" w:rsidRPr="00F345F3" w:rsidRDefault="007963DB" w:rsidP="00027FC3">
      <w:pPr>
        <w:pStyle w:val="nrbrzegowy2"/>
        <w:ind w:left="0" w:hanging="851"/>
      </w:pPr>
      <w:r w:rsidRPr="00F345F3">
        <w:t>Na poniższym schemacie przedstawiono sposób wytwarzania takiej folii, gdzie kompozycję błonotwórczą nakłada się na podłoże 31 dowolną znaną techniką, na przykład w postaci tuszu wraz z rozpuszczalnikiem 32, przy użyciu techniki powlekania wirowego. Proces utwardzania folii polega na reakcji składników organicznych i nieorganicznych, w wyniku którego powstaje warstwa o strukturze perowskitu, w temperaturze od 100 do 150°C, w czasie od 10 do 20 minut.</w:t>
      </w:r>
    </w:p>
    <w:p w14:paraId="14C18B73" w14:textId="77777777" w:rsidR="007963DB" w:rsidRDefault="007963DB" w:rsidP="007963DB">
      <w:pPr>
        <w:spacing w:after="0" w:line="240" w:lineRule="auto"/>
        <w:jc w:val="both"/>
        <w:rPr>
          <w:bCs/>
        </w:rPr>
      </w:pPr>
      <w:r>
        <w:rPr>
          <w:noProof/>
        </w:rPr>
        <w:drawing>
          <wp:anchor distT="0" distB="0" distL="114300" distR="114300" simplePos="0" relativeHeight="252289024" behindDoc="0" locked="0" layoutInCell="1" allowOverlap="1" wp14:anchorId="698B3DC9" wp14:editId="19A6C354">
            <wp:simplePos x="0" y="0"/>
            <wp:positionH relativeFrom="column">
              <wp:posOffset>1024255</wp:posOffset>
            </wp:positionH>
            <wp:positionV relativeFrom="paragraph">
              <wp:posOffset>74930</wp:posOffset>
            </wp:positionV>
            <wp:extent cx="3729990" cy="1924050"/>
            <wp:effectExtent l="0" t="0" r="3810" b="0"/>
            <wp:wrapThrough wrapText="bothSides">
              <wp:wrapPolygon edited="0">
                <wp:start x="0" y="0"/>
                <wp:lineTo x="0" y="21386"/>
                <wp:lineTo x="21512" y="21386"/>
                <wp:lineTo x="21512" y="0"/>
                <wp:lineTo x="0" y="0"/>
              </wp:wrapPolygon>
            </wp:wrapThrough>
            <wp:docPr id="1798135246" name="Obraz 10" descr="Obraz zawierający szkic, diagram, lini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35246" name="Obraz 10" descr="Obraz zawierający szkic, diagram, linia, tekst&#10;&#10;Opis wygenerowany automatyczni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29990" cy="1924050"/>
                    </a:xfrm>
                    <a:prstGeom prst="rect">
                      <a:avLst/>
                    </a:prstGeom>
                    <a:noFill/>
                  </pic:spPr>
                </pic:pic>
              </a:graphicData>
            </a:graphic>
            <wp14:sizeRelH relativeFrom="margin">
              <wp14:pctWidth>0</wp14:pctWidth>
            </wp14:sizeRelH>
            <wp14:sizeRelV relativeFrom="margin">
              <wp14:pctHeight>0</wp14:pctHeight>
            </wp14:sizeRelV>
          </wp:anchor>
        </w:drawing>
      </w:r>
    </w:p>
    <w:p w14:paraId="600F6DA7" w14:textId="77777777" w:rsidR="007963DB" w:rsidRDefault="007963DB" w:rsidP="007963DB">
      <w:pPr>
        <w:spacing w:after="0" w:line="240" w:lineRule="auto"/>
        <w:jc w:val="both"/>
        <w:rPr>
          <w:bCs/>
        </w:rPr>
      </w:pPr>
    </w:p>
    <w:p w14:paraId="4AEE8652" w14:textId="77777777" w:rsidR="007963DB" w:rsidRDefault="007963DB" w:rsidP="007963DB">
      <w:pPr>
        <w:spacing w:after="0" w:line="240" w:lineRule="auto"/>
        <w:jc w:val="both"/>
        <w:rPr>
          <w:bCs/>
        </w:rPr>
      </w:pPr>
    </w:p>
    <w:p w14:paraId="3BA3CBC9" w14:textId="77777777" w:rsidR="007963DB" w:rsidRDefault="007963DB" w:rsidP="007963DB">
      <w:pPr>
        <w:spacing w:after="0" w:line="240" w:lineRule="auto"/>
        <w:jc w:val="both"/>
        <w:rPr>
          <w:bCs/>
        </w:rPr>
      </w:pPr>
    </w:p>
    <w:p w14:paraId="15CDA940" w14:textId="77777777" w:rsidR="007963DB" w:rsidRDefault="007963DB" w:rsidP="007963DB">
      <w:pPr>
        <w:spacing w:after="0" w:line="240" w:lineRule="auto"/>
        <w:jc w:val="both"/>
        <w:rPr>
          <w:bCs/>
        </w:rPr>
      </w:pPr>
    </w:p>
    <w:p w14:paraId="0DE2BDD1" w14:textId="77777777" w:rsidR="007963DB" w:rsidRDefault="007963DB" w:rsidP="007963DB">
      <w:pPr>
        <w:spacing w:after="0" w:line="240" w:lineRule="auto"/>
        <w:jc w:val="both"/>
        <w:rPr>
          <w:bCs/>
        </w:rPr>
      </w:pPr>
    </w:p>
    <w:p w14:paraId="4E98ABEE" w14:textId="77777777" w:rsidR="007963DB" w:rsidRDefault="007963DB" w:rsidP="007963DB">
      <w:pPr>
        <w:spacing w:after="0" w:line="240" w:lineRule="auto"/>
        <w:jc w:val="both"/>
        <w:rPr>
          <w:bCs/>
        </w:rPr>
      </w:pPr>
    </w:p>
    <w:p w14:paraId="52089B5B" w14:textId="77777777" w:rsidR="007963DB" w:rsidRDefault="007963DB" w:rsidP="007963DB">
      <w:pPr>
        <w:spacing w:after="0" w:line="240" w:lineRule="auto"/>
        <w:jc w:val="both"/>
        <w:rPr>
          <w:bCs/>
        </w:rPr>
      </w:pPr>
    </w:p>
    <w:p w14:paraId="2F3CE05B" w14:textId="77777777" w:rsidR="007963DB" w:rsidRDefault="007963DB" w:rsidP="007963DB">
      <w:pPr>
        <w:spacing w:after="0" w:line="240" w:lineRule="auto"/>
        <w:jc w:val="both"/>
        <w:rPr>
          <w:bCs/>
        </w:rPr>
      </w:pPr>
    </w:p>
    <w:p w14:paraId="4D77C4EC" w14:textId="77777777" w:rsidR="007963DB" w:rsidRDefault="007963DB" w:rsidP="007963DB">
      <w:pPr>
        <w:spacing w:after="0" w:line="240" w:lineRule="auto"/>
        <w:jc w:val="both"/>
        <w:rPr>
          <w:bCs/>
        </w:rPr>
      </w:pPr>
    </w:p>
    <w:p w14:paraId="06CA5E9D" w14:textId="77777777" w:rsidR="007963DB" w:rsidRDefault="007963DB" w:rsidP="007963DB">
      <w:pPr>
        <w:spacing w:after="0" w:line="240" w:lineRule="auto"/>
        <w:jc w:val="both"/>
        <w:rPr>
          <w:bCs/>
        </w:rPr>
      </w:pPr>
    </w:p>
    <w:p w14:paraId="1C9C6E73" w14:textId="77777777" w:rsidR="007963DB" w:rsidRDefault="007963DB" w:rsidP="007963DB">
      <w:pPr>
        <w:spacing w:after="0" w:line="240" w:lineRule="auto"/>
        <w:jc w:val="both"/>
        <w:rPr>
          <w:bCs/>
        </w:rPr>
      </w:pPr>
    </w:p>
    <w:p w14:paraId="6FC2FA64" w14:textId="77777777" w:rsidR="007963DB" w:rsidRDefault="007963DB" w:rsidP="007963DB">
      <w:pPr>
        <w:spacing w:after="0" w:line="240" w:lineRule="auto"/>
        <w:jc w:val="center"/>
        <w:rPr>
          <w:bCs/>
          <w:sz w:val="16"/>
          <w:lang w:val="en-US"/>
        </w:rPr>
      </w:pPr>
      <w:proofErr w:type="spellStart"/>
      <w:r>
        <w:rPr>
          <w:bCs/>
          <w:sz w:val="16"/>
          <w:lang w:val="en-US"/>
        </w:rPr>
        <w:t>Źródło</w:t>
      </w:r>
      <w:proofErr w:type="spellEnd"/>
      <w:r>
        <w:rPr>
          <w:bCs/>
          <w:sz w:val="16"/>
          <w:lang w:val="en-US"/>
        </w:rPr>
        <w:t>: EP3227394B1 A FILM-FORMING COMPOSTION AND A METHOD FOR MANUFACTURNIG A PHOTOACTIVE FILM</w:t>
      </w:r>
    </w:p>
    <w:p w14:paraId="1A49CD2A" w14:textId="77777777" w:rsidR="007963DB" w:rsidRPr="0034262F" w:rsidRDefault="007963DB" w:rsidP="007963DB">
      <w:pPr>
        <w:spacing w:after="0" w:line="240" w:lineRule="auto"/>
        <w:jc w:val="center"/>
        <w:rPr>
          <w:lang w:val="en-US"/>
        </w:rPr>
      </w:pPr>
    </w:p>
    <w:p w14:paraId="1C5078DC" w14:textId="77777777" w:rsidR="007963DB" w:rsidRDefault="007963DB" w:rsidP="007963DB">
      <w:pPr>
        <w:spacing w:after="0" w:line="240" w:lineRule="auto"/>
        <w:jc w:val="center"/>
      </w:pPr>
      <w:r>
        <w:rPr>
          <w:noProof/>
          <w:lang w:eastAsia="pl-PL"/>
        </w:rPr>
        <w:lastRenderedPageBreak/>
        <w:drawing>
          <wp:inline distT="0" distB="0" distL="0" distR="0" wp14:anchorId="0C2E95F8" wp14:editId="795F6EA4">
            <wp:extent cx="5650916" cy="3105150"/>
            <wp:effectExtent l="0" t="0" r="6985" b="0"/>
            <wp:docPr id="477879546" name="Obraz 9" descr="Obraz zawierający miejsce parkingowe/przestrzeń, jamochłony, stułbiopła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9" descr="Obraz zawierający miejsce parkingowe/przestrzeń, jamochłony, stułbiopławy&#10;&#10;Opis wygenerowany automatyczni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664062" cy="3112374"/>
                    </a:xfrm>
                    <a:prstGeom prst="rect">
                      <a:avLst/>
                    </a:prstGeom>
                    <a:noFill/>
                    <a:ln>
                      <a:noFill/>
                    </a:ln>
                  </pic:spPr>
                </pic:pic>
              </a:graphicData>
            </a:graphic>
          </wp:inline>
        </w:drawing>
      </w:r>
    </w:p>
    <w:p w14:paraId="771F51CA" w14:textId="77777777" w:rsidR="007963DB" w:rsidRDefault="007963DB" w:rsidP="00F345F3">
      <w:pPr>
        <w:spacing w:after="0" w:line="240" w:lineRule="auto"/>
      </w:pPr>
    </w:p>
    <w:p w14:paraId="0791A999" w14:textId="77777777" w:rsidR="007963DB" w:rsidRDefault="007963DB" w:rsidP="007963DB">
      <w:pPr>
        <w:spacing w:after="0" w:line="240" w:lineRule="auto"/>
        <w:jc w:val="both"/>
      </w:pPr>
      <w:r>
        <w:rPr>
          <w:noProof/>
          <w:lang w:eastAsia="pl-PL"/>
        </w:rPr>
        <w:drawing>
          <wp:inline distT="0" distB="0" distL="0" distR="0" wp14:anchorId="06119124" wp14:editId="6AF9CA0C">
            <wp:extent cx="5753100" cy="3238500"/>
            <wp:effectExtent l="0" t="0" r="0" b="0"/>
            <wp:docPr id="930227056" name="Obraz 8" descr="Obraz zawierający zrzut ekranu,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0" descr="Obraz zawierający zrzut ekranu, budynek&#10;&#10;Opis wygenerowany automatyczni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7A2405C1" w14:textId="77777777" w:rsidR="007963DB" w:rsidRDefault="007963DB" w:rsidP="007963DB">
      <w:pPr>
        <w:spacing w:after="0" w:line="240" w:lineRule="auto"/>
        <w:jc w:val="both"/>
      </w:pPr>
    </w:p>
    <w:p w14:paraId="52FDBFA3" w14:textId="77777777" w:rsidR="007963DB" w:rsidRDefault="007963DB" w:rsidP="007963DB">
      <w:pPr>
        <w:spacing w:after="0" w:line="240" w:lineRule="auto"/>
        <w:jc w:val="both"/>
      </w:pPr>
    </w:p>
    <w:p w14:paraId="6BADBA3C" w14:textId="77777777" w:rsidR="007963DB" w:rsidRDefault="007963DB" w:rsidP="007963DB">
      <w:pPr>
        <w:spacing w:after="0" w:line="240" w:lineRule="auto"/>
        <w:jc w:val="both"/>
      </w:pPr>
      <w:r>
        <w:rPr>
          <w:noProof/>
          <w:lang w:eastAsia="pl-PL"/>
        </w:rPr>
        <w:lastRenderedPageBreak/>
        <w:drawing>
          <wp:inline distT="0" distB="0" distL="0" distR="0" wp14:anchorId="0BC92280" wp14:editId="3E3D50F5">
            <wp:extent cx="5753100" cy="2943225"/>
            <wp:effectExtent l="0" t="0" r="0" b="9525"/>
            <wp:docPr id="1320240743" name="Obraz 7" descr="Obraz zawierający tekst, zrzut ekranu, komputer, multimed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1" descr="Obraz zawierający tekst, zrzut ekranu, komputer, multimedia&#10;&#10;Opis wygenerowany automatyczni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53100" cy="2943225"/>
                    </a:xfrm>
                    <a:prstGeom prst="rect">
                      <a:avLst/>
                    </a:prstGeom>
                    <a:noFill/>
                    <a:ln>
                      <a:noFill/>
                    </a:ln>
                  </pic:spPr>
                </pic:pic>
              </a:graphicData>
            </a:graphic>
          </wp:inline>
        </w:drawing>
      </w:r>
    </w:p>
    <w:p w14:paraId="02CE90D4" w14:textId="77777777" w:rsidR="007963DB" w:rsidRDefault="007963DB" w:rsidP="007963DB">
      <w:pPr>
        <w:spacing w:after="0" w:line="240" w:lineRule="auto"/>
        <w:jc w:val="both"/>
      </w:pPr>
    </w:p>
    <w:p w14:paraId="4996C066" w14:textId="77777777" w:rsidR="007963DB" w:rsidRDefault="007963DB" w:rsidP="007963DB">
      <w:pPr>
        <w:spacing w:after="0" w:line="240" w:lineRule="auto"/>
        <w:jc w:val="both"/>
      </w:pPr>
    </w:p>
    <w:p w14:paraId="375FE96A" w14:textId="77777777" w:rsidR="007963DB" w:rsidRDefault="007963DB" w:rsidP="007963DB">
      <w:pPr>
        <w:spacing w:after="0" w:line="240" w:lineRule="auto"/>
        <w:jc w:val="both"/>
      </w:pPr>
    </w:p>
    <w:p w14:paraId="758A689D" w14:textId="77777777" w:rsidR="007963DB" w:rsidRDefault="007963DB" w:rsidP="007963DB">
      <w:pPr>
        <w:spacing w:after="0" w:line="240" w:lineRule="auto"/>
        <w:jc w:val="both"/>
      </w:pPr>
    </w:p>
    <w:p w14:paraId="59DC3875" w14:textId="77777777" w:rsidR="007963DB" w:rsidRDefault="007963DB" w:rsidP="007963DB">
      <w:pPr>
        <w:spacing w:after="0" w:line="240" w:lineRule="auto"/>
        <w:jc w:val="both"/>
      </w:pPr>
    </w:p>
    <w:p w14:paraId="706ED038" w14:textId="77777777" w:rsidR="007963DB" w:rsidRDefault="007963DB" w:rsidP="007963DB">
      <w:pPr>
        <w:spacing w:after="0" w:line="240" w:lineRule="auto"/>
        <w:jc w:val="both"/>
      </w:pPr>
      <w:r>
        <w:rPr>
          <w:noProof/>
          <w:lang w:eastAsia="pl-PL"/>
        </w:rPr>
        <w:drawing>
          <wp:inline distT="0" distB="0" distL="0" distR="0" wp14:anchorId="51579348" wp14:editId="40C9F13F">
            <wp:extent cx="5753100" cy="3238500"/>
            <wp:effectExtent l="0" t="0" r="0" b="0"/>
            <wp:docPr id="2025168461" name="Obraz 6" descr="Obraz zawierający transport, satelita, statek kosmiczny, miejsce parkingowe/przestrze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2" descr="Obraz zawierający transport, satelita, statek kosmiczny, miejsce parkingowe/przestrzeń&#10;&#10;Opis wygenerowany automatyczni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6636EDE0" w14:textId="77777777" w:rsidR="007963DB" w:rsidRDefault="007963DB" w:rsidP="007963DB">
      <w:pPr>
        <w:spacing w:after="0" w:line="240" w:lineRule="auto"/>
        <w:jc w:val="both"/>
      </w:pPr>
    </w:p>
    <w:p w14:paraId="64509C30" w14:textId="77777777" w:rsidR="007963DB" w:rsidRDefault="007963DB" w:rsidP="007963DB">
      <w:pPr>
        <w:spacing w:after="0" w:line="240" w:lineRule="auto"/>
        <w:jc w:val="both"/>
      </w:pPr>
    </w:p>
    <w:p w14:paraId="0384DA46" w14:textId="77777777" w:rsidR="007963DB" w:rsidRDefault="007963DB" w:rsidP="007963DB">
      <w:pPr>
        <w:spacing w:after="0" w:line="240" w:lineRule="auto"/>
        <w:jc w:val="both"/>
      </w:pPr>
      <w:r>
        <w:rPr>
          <w:noProof/>
          <w:lang w:eastAsia="pl-PL"/>
        </w:rPr>
        <w:lastRenderedPageBreak/>
        <w:drawing>
          <wp:inline distT="0" distB="0" distL="0" distR="0" wp14:anchorId="26C07042" wp14:editId="3F9F6B1E">
            <wp:extent cx="5753100" cy="4171950"/>
            <wp:effectExtent l="0" t="0" r="0" b="0"/>
            <wp:docPr id="95903593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53100" cy="4171950"/>
                    </a:xfrm>
                    <a:prstGeom prst="rect">
                      <a:avLst/>
                    </a:prstGeom>
                    <a:noFill/>
                    <a:ln>
                      <a:noFill/>
                    </a:ln>
                  </pic:spPr>
                </pic:pic>
              </a:graphicData>
            </a:graphic>
          </wp:inline>
        </w:drawing>
      </w:r>
    </w:p>
    <w:p w14:paraId="1AB65412" w14:textId="77777777" w:rsidR="007963DB" w:rsidRDefault="007963DB" w:rsidP="007963DB">
      <w:pPr>
        <w:spacing w:after="0" w:line="240" w:lineRule="auto"/>
        <w:jc w:val="both"/>
      </w:pPr>
    </w:p>
    <w:p w14:paraId="5FC4098F" w14:textId="77777777" w:rsidR="007963DB" w:rsidRDefault="007963DB" w:rsidP="007963DB">
      <w:pPr>
        <w:spacing w:after="0" w:line="240" w:lineRule="auto"/>
        <w:jc w:val="center"/>
      </w:pPr>
      <w:r>
        <w:rPr>
          <w:noProof/>
          <w:lang w:eastAsia="pl-PL"/>
        </w:rPr>
        <w:drawing>
          <wp:inline distT="0" distB="0" distL="0" distR="0" wp14:anchorId="61DD4140" wp14:editId="5804875D">
            <wp:extent cx="5324475" cy="3562350"/>
            <wp:effectExtent l="0" t="0" r="9525" b="0"/>
            <wp:docPr id="1435436621" name="Obraz 4" descr="Obraz zawierający osoba, ubrania, Sprzęt medyczny,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4" descr="Obraz zawierający osoba, ubrania, Sprzęt medyczny, w pomieszczeniu&#10;&#10;Opis wygenerowany automatycznie"/>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324475" cy="3562350"/>
                    </a:xfrm>
                    <a:prstGeom prst="rect">
                      <a:avLst/>
                    </a:prstGeom>
                    <a:noFill/>
                    <a:ln>
                      <a:noFill/>
                    </a:ln>
                  </pic:spPr>
                </pic:pic>
              </a:graphicData>
            </a:graphic>
          </wp:inline>
        </w:drawing>
      </w:r>
    </w:p>
    <w:p w14:paraId="7EAF96AD" w14:textId="77777777" w:rsidR="007963DB" w:rsidRDefault="007963DB" w:rsidP="007963DB">
      <w:pPr>
        <w:spacing w:after="0" w:line="240" w:lineRule="auto"/>
        <w:jc w:val="center"/>
      </w:pPr>
    </w:p>
    <w:p w14:paraId="313461FC" w14:textId="77777777" w:rsidR="007963DB" w:rsidRDefault="007963DB" w:rsidP="007963DB">
      <w:pPr>
        <w:spacing w:after="0" w:line="240" w:lineRule="auto"/>
        <w:jc w:val="center"/>
      </w:pPr>
    </w:p>
    <w:p w14:paraId="419FD331" w14:textId="77777777" w:rsidR="007963DB" w:rsidRDefault="007963DB" w:rsidP="007963DB">
      <w:pPr>
        <w:spacing w:after="0" w:line="240" w:lineRule="auto"/>
        <w:jc w:val="center"/>
      </w:pPr>
      <w:r>
        <w:rPr>
          <w:noProof/>
          <w:lang w:eastAsia="pl-PL"/>
        </w:rPr>
        <w:lastRenderedPageBreak/>
        <w:drawing>
          <wp:inline distT="0" distB="0" distL="0" distR="0" wp14:anchorId="7A9D6161" wp14:editId="009479F5">
            <wp:extent cx="4267200" cy="3204196"/>
            <wp:effectExtent l="0" t="0" r="0" b="0"/>
            <wp:docPr id="1469020410" name="Obraz 3" descr="Obraz zawierający na wolnym powietrzu, niebo, architektura,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6" descr="Obraz zawierający na wolnym powietrzu, niebo, architektura, chmura&#10;&#10;Opis wygenerowany automatycznie"/>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277985" cy="3212295"/>
                    </a:xfrm>
                    <a:prstGeom prst="rect">
                      <a:avLst/>
                    </a:prstGeom>
                    <a:noFill/>
                    <a:ln>
                      <a:noFill/>
                    </a:ln>
                  </pic:spPr>
                </pic:pic>
              </a:graphicData>
            </a:graphic>
          </wp:inline>
        </w:drawing>
      </w:r>
    </w:p>
    <w:p w14:paraId="2B75E60E" w14:textId="77777777" w:rsidR="007963DB" w:rsidRDefault="007963DB" w:rsidP="007963DB">
      <w:pPr>
        <w:spacing w:after="0" w:line="240" w:lineRule="auto"/>
        <w:jc w:val="center"/>
      </w:pPr>
      <w:r>
        <w:rPr>
          <w:noProof/>
          <w:lang w:eastAsia="pl-PL"/>
        </w:rPr>
        <w:drawing>
          <wp:inline distT="0" distB="0" distL="0" distR="0" wp14:anchorId="5F46C152" wp14:editId="100CD999">
            <wp:extent cx="3893127" cy="5353050"/>
            <wp:effectExtent l="0" t="0" r="0" b="0"/>
            <wp:docPr id="1708402215" name="Obraz 2" descr="Obraz zawierający na wolnym powietrzu, roślina, światło, niebiesk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02215" name="Obraz 2" descr="Obraz zawierający na wolnym powietrzu, roślina, światło, niebieskie&#10;&#10;Opis wygenerowany automatyczni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896589" cy="5357810"/>
                    </a:xfrm>
                    <a:prstGeom prst="rect">
                      <a:avLst/>
                    </a:prstGeom>
                    <a:noFill/>
                    <a:ln>
                      <a:noFill/>
                    </a:ln>
                  </pic:spPr>
                </pic:pic>
              </a:graphicData>
            </a:graphic>
          </wp:inline>
        </w:drawing>
      </w:r>
    </w:p>
    <w:p w14:paraId="65076619" w14:textId="0A884547" w:rsidR="007963DB" w:rsidRDefault="007963DB" w:rsidP="007963DB">
      <w:pPr>
        <w:spacing w:after="0" w:line="240" w:lineRule="auto"/>
        <w:jc w:val="center"/>
      </w:pPr>
    </w:p>
    <w:p w14:paraId="67E4C411" w14:textId="77777777" w:rsidR="007963DB" w:rsidRDefault="007963DB" w:rsidP="007963DB">
      <w:pPr>
        <w:spacing w:after="0" w:line="240" w:lineRule="auto"/>
        <w:jc w:val="center"/>
      </w:pPr>
    </w:p>
    <w:p w14:paraId="70A72519" w14:textId="1EF1D401" w:rsidR="0037305F" w:rsidRPr="005D5AFB" w:rsidRDefault="0037305F" w:rsidP="007963DB">
      <w:pPr>
        <w:spacing w:after="0" w:line="240" w:lineRule="auto"/>
        <w:jc w:val="center"/>
      </w:pPr>
      <w:r>
        <w:t>* * *</w:t>
      </w:r>
    </w:p>
    <w:p w14:paraId="2DCFEC3E" w14:textId="2E81000F" w:rsidR="005D5AFB" w:rsidRPr="005D5AFB" w:rsidRDefault="005D5AFB" w:rsidP="007963DB">
      <w:pPr>
        <w:spacing w:after="0" w:line="240" w:lineRule="auto"/>
        <w:rPr>
          <w:b/>
          <w:bCs/>
          <w:sz w:val="24"/>
          <w:szCs w:val="24"/>
          <w:lang w:eastAsia="pl-PL"/>
        </w:rPr>
      </w:pPr>
      <w:bookmarkStart w:id="160" w:name="_Hlk169991214"/>
      <w:r w:rsidRPr="005D5AFB">
        <w:rPr>
          <w:b/>
          <w:bCs/>
          <w:sz w:val="24"/>
          <w:szCs w:val="24"/>
          <w:lang w:eastAsia="pl-PL"/>
        </w:rPr>
        <w:t>Elastyczne, perowskitowe panele fotowoltaiczne w elewacjach budynków + okna generujące prąd wynalezione i już produkowane w Polsce.</w:t>
      </w:r>
    </w:p>
    <w:p w14:paraId="4E42AB19" w14:textId="3EE9E3AB" w:rsidR="007963DB" w:rsidRPr="00027FC3" w:rsidRDefault="007963DB" w:rsidP="007963DB">
      <w:pPr>
        <w:spacing w:after="0" w:line="240" w:lineRule="auto"/>
        <w:rPr>
          <w:b/>
          <w:bCs/>
          <w:color w:val="2E74B5" w:themeColor="accent5" w:themeShade="BF"/>
          <w:sz w:val="24"/>
          <w:szCs w:val="24"/>
          <w:lang w:val="en-GB" w:eastAsia="pl-PL"/>
        </w:rPr>
      </w:pPr>
      <w:r w:rsidRPr="00027FC3">
        <w:rPr>
          <w:b/>
          <w:bCs/>
          <w:color w:val="2E74B5" w:themeColor="accent5" w:themeShade="BF"/>
          <w:sz w:val="24"/>
          <w:szCs w:val="24"/>
          <w:lang w:val="en-GB" w:eastAsia="pl-PL"/>
        </w:rPr>
        <w:t>Flexible, perovskite photovoltaic panels in building facades + power-generating windows invented and already produced in Poland.</w:t>
      </w:r>
    </w:p>
    <w:p w14:paraId="6EAABFA3" w14:textId="77777777" w:rsidR="007963DB" w:rsidRPr="00A47479" w:rsidRDefault="007963DB" w:rsidP="007963DB">
      <w:pPr>
        <w:spacing w:after="0" w:line="240" w:lineRule="auto"/>
        <w:rPr>
          <w:b/>
          <w:bCs/>
          <w:color w:val="0070C0"/>
          <w:sz w:val="10"/>
          <w:szCs w:val="10"/>
          <w:lang w:val="en-GB" w:eastAsia="pl-PL"/>
        </w:rPr>
      </w:pPr>
    </w:p>
    <w:p w14:paraId="4C403896" w14:textId="77777777" w:rsidR="004B36FD" w:rsidRDefault="005D5AFB" w:rsidP="00027FC3">
      <w:pPr>
        <w:pStyle w:val="nrbrzegowy2"/>
        <w:numPr>
          <w:ilvl w:val="0"/>
          <w:numId w:val="73"/>
        </w:numPr>
        <w:ind w:left="0" w:hanging="851"/>
      </w:pPr>
      <w:r w:rsidRPr="005D5AFB">
        <w:t>W ramach naszego przeglądu innowacyjnych rozwiązań zachęcamy do zapoznania się z profilem Olgi MALINKIEWICZ i polskiego start-</w:t>
      </w:r>
      <w:proofErr w:type="spellStart"/>
      <w:r w:rsidRPr="005D5AFB">
        <w:t>upu</w:t>
      </w:r>
      <w:proofErr w:type="spellEnd"/>
      <w:r w:rsidRPr="005D5AFB">
        <w:t xml:space="preserve"> </w:t>
      </w:r>
      <w:proofErr w:type="spellStart"/>
      <w:r w:rsidRPr="005D5AFB">
        <w:t>Saule</w:t>
      </w:r>
      <w:proofErr w:type="spellEnd"/>
      <w:r w:rsidRPr="005D5AFB">
        <w:t xml:space="preserve"> </w:t>
      </w:r>
      <w:proofErr w:type="spellStart"/>
      <w:r w:rsidRPr="005D5AFB">
        <w:t>Technologist</w:t>
      </w:r>
      <w:proofErr w:type="spellEnd"/>
      <w:r w:rsidRPr="005D5AFB">
        <w:t xml:space="preserve">, zajmującego się produkcją fotowoltaicznych ogniw </w:t>
      </w:r>
      <w:proofErr w:type="spellStart"/>
      <w:r w:rsidRPr="005D5AFB">
        <w:t>perowskitowych</w:t>
      </w:r>
      <w:proofErr w:type="spellEnd"/>
      <w:r w:rsidRPr="005D5AFB">
        <w:t>.</w:t>
      </w:r>
    </w:p>
    <w:p w14:paraId="632723C0" w14:textId="101EB896" w:rsidR="004B36FD" w:rsidRPr="00027FC3" w:rsidRDefault="007963DB" w:rsidP="00027FC3">
      <w:pPr>
        <w:pStyle w:val="nrbrzegowy2"/>
        <w:numPr>
          <w:ilvl w:val="0"/>
          <w:numId w:val="0"/>
        </w:numPr>
        <w:rPr>
          <w:color w:val="2E74B5" w:themeColor="accent5" w:themeShade="BF"/>
          <w:lang w:val="en-US"/>
        </w:rPr>
      </w:pPr>
      <w:r w:rsidRPr="00027FC3">
        <w:rPr>
          <w:color w:val="2E74B5" w:themeColor="accent5" w:themeShade="BF"/>
          <w:lang w:val="en-GB"/>
        </w:rPr>
        <w:t xml:space="preserve">As part of our review of innovative solutions, we encourage you to </w:t>
      </w:r>
      <w:proofErr w:type="gramStart"/>
      <w:r w:rsidRPr="00027FC3">
        <w:rPr>
          <w:color w:val="2E74B5" w:themeColor="accent5" w:themeShade="BF"/>
          <w:lang w:val="en-GB"/>
        </w:rPr>
        <w:t>take a look</w:t>
      </w:r>
      <w:proofErr w:type="gramEnd"/>
      <w:r w:rsidRPr="00027FC3">
        <w:rPr>
          <w:color w:val="2E74B5" w:themeColor="accent5" w:themeShade="BF"/>
          <w:lang w:val="en-GB"/>
        </w:rPr>
        <w:t xml:space="preserve"> at the profile of Olga MALINKIEWICZ and the Polish start-up Saule Technologist, which produces photovoltaic pero</w:t>
      </w:r>
      <w:r w:rsidR="00A47479" w:rsidRPr="00027FC3">
        <w:rPr>
          <w:color w:val="2E74B5" w:themeColor="accent5" w:themeShade="BF"/>
          <w:lang w:val="en-GB"/>
        </w:rPr>
        <w:t>v</w:t>
      </w:r>
      <w:r w:rsidRPr="00027FC3">
        <w:rPr>
          <w:color w:val="2E74B5" w:themeColor="accent5" w:themeShade="BF"/>
          <w:lang w:val="en-GB"/>
        </w:rPr>
        <w:t>skit</w:t>
      </w:r>
      <w:r w:rsidR="00A47479" w:rsidRPr="00027FC3">
        <w:rPr>
          <w:color w:val="2E74B5" w:themeColor="accent5" w:themeShade="BF"/>
          <w:lang w:val="en-GB"/>
        </w:rPr>
        <w:t xml:space="preserve">e </w:t>
      </w:r>
      <w:r w:rsidRPr="00027FC3">
        <w:rPr>
          <w:color w:val="2E74B5" w:themeColor="accent5" w:themeShade="BF"/>
          <w:lang w:val="en-GB"/>
        </w:rPr>
        <w:t>cells</w:t>
      </w:r>
      <w:r w:rsidR="00027FC3" w:rsidRPr="00027FC3">
        <w:rPr>
          <w:color w:val="2E74B5" w:themeColor="accent5" w:themeShade="BF"/>
          <w:lang w:val="en-GB"/>
        </w:rPr>
        <w:t>.</w:t>
      </w:r>
    </w:p>
    <w:p w14:paraId="73EFCF16" w14:textId="77777777" w:rsidR="004B36FD" w:rsidRDefault="005D5AFB" w:rsidP="00027FC3">
      <w:pPr>
        <w:pStyle w:val="nrbrzegowy2"/>
        <w:numPr>
          <w:ilvl w:val="0"/>
          <w:numId w:val="73"/>
        </w:numPr>
        <w:ind w:left="0" w:hanging="851"/>
      </w:pPr>
      <w:r w:rsidRPr="00977BF9">
        <w:t>Pomysł Olgi MALINKIEWICZ w magazynie Science (</w:t>
      </w:r>
      <w:proofErr w:type="spellStart"/>
      <w:r w:rsidRPr="00977BF9">
        <w:t>Science’s</w:t>
      </w:r>
      <w:proofErr w:type="spellEnd"/>
      <w:r w:rsidRPr="00977BF9">
        <w:t xml:space="preserve"> Top 10 </w:t>
      </w:r>
      <w:proofErr w:type="spellStart"/>
      <w:r w:rsidRPr="00977BF9">
        <w:t>Breakthroughs</w:t>
      </w:r>
      <w:proofErr w:type="spellEnd"/>
      <w:r w:rsidRPr="00977BF9">
        <w:t xml:space="preserve"> of 2013) oceniono jako jedno z największych odkryć w roku 2013.</w:t>
      </w:r>
    </w:p>
    <w:p w14:paraId="4AF9AF03" w14:textId="4976F708" w:rsidR="004B36FD" w:rsidRPr="00027FC3" w:rsidRDefault="005D5AFB" w:rsidP="00027FC3">
      <w:pPr>
        <w:pStyle w:val="nrbrzegowy2"/>
        <w:numPr>
          <w:ilvl w:val="0"/>
          <w:numId w:val="0"/>
        </w:numPr>
        <w:rPr>
          <w:color w:val="2E74B5" w:themeColor="accent5" w:themeShade="BF"/>
          <w:lang w:val="en-US"/>
        </w:rPr>
      </w:pPr>
      <w:r w:rsidRPr="00027FC3">
        <w:rPr>
          <w:color w:val="2E74B5" w:themeColor="accent5" w:themeShade="BF"/>
          <w:lang w:val="en-US"/>
        </w:rPr>
        <w:t xml:space="preserve">Olga MALINKIEWICZ's idea in </w:t>
      </w:r>
      <w:proofErr w:type="gramStart"/>
      <w:r w:rsidRPr="00027FC3">
        <w:rPr>
          <w:color w:val="2E74B5" w:themeColor="accent5" w:themeShade="BF"/>
          <w:lang w:val="en-US"/>
        </w:rPr>
        <w:t>Science</w:t>
      </w:r>
      <w:proofErr w:type="gramEnd"/>
      <w:r w:rsidRPr="00027FC3">
        <w:rPr>
          <w:color w:val="2E74B5" w:themeColor="accent5" w:themeShade="BF"/>
          <w:lang w:val="en-US"/>
        </w:rPr>
        <w:t xml:space="preserve"> magazine (10 most important breakthroughs in science in 2013) appeared as one of the disclosed discoveries in 2013.</w:t>
      </w:r>
    </w:p>
    <w:p w14:paraId="6E1BD3E8" w14:textId="77777777" w:rsidR="004B36FD" w:rsidRDefault="005D5AFB" w:rsidP="00027FC3">
      <w:pPr>
        <w:pStyle w:val="nrbrzegowy2"/>
        <w:numPr>
          <w:ilvl w:val="0"/>
          <w:numId w:val="73"/>
        </w:numPr>
        <w:ind w:left="0" w:hanging="851"/>
        <w:rPr>
          <w:rStyle w:val="Pogrubienie"/>
          <w:b w:val="0"/>
          <w:bCs/>
        </w:rPr>
      </w:pPr>
      <w:r w:rsidRPr="004B36FD">
        <w:rPr>
          <w:rStyle w:val="Pogrubienie"/>
          <w:rFonts w:asciiTheme="minorHAnsi" w:eastAsiaTheme="majorEastAsia" w:hAnsiTheme="minorHAnsi" w:cstheme="minorHAnsi"/>
        </w:rPr>
        <w:t xml:space="preserve">Link do strony internetowej producenta ogniw </w:t>
      </w:r>
      <w:proofErr w:type="spellStart"/>
      <w:r w:rsidRPr="004B36FD">
        <w:rPr>
          <w:rStyle w:val="Pogrubienie"/>
          <w:rFonts w:asciiTheme="minorHAnsi" w:eastAsiaTheme="majorEastAsia" w:hAnsiTheme="minorHAnsi" w:cstheme="minorHAnsi"/>
        </w:rPr>
        <w:t>perowskitowych</w:t>
      </w:r>
      <w:proofErr w:type="spellEnd"/>
      <w:r w:rsidRPr="004B36FD">
        <w:rPr>
          <w:rStyle w:val="Pogrubienie"/>
          <w:rFonts w:asciiTheme="minorHAnsi" w:eastAsiaTheme="majorEastAsia" w:hAnsiTheme="minorHAnsi" w:cstheme="minorHAnsi"/>
        </w:rPr>
        <w:t xml:space="preserve">, które są elastyczne, lżejsze i tańsze w produkcji niż tradycyjne ogniwa krzemowe, a które można drukować na oknach i tkaninach: </w:t>
      </w:r>
      <w:proofErr w:type="spellStart"/>
      <w:r w:rsidRPr="004B36FD">
        <w:rPr>
          <w:rStyle w:val="Pogrubienie"/>
          <w:rFonts w:asciiTheme="minorHAnsi" w:eastAsiaTheme="majorEastAsia" w:hAnsiTheme="minorHAnsi" w:cstheme="minorHAnsi"/>
        </w:rPr>
        <w:t>Saule</w:t>
      </w:r>
      <w:proofErr w:type="spellEnd"/>
      <w:r w:rsidRPr="004B36FD">
        <w:rPr>
          <w:rStyle w:val="Pogrubienie"/>
          <w:rFonts w:asciiTheme="minorHAnsi" w:eastAsiaTheme="majorEastAsia" w:hAnsiTheme="minorHAnsi" w:cstheme="minorHAnsi"/>
        </w:rPr>
        <w:t xml:space="preserve"> Technologies – </w:t>
      </w:r>
      <w:proofErr w:type="spellStart"/>
      <w:r w:rsidRPr="004B36FD">
        <w:rPr>
          <w:rStyle w:val="Pogrubienie"/>
          <w:rFonts w:asciiTheme="minorHAnsi" w:eastAsiaTheme="majorEastAsia" w:hAnsiTheme="minorHAnsi" w:cstheme="minorHAnsi"/>
        </w:rPr>
        <w:t>Inkjet-Printed</w:t>
      </w:r>
      <w:proofErr w:type="spellEnd"/>
      <w:r w:rsidRPr="004B36FD">
        <w:rPr>
          <w:rStyle w:val="Pogrubienie"/>
          <w:rFonts w:asciiTheme="minorHAnsi" w:eastAsiaTheme="majorEastAsia" w:hAnsiTheme="minorHAnsi" w:cstheme="minorHAnsi"/>
        </w:rPr>
        <w:t xml:space="preserve"> </w:t>
      </w:r>
      <w:proofErr w:type="spellStart"/>
      <w:r w:rsidRPr="004B36FD">
        <w:rPr>
          <w:rStyle w:val="Pogrubienie"/>
          <w:rFonts w:asciiTheme="minorHAnsi" w:eastAsiaTheme="majorEastAsia" w:hAnsiTheme="minorHAnsi" w:cstheme="minorHAnsi"/>
        </w:rPr>
        <w:t>Perovskite</w:t>
      </w:r>
      <w:proofErr w:type="spellEnd"/>
      <w:r w:rsidRPr="004B36FD">
        <w:rPr>
          <w:rStyle w:val="Pogrubienie"/>
          <w:rFonts w:asciiTheme="minorHAnsi" w:eastAsiaTheme="majorEastAsia" w:hAnsiTheme="minorHAnsi" w:cstheme="minorHAnsi"/>
        </w:rPr>
        <w:t xml:space="preserve"> Solar </w:t>
      </w:r>
      <w:proofErr w:type="spellStart"/>
      <w:r w:rsidRPr="004B36FD">
        <w:rPr>
          <w:rStyle w:val="Pogrubienie"/>
          <w:rFonts w:asciiTheme="minorHAnsi" w:eastAsiaTheme="majorEastAsia" w:hAnsiTheme="minorHAnsi" w:cstheme="minorHAnsi"/>
        </w:rPr>
        <w:t>Cells</w:t>
      </w:r>
      <w:proofErr w:type="spellEnd"/>
      <w:r w:rsidRPr="004B36FD">
        <w:rPr>
          <w:rStyle w:val="Pogrubienie"/>
          <w:rFonts w:asciiTheme="minorHAnsi" w:eastAsiaTheme="majorEastAsia" w:hAnsiTheme="minorHAnsi" w:cstheme="minorHAnsi"/>
        </w:rPr>
        <w:t>.</w:t>
      </w:r>
    </w:p>
    <w:p w14:paraId="172F5E49" w14:textId="708D0C40" w:rsidR="004B36FD" w:rsidRPr="00027FC3" w:rsidRDefault="007963DB" w:rsidP="00027FC3">
      <w:pPr>
        <w:pStyle w:val="nrbrzegowy2"/>
        <w:numPr>
          <w:ilvl w:val="0"/>
          <w:numId w:val="0"/>
        </w:numPr>
        <w:rPr>
          <w:color w:val="2E74B5" w:themeColor="accent5" w:themeShade="BF"/>
          <w:lang w:val="en-US"/>
        </w:rPr>
      </w:pPr>
      <w:r w:rsidRPr="00027FC3">
        <w:rPr>
          <w:rStyle w:val="Pogrubienie"/>
          <w:rFonts w:asciiTheme="minorHAnsi" w:eastAsiaTheme="majorEastAsia" w:hAnsiTheme="minorHAnsi" w:cstheme="minorHAnsi"/>
          <w:color w:val="2E74B5" w:themeColor="accent5" w:themeShade="BF"/>
          <w:lang w:val="en-GB"/>
        </w:rPr>
        <w:t xml:space="preserve">A link to the manufacturer’s website of perovskite cells, which are flexible, lighter, and cheaper to produce than traditional silicon cells, and can be printed on windows and fabrics: </w:t>
      </w:r>
      <w:hyperlink r:id="rId257" w:history="1">
        <w:r w:rsidRPr="00027FC3">
          <w:rPr>
            <w:rStyle w:val="Hipercze"/>
            <w:rFonts w:asciiTheme="minorHAnsi" w:eastAsiaTheme="majorEastAsia" w:hAnsiTheme="minorHAnsi" w:cstheme="minorHAnsi"/>
            <w:color w:val="2E74B5" w:themeColor="accent5" w:themeShade="BF"/>
            <w:lang w:val="en-GB"/>
          </w:rPr>
          <w:t>Saule Technologies – Inkjet-Printed Perovskite Solar Cells</w:t>
        </w:r>
      </w:hyperlink>
      <w:r w:rsidRPr="00027FC3">
        <w:rPr>
          <w:rFonts w:asciiTheme="minorHAnsi" w:hAnsiTheme="minorHAnsi" w:cstheme="minorHAnsi"/>
          <w:color w:val="2E74B5" w:themeColor="accent5" w:themeShade="BF"/>
          <w:lang w:val="en-GB"/>
        </w:rPr>
        <w:t xml:space="preserve"> .</w:t>
      </w:r>
    </w:p>
    <w:p w14:paraId="6A3E272C" w14:textId="77777777" w:rsidR="004B36FD" w:rsidRPr="0034262F" w:rsidRDefault="004B36FD" w:rsidP="00027FC3">
      <w:pPr>
        <w:pStyle w:val="nrbrzegowy2"/>
        <w:numPr>
          <w:ilvl w:val="0"/>
          <w:numId w:val="73"/>
        </w:numPr>
        <w:ind w:left="0" w:hanging="851"/>
      </w:pPr>
      <w:r w:rsidRPr="0034262F">
        <w:rPr>
          <w:rStyle w:val="Pogrubienie"/>
          <w:rFonts w:asciiTheme="minorHAnsi" w:eastAsiaTheme="majorEastAsia" w:hAnsiTheme="minorHAnsi" w:cstheme="minorHAnsi"/>
          <w:b w:val="0"/>
        </w:rPr>
        <w:t>Link do filmu prezentującego produkcyjne i ekonomiczne aspekty wynalazku:</w:t>
      </w:r>
      <w:r w:rsidRPr="0034262F">
        <w:t xml:space="preserve"> </w:t>
      </w:r>
    </w:p>
    <w:p w14:paraId="72285BF1" w14:textId="28A3685C" w:rsidR="004B36FD" w:rsidRPr="00027FC3" w:rsidRDefault="00B82931" w:rsidP="00027FC3">
      <w:pPr>
        <w:pStyle w:val="nrbrzegowy2"/>
        <w:numPr>
          <w:ilvl w:val="0"/>
          <w:numId w:val="0"/>
        </w:numPr>
        <w:rPr>
          <w:color w:val="2E74B5" w:themeColor="accent5" w:themeShade="BF"/>
        </w:rPr>
      </w:pPr>
      <w:hyperlink r:id="rId258" w:history="1">
        <w:r w:rsidR="00027FC3" w:rsidRPr="00027FC3">
          <w:rPr>
            <w:rStyle w:val="Hipercze"/>
            <w:rFonts w:cstheme="minorHAnsi"/>
            <w:color w:val="2E74B5" w:themeColor="accent5" w:themeShade="BF"/>
            <w:szCs w:val="24"/>
          </w:rPr>
          <w:t>https://www.youtube.com/watch?v=bWqMSbKH0kY</w:t>
        </w:r>
      </w:hyperlink>
      <w:r w:rsidR="004B36FD" w:rsidRPr="00027FC3">
        <w:rPr>
          <w:rFonts w:cstheme="minorHAnsi"/>
          <w:color w:val="2E74B5" w:themeColor="accent5" w:themeShade="BF"/>
        </w:rPr>
        <w:t xml:space="preserve"> .</w:t>
      </w:r>
    </w:p>
    <w:p w14:paraId="56317B44" w14:textId="2F1C42DF" w:rsidR="007963DB" w:rsidRPr="00027FC3" w:rsidRDefault="007963DB" w:rsidP="00027FC3">
      <w:pPr>
        <w:pStyle w:val="nrbrzegowy2"/>
        <w:numPr>
          <w:ilvl w:val="0"/>
          <w:numId w:val="0"/>
        </w:numPr>
        <w:rPr>
          <w:color w:val="2E74B5" w:themeColor="accent5" w:themeShade="BF"/>
          <w:lang w:val="en-US"/>
        </w:rPr>
      </w:pPr>
      <w:r w:rsidRPr="00027FC3">
        <w:rPr>
          <w:rStyle w:val="Pogrubienie"/>
          <w:rFonts w:cstheme="minorHAnsi"/>
          <w:color w:val="2E74B5" w:themeColor="accent5" w:themeShade="BF"/>
          <w:szCs w:val="24"/>
          <w:lang w:val="en-GB"/>
        </w:rPr>
        <w:t xml:space="preserve">Link to the video presenting the production and economic aspects of the invention: </w:t>
      </w:r>
      <w:hyperlink r:id="rId259" w:history="1">
        <w:r w:rsidRPr="00027FC3">
          <w:rPr>
            <w:rStyle w:val="Hipercze"/>
            <w:rFonts w:cstheme="minorHAnsi"/>
            <w:color w:val="2E74B5" w:themeColor="accent5" w:themeShade="BF"/>
            <w:szCs w:val="24"/>
            <w:lang w:val="en-GB"/>
          </w:rPr>
          <w:t>https://www.youtube.com/watch?v=bWqMSbKH0kY</w:t>
        </w:r>
      </w:hyperlink>
      <w:r w:rsidRPr="00027FC3">
        <w:rPr>
          <w:rFonts w:cstheme="minorHAnsi"/>
          <w:color w:val="2E74B5" w:themeColor="accent5" w:themeShade="BF"/>
          <w:lang w:val="en-GB"/>
        </w:rPr>
        <w:t xml:space="preserve"> .</w:t>
      </w:r>
    </w:p>
    <w:bookmarkEnd w:id="160"/>
    <w:p w14:paraId="4352C60E" w14:textId="77777777" w:rsidR="007963DB"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lang w:val="en-GB"/>
        </w:rPr>
      </w:pPr>
    </w:p>
    <w:p w14:paraId="0D4A2BD0" w14:textId="0D9ECEC5" w:rsidR="007963DB" w:rsidRDefault="005D5AF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lang w:val="en-GB"/>
        </w:rPr>
      </w:pPr>
      <w:r>
        <w:rPr>
          <w:noProof/>
        </w:rPr>
        <w:drawing>
          <wp:inline distT="0" distB="0" distL="0" distR="0" wp14:anchorId="206F23A7" wp14:editId="62B77578">
            <wp:extent cx="5753100" cy="3209925"/>
            <wp:effectExtent l="0" t="0" r="0" b="9525"/>
            <wp:docPr id="1713542111" name="Obraz 1" descr="Obraz zawierający tekst, zrzut ekranu, design, wizyt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9" descr="Obraz zawierający tekst, zrzut ekranu, design, wizytówka&#10;&#10;Opis wygenerowany automatyczni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53100" cy="3209925"/>
                    </a:xfrm>
                    <a:prstGeom prst="rect">
                      <a:avLst/>
                    </a:prstGeom>
                    <a:noFill/>
                    <a:ln>
                      <a:noFill/>
                    </a:ln>
                  </pic:spPr>
                </pic:pic>
              </a:graphicData>
            </a:graphic>
          </wp:inline>
        </w:drawing>
      </w:r>
    </w:p>
    <w:p w14:paraId="41278D6B" w14:textId="769E28D8" w:rsidR="007963DB" w:rsidRPr="0037305F" w:rsidRDefault="0037305F"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r w:rsidRPr="0037305F">
        <w:rPr>
          <w:rFonts w:ascii="Calibri" w:hAnsi="Calibri" w:cs="Calibri"/>
          <w:color w:val="0070C0"/>
        </w:rPr>
        <w:t xml:space="preserve">Źródło: Wyborcza.pl </w:t>
      </w:r>
      <w:hyperlink r:id="rId261" w:anchor="vhid=SN2r4YywueDXbM&amp;vssid=mosaic" w:history="1">
        <w:r w:rsidRPr="0037305F">
          <w:rPr>
            <w:rStyle w:val="Hipercze"/>
            <w:rFonts w:cstheme="minorHAnsi"/>
            <w:color w:val="0070C0"/>
          </w:rPr>
          <w:t>https://www.google.com/search?sca_esv=7a948dcc7f52f97d&amp;sca_upv=1&amp;q=olga+malinkiewicz&amp;uds=ADvngMgNG4qWEcyOv6mZ7d9R1NXinYLL-SWxNyVhgzICmSJE-</w:t>
        </w:r>
        <w:r w:rsidRPr="0037305F">
          <w:rPr>
            <w:rStyle w:val="Hipercze"/>
            <w:rFonts w:cstheme="minorHAnsi"/>
            <w:color w:val="0070C0"/>
          </w:rPr>
          <w:lastRenderedPageBreak/>
          <w:t>T2a7IL27FUjOiUoFJiZWmVptxrQhTmOmAHW_EJsL5MXCQVBZkc7hiKmiYTfQNlhzy-hFToGxy3yhhLp3feTBqsbnhjaGXWbLrNUiBERKgjTI4ujAFu2na0kVrVK4fToXH47RBnRwPG_8ISCBK6ZIVCOycE5vae3SFqEybZuptMsth0m5_h5HeqgPESVIe4VKrBkOtENsOcCe_3W9NayjXIGdVFrfw_SVvRdp53o8bya30Arsah2yleGuYmctJb-FIjOryw&amp;udm=2&amp;prmd=ivnbz&amp;sa=X&amp;ved=2ahUKEwjDy8ihs8eGAxUwMRAIHVkYEy0QtKgLegQIDRAB&amp;biw=1152&amp;bih=612&amp;dpr=1.25#vhid=SN2r4YywueDXbM&amp;vssid=mosaic</w:t>
        </w:r>
      </w:hyperlink>
      <w:r w:rsidRPr="0037305F">
        <w:rPr>
          <w:rFonts w:cstheme="minorHAnsi"/>
          <w:color w:val="0070C0"/>
        </w:rPr>
        <w:t xml:space="preserve"> </w:t>
      </w:r>
      <w:r w:rsidRPr="0037305F">
        <w:rPr>
          <w:rFonts w:cstheme="minorHAnsi"/>
          <w:b/>
          <w:bCs/>
          <w:color w:val="0070C0"/>
        </w:rPr>
        <w:t>:</w:t>
      </w:r>
    </w:p>
    <w:p w14:paraId="1E93094B" w14:textId="77777777" w:rsidR="00AD25B4" w:rsidRDefault="00AD25B4" w:rsidP="00AD25B4">
      <w:pPr>
        <w:spacing w:after="0" w:line="240" w:lineRule="auto"/>
        <w:jc w:val="center"/>
        <w:rPr>
          <w:b/>
          <w:bCs/>
          <w:kern w:val="0"/>
          <w:sz w:val="24"/>
          <w:szCs w:val="24"/>
        </w:rPr>
      </w:pPr>
    </w:p>
    <w:p w14:paraId="461FDD1B" w14:textId="345AE86A" w:rsidR="00AD25B4" w:rsidRDefault="00AD25B4" w:rsidP="00AD25B4">
      <w:pPr>
        <w:spacing w:after="0" w:line="240" w:lineRule="auto"/>
        <w:jc w:val="center"/>
        <w:rPr>
          <w:b/>
          <w:bCs/>
          <w:kern w:val="0"/>
          <w:sz w:val="24"/>
          <w:szCs w:val="24"/>
        </w:rPr>
      </w:pPr>
      <w:r>
        <w:rPr>
          <w:b/>
          <w:bCs/>
          <w:kern w:val="0"/>
          <w:sz w:val="24"/>
          <w:szCs w:val="24"/>
        </w:rPr>
        <w:t>* * *</w:t>
      </w:r>
    </w:p>
    <w:p w14:paraId="6BFE3642" w14:textId="63C59F1E" w:rsidR="00AD25B4" w:rsidRDefault="00AD25B4" w:rsidP="0037305F">
      <w:pPr>
        <w:spacing w:after="0" w:line="240" w:lineRule="auto"/>
        <w:rPr>
          <w:b/>
          <w:bCs/>
          <w:kern w:val="0"/>
          <w:sz w:val="24"/>
          <w:szCs w:val="24"/>
        </w:rPr>
      </w:pPr>
      <w:r>
        <w:rPr>
          <w:b/>
          <w:bCs/>
          <w:kern w:val="0"/>
          <w:sz w:val="24"/>
          <w:szCs w:val="24"/>
        </w:rPr>
        <w:t>Krótki wyciąg:</w:t>
      </w:r>
    </w:p>
    <w:p w14:paraId="3C4A9C1A" w14:textId="77777777" w:rsidR="00D46663" w:rsidRDefault="00D46663" w:rsidP="00D46663">
      <w:pPr>
        <w:rPr>
          <w:rFonts w:cstheme="minorHAnsi"/>
        </w:rPr>
      </w:pPr>
      <w:r>
        <w:rPr>
          <w:rStyle w:val="Pogrubienie"/>
          <w:rFonts w:eastAsiaTheme="majorEastAsia" w:cstheme="minorHAnsi"/>
        </w:rPr>
        <w:t>W ramach przeglądu innowacyjnych rozwiązań</w:t>
      </w:r>
      <w:r>
        <w:rPr>
          <w:rFonts w:cstheme="minorHAnsi"/>
        </w:rPr>
        <w:t xml:space="preserve"> zachęcamy do zapoznania się z sylwetką Olgi MALINKIEWICZ i </w:t>
      </w:r>
      <w:r w:rsidRPr="007C6BC3">
        <w:rPr>
          <w:rFonts w:cstheme="minorHAnsi"/>
        </w:rPr>
        <w:t>pomysłem</w:t>
      </w:r>
      <w:r>
        <w:rPr>
          <w:rFonts w:cstheme="minorHAnsi"/>
        </w:rPr>
        <w:t xml:space="preserve">, w wyniku którego powstają ogniwa perowskitowe, a także komentarzem, w którym przybliżany został nam ten nadzwyczaj ciekawy temat. </w:t>
      </w:r>
    </w:p>
    <w:p w14:paraId="15535EA0" w14:textId="48E72EEE" w:rsidR="00D46663" w:rsidRPr="00B546B6" w:rsidRDefault="00D46663" w:rsidP="00B546B6">
      <w:pPr>
        <w:jc w:val="both"/>
        <w:rPr>
          <w:rStyle w:val="related--image-author"/>
          <w:rFonts w:eastAsiaTheme="majorEastAsia" w:cstheme="minorHAnsi"/>
          <w:color w:val="484848"/>
          <w:sz w:val="24"/>
          <w:szCs w:val="24"/>
          <w:bdr w:val="none" w:sz="0" w:space="0" w:color="auto" w:frame="1"/>
          <w:shd w:val="clear" w:color="auto" w:fill="FFFFFF"/>
        </w:rPr>
      </w:pPr>
      <w:r w:rsidRPr="00B546B6">
        <w:rPr>
          <w:rStyle w:val="related--image-title"/>
          <w:rFonts w:eastAsiaTheme="majorEastAsia" w:cstheme="minorHAnsi"/>
          <w:b/>
          <w:bCs/>
          <w:color w:val="484848"/>
          <w:sz w:val="24"/>
          <w:szCs w:val="24"/>
          <w:bdr w:val="none" w:sz="0" w:space="0" w:color="auto" w:frame="1"/>
          <w:shd w:val="clear" w:color="auto" w:fill="FFFFFF"/>
        </w:rPr>
        <w:t xml:space="preserve">Dr Olga </w:t>
      </w:r>
      <w:proofErr w:type="spellStart"/>
      <w:r w:rsidRPr="00B546B6">
        <w:rPr>
          <w:rStyle w:val="related--image-title"/>
          <w:rFonts w:eastAsiaTheme="majorEastAsia" w:cstheme="minorHAnsi"/>
          <w:b/>
          <w:bCs/>
          <w:color w:val="484848"/>
          <w:sz w:val="24"/>
          <w:szCs w:val="24"/>
          <w:bdr w:val="none" w:sz="0" w:space="0" w:color="auto" w:frame="1"/>
          <w:shd w:val="clear" w:color="auto" w:fill="FFFFFF"/>
        </w:rPr>
        <w:t>Malinkiewicz</w:t>
      </w:r>
      <w:proofErr w:type="spellEnd"/>
      <w:r w:rsidRPr="00B546B6">
        <w:rPr>
          <w:rStyle w:val="related--image-title"/>
          <w:rFonts w:eastAsiaTheme="majorEastAsia" w:cstheme="minorHAnsi"/>
          <w:b/>
          <w:bCs/>
          <w:color w:val="484848"/>
          <w:sz w:val="24"/>
          <w:szCs w:val="24"/>
          <w:bdr w:val="none" w:sz="0" w:space="0" w:color="auto" w:frame="1"/>
          <w:shd w:val="clear" w:color="auto" w:fill="FFFFFF"/>
        </w:rPr>
        <w:t xml:space="preserve"> wynalazła rewolucyjną metodę wytwarzania ogniw słonecznych</w:t>
      </w:r>
      <w:r w:rsidRPr="00B546B6">
        <w:rPr>
          <w:rFonts w:cstheme="minorHAnsi"/>
          <w:b/>
          <w:bCs/>
          <w:color w:val="484848"/>
          <w:sz w:val="24"/>
          <w:szCs w:val="24"/>
          <w:shd w:val="clear" w:color="auto" w:fill="FFFFFF"/>
        </w:rPr>
        <w:t> </w:t>
      </w:r>
      <w:r w:rsidRPr="00B546B6">
        <w:rPr>
          <w:rStyle w:val="related--image-author"/>
          <w:rFonts w:eastAsiaTheme="majorEastAsia" w:cstheme="minorHAnsi"/>
          <w:color w:val="484848"/>
          <w:sz w:val="24"/>
          <w:szCs w:val="24"/>
          <w:bdr w:val="none" w:sz="0" w:space="0" w:color="auto" w:frame="1"/>
          <w:shd w:val="clear" w:color="auto" w:fill="FFFFFF"/>
        </w:rPr>
        <w:t>(</w:t>
      </w:r>
      <w:r w:rsidR="00B546B6">
        <w:rPr>
          <w:rStyle w:val="related--image-author"/>
          <w:rFonts w:eastAsiaTheme="majorEastAsia" w:cstheme="minorHAnsi"/>
          <w:color w:val="484848"/>
          <w:sz w:val="24"/>
          <w:szCs w:val="24"/>
          <w:bdr w:val="none" w:sz="0" w:space="0" w:color="auto" w:frame="1"/>
          <w:shd w:val="clear" w:color="auto" w:fill="FFFFFF"/>
        </w:rPr>
        <w:t xml:space="preserve">opisuje je </w:t>
      </w:r>
      <w:proofErr w:type="spellStart"/>
      <w:r w:rsidRPr="00B546B6">
        <w:rPr>
          <w:rStyle w:val="related--image-author"/>
          <w:rFonts w:eastAsiaTheme="majorEastAsia" w:cstheme="minorHAnsi"/>
          <w:color w:val="484848"/>
          <w:sz w:val="24"/>
          <w:szCs w:val="24"/>
          <w:bdr w:val="none" w:sz="0" w:space="0" w:color="auto" w:frame="1"/>
          <w:shd w:val="clear" w:color="auto" w:fill="FFFFFF"/>
        </w:rPr>
        <w:t>National</w:t>
      </w:r>
      <w:proofErr w:type="spellEnd"/>
      <w:r w:rsidRPr="00B546B6">
        <w:rPr>
          <w:rStyle w:val="related--image-author"/>
          <w:rFonts w:eastAsiaTheme="majorEastAsia" w:cstheme="minorHAnsi"/>
          <w:color w:val="484848"/>
          <w:sz w:val="24"/>
          <w:szCs w:val="24"/>
          <w:bdr w:val="none" w:sz="0" w:space="0" w:color="auto" w:frame="1"/>
          <w:shd w:val="clear" w:color="auto" w:fill="FFFFFF"/>
        </w:rPr>
        <w:t xml:space="preserve"> </w:t>
      </w:r>
      <w:proofErr w:type="spellStart"/>
      <w:r w:rsidRPr="00B546B6">
        <w:rPr>
          <w:rStyle w:val="related--image-author"/>
          <w:rFonts w:eastAsiaTheme="majorEastAsia" w:cstheme="minorHAnsi"/>
          <w:color w:val="484848"/>
          <w:sz w:val="24"/>
          <w:szCs w:val="24"/>
          <w:bdr w:val="none" w:sz="0" w:space="0" w:color="auto" w:frame="1"/>
          <w:shd w:val="clear" w:color="auto" w:fill="FFFFFF"/>
        </w:rPr>
        <w:t>Geographic</w:t>
      </w:r>
      <w:proofErr w:type="spellEnd"/>
      <w:r w:rsidRPr="00B546B6">
        <w:rPr>
          <w:rStyle w:val="related--image-author"/>
          <w:rFonts w:eastAsiaTheme="majorEastAsia" w:cstheme="minorHAnsi"/>
          <w:color w:val="484848"/>
          <w:sz w:val="24"/>
          <w:szCs w:val="24"/>
          <w:bdr w:val="none" w:sz="0" w:space="0" w:color="auto" w:frame="1"/>
          <w:shd w:val="clear" w:color="auto" w:fill="FFFFFF"/>
        </w:rPr>
        <w:t>)</w:t>
      </w:r>
    </w:p>
    <w:p w14:paraId="79CA0F10" w14:textId="77777777" w:rsidR="00A5638E" w:rsidRPr="00977BF9" w:rsidRDefault="00A5638E" w:rsidP="00A5638E">
      <w:pPr>
        <w:shd w:val="clear" w:color="auto" w:fill="FFFFFF" w:themeFill="background1"/>
        <w:spacing w:after="0" w:line="240" w:lineRule="auto"/>
        <w:jc w:val="both"/>
        <w:rPr>
          <w:sz w:val="24"/>
          <w:szCs w:val="24"/>
        </w:rPr>
      </w:pPr>
      <w:r w:rsidRPr="00977BF9">
        <w:rPr>
          <w:sz w:val="24"/>
          <w:szCs w:val="24"/>
        </w:rPr>
        <w:t xml:space="preserve">Olga MALINKIEWICZ - polska </w:t>
      </w:r>
      <w:proofErr w:type="spellStart"/>
      <w:r w:rsidRPr="00977BF9">
        <w:rPr>
          <w:sz w:val="24"/>
          <w:szCs w:val="24"/>
        </w:rPr>
        <w:t>naukowczyni</w:t>
      </w:r>
      <w:proofErr w:type="spellEnd"/>
      <w:r w:rsidRPr="00977BF9">
        <w:rPr>
          <w:sz w:val="24"/>
          <w:szCs w:val="24"/>
        </w:rPr>
        <w:t xml:space="preserve"> opowiada tu o swojej firmie </w:t>
      </w:r>
      <w:proofErr w:type="spellStart"/>
      <w:r w:rsidRPr="00977BF9">
        <w:rPr>
          <w:sz w:val="24"/>
          <w:szCs w:val="24"/>
        </w:rPr>
        <w:t>Saule</w:t>
      </w:r>
      <w:proofErr w:type="spellEnd"/>
      <w:r w:rsidRPr="00977BF9">
        <w:rPr>
          <w:sz w:val="24"/>
          <w:szCs w:val="24"/>
        </w:rPr>
        <w:t xml:space="preserve"> </w:t>
      </w:r>
      <w:proofErr w:type="spellStart"/>
      <w:r w:rsidRPr="00977BF9">
        <w:rPr>
          <w:sz w:val="24"/>
          <w:szCs w:val="24"/>
        </w:rPr>
        <w:t>Technologist</w:t>
      </w:r>
      <w:proofErr w:type="spellEnd"/>
      <w:r w:rsidRPr="00977BF9">
        <w:rPr>
          <w:sz w:val="24"/>
          <w:szCs w:val="24"/>
        </w:rPr>
        <w:t xml:space="preserve">, jedynej takiej linii produkcyjnej na świecie i wynalazku ogniw </w:t>
      </w:r>
      <w:proofErr w:type="spellStart"/>
      <w:r w:rsidRPr="00977BF9">
        <w:rPr>
          <w:sz w:val="24"/>
          <w:szCs w:val="24"/>
        </w:rPr>
        <w:t>perowskitowych</w:t>
      </w:r>
      <w:proofErr w:type="spellEnd"/>
      <w:r w:rsidRPr="00977BF9">
        <w:rPr>
          <w:sz w:val="24"/>
          <w:szCs w:val="24"/>
        </w:rPr>
        <w:t xml:space="preserve"> - lekkich, elastycznych, odpornych na warunki atmosferyczne, dających się zastosować na najróżniejszych </w:t>
      </w:r>
      <w:proofErr w:type="gramStart"/>
      <w:r w:rsidRPr="00977BF9">
        <w:rPr>
          <w:sz w:val="24"/>
          <w:szCs w:val="24"/>
        </w:rPr>
        <w:t>materiałach,  o</w:t>
      </w:r>
      <w:proofErr w:type="gramEnd"/>
      <w:r w:rsidRPr="00977BF9">
        <w:rPr>
          <w:sz w:val="24"/>
          <w:szCs w:val="24"/>
        </w:rPr>
        <w:t xml:space="preserve"> niskim koszcie produkcji i niższym śladzie węglowym produkcji, do tego działających też przy sztucznym oświetleniu.</w:t>
      </w:r>
    </w:p>
    <w:p w14:paraId="57B0BEF0" w14:textId="77777777" w:rsidR="00A5638E" w:rsidRPr="00977BF9" w:rsidRDefault="00A5638E" w:rsidP="00A5638E">
      <w:pPr>
        <w:shd w:val="clear" w:color="auto" w:fill="FFFFFF" w:themeFill="background1"/>
        <w:spacing w:after="0" w:line="240" w:lineRule="auto"/>
        <w:jc w:val="both"/>
        <w:rPr>
          <w:sz w:val="24"/>
          <w:szCs w:val="24"/>
        </w:rPr>
      </w:pPr>
      <w:r w:rsidRPr="00977BF9">
        <w:rPr>
          <w:sz w:val="24"/>
          <w:szCs w:val="24"/>
        </w:rPr>
        <w:t xml:space="preserve">Potencjał zastosowania takich paneli jest ogromny, również w kosmosie - są bardziej odporne na panujące w nim warunki, a koszt wyniesienia ich na orbitę jest znacznie niższy niż w przypadku ogniw krzemowych. </w:t>
      </w:r>
    </w:p>
    <w:p w14:paraId="3299ED35" w14:textId="77777777" w:rsidR="00A5638E" w:rsidRDefault="00A5638E" w:rsidP="00A5638E">
      <w:pPr>
        <w:spacing w:after="0" w:line="240" w:lineRule="auto"/>
        <w:jc w:val="both"/>
        <w:rPr>
          <w:sz w:val="24"/>
          <w:szCs w:val="24"/>
        </w:rPr>
      </w:pPr>
      <w:r w:rsidRPr="00977BF9">
        <w:rPr>
          <w:sz w:val="24"/>
          <w:szCs w:val="24"/>
        </w:rPr>
        <w:t>Pomysł Olgi MALINKIEWICZ w magazynie Science (</w:t>
      </w:r>
      <w:proofErr w:type="spellStart"/>
      <w:r w:rsidRPr="00977BF9">
        <w:rPr>
          <w:sz w:val="24"/>
          <w:szCs w:val="24"/>
        </w:rPr>
        <w:t>Science’s</w:t>
      </w:r>
      <w:proofErr w:type="spellEnd"/>
      <w:r w:rsidRPr="00977BF9">
        <w:rPr>
          <w:sz w:val="24"/>
          <w:szCs w:val="24"/>
        </w:rPr>
        <w:t xml:space="preserve"> Top 10 </w:t>
      </w:r>
      <w:proofErr w:type="spellStart"/>
      <w:r w:rsidRPr="00977BF9">
        <w:rPr>
          <w:sz w:val="24"/>
          <w:szCs w:val="24"/>
        </w:rPr>
        <w:t>Breakthroughs</w:t>
      </w:r>
      <w:proofErr w:type="spellEnd"/>
      <w:r w:rsidRPr="00977BF9">
        <w:rPr>
          <w:sz w:val="24"/>
          <w:szCs w:val="24"/>
        </w:rPr>
        <w:t xml:space="preserve"> of 2013) oceniono jako jedno z największych odkryć w roku 2013.</w:t>
      </w:r>
    </w:p>
    <w:p w14:paraId="40DC7E29" w14:textId="77777777" w:rsidR="00A5638E" w:rsidRPr="00A5638E" w:rsidRDefault="00A5638E" w:rsidP="00A5638E">
      <w:pPr>
        <w:spacing w:after="0" w:line="240" w:lineRule="auto"/>
        <w:jc w:val="both"/>
        <w:rPr>
          <w:sz w:val="10"/>
          <w:szCs w:val="10"/>
        </w:rPr>
      </w:pPr>
    </w:p>
    <w:p w14:paraId="191E2155" w14:textId="77777777" w:rsidR="00A5638E" w:rsidRPr="00977BF9" w:rsidRDefault="00A5638E" w:rsidP="00A5638E">
      <w:pPr>
        <w:shd w:val="clear" w:color="auto" w:fill="FFFFFF" w:themeFill="background1"/>
        <w:spacing w:after="0" w:line="240" w:lineRule="auto"/>
        <w:jc w:val="both"/>
        <w:rPr>
          <w:sz w:val="24"/>
          <w:szCs w:val="24"/>
        </w:rPr>
      </w:pPr>
      <w:r w:rsidRPr="00977BF9">
        <w:rPr>
          <w:rStyle w:val="Pogrubienie"/>
          <w:rFonts w:cstheme="minorHAnsi"/>
          <w:color w:val="1E2D40"/>
          <w:sz w:val="24"/>
          <w:szCs w:val="24"/>
        </w:rPr>
        <w:t>Link</w:t>
      </w:r>
      <w:r w:rsidRPr="00977BF9">
        <w:rPr>
          <w:rStyle w:val="Pogrubienie"/>
          <w:rFonts w:cstheme="minorHAnsi"/>
          <w:color w:val="1E2D40"/>
        </w:rPr>
        <w:t xml:space="preserve"> </w:t>
      </w:r>
      <w:r w:rsidRPr="00977BF9">
        <w:rPr>
          <w:rStyle w:val="Pogrubienie"/>
          <w:rFonts w:cstheme="minorHAnsi"/>
          <w:color w:val="1E2D40"/>
          <w:sz w:val="24"/>
          <w:szCs w:val="24"/>
        </w:rPr>
        <w:t>do filmu</w:t>
      </w:r>
      <w:r w:rsidRPr="00977BF9">
        <w:rPr>
          <w:rStyle w:val="Pogrubienie"/>
          <w:rFonts w:cstheme="minorHAnsi"/>
          <w:color w:val="1E2D40"/>
        </w:rPr>
        <w:t xml:space="preserve"> </w:t>
      </w:r>
      <w:r w:rsidRPr="00977BF9">
        <w:rPr>
          <w:sz w:val="24"/>
          <w:szCs w:val="24"/>
        </w:rPr>
        <w:t>– opowiadającego o produkcji i ekonomicznych aspektach wynalazku:</w:t>
      </w:r>
    </w:p>
    <w:p w14:paraId="33F16B55" w14:textId="77777777" w:rsidR="00A5638E" w:rsidRPr="00977BF9" w:rsidRDefault="00B82931" w:rsidP="00A5638E">
      <w:pPr>
        <w:shd w:val="clear" w:color="auto" w:fill="FFFFFF" w:themeFill="background1"/>
        <w:spacing w:after="0" w:line="240" w:lineRule="auto"/>
        <w:jc w:val="both"/>
        <w:rPr>
          <w:sz w:val="24"/>
          <w:szCs w:val="24"/>
        </w:rPr>
      </w:pPr>
      <w:hyperlink r:id="rId262" w:history="1">
        <w:r w:rsidR="00A5638E" w:rsidRPr="00977BF9">
          <w:rPr>
            <w:rStyle w:val="Hipercze"/>
            <w:color w:val="0070C0"/>
            <w:sz w:val="24"/>
            <w:szCs w:val="24"/>
          </w:rPr>
          <w:t>https://www.youtube.com/watch?v=bWqMSbKH0kY</w:t>
        </w:r>
      </w:hyperlink>
      <w:r w:rsidR="00A5638E" w:rsidRPr="00977BF9">
        <w:rPr>
          <w:color w:val="0070C0"/>
          <w:sz w:val="24"/>
          <w:szCs w:val="24"/>
        </w:rPr>
        <w:t xml:space="preserve"> </w:t>
      </w:r>
      <w:r w:rsidR="00A5638E" w:rsidRPr="00977BF9">
        <w:rPr>
          <w:sz w:val="24"/>
          <w:szCs w:val="24"/>
        </w:rPr>
        <w:t>.</w:t>
      </w:r>
    </w:p>
    <w:p w14:paraId="308C802E" w14:textId="77777777" w:rsidR="00A5638E" w:rsidRPr="00A5638E" w:rsidRDefault="00A5638E" w:rsidP="00A5638E">
      <w:pPr>
        <w:spacing w:after="0" w:line="240" w:lineRule="auto"/>
        <w:jc w:val="both"/>
        <w:rPr>
          <w:sz w:val="10"/>
          <w:szCs w:val="10"/>
        </w:rPr>
      </w:pPr>
    </w:p>
    <w:p w14:paraId="7D551608" w14:textId="77777777" w:rsidR="00A5638E" w:rsidRPr="00977BF9" w:rsidRDefault="00A5638E" w:rsidP="00A5638E">
      <w:pPr>
        <w:jc w:val="both"/>
        <w:rPr>
          <w:color w:val="0070C0"/>
          <w:sz w:val="24"/>
          <w:szCs w:val="24"/>
        </w:rPr>
      </w:pPr>
      <w:r w:rsidRPr="00977BF9">
        <w:rPr>
          <w:rStyle w:val="Pogrubienie"/>
          <w:rFonts w:cstheme="minorHAnsi"/>
          <w:color w:val="1E2D40"/>
          <w:sz w:val="24"/>
          <w:szCs w:val="24"/>
        </w:rPr>
        <w:t>Link</w:t>
      </w:r>
      <w:r w:rsidRPr="00977BF9">
        <w:rPr>
          <w:rStyle w:val="Pogrubienie"/>
          <w:rFonts w:cstheme="minorHAnsi"/>
          <w:color w:val="1E2D40"/>
        </w:rPr>
        <w:t xml:space="preserve"> </w:t>
      </w:r>
      <w:r w:rsidRPr="00977BF9">
        <w:rPr>
          <w:rStyle w:val="Pogrubienie"/>
          <w:rFonts w:cstheme="minorHAnsi"/>
          <w:color w:val="1E2D40"/>
          <w:sz w:val="24"/>
          <w:szCs w:val="24"/>
        </w:rPr>
        <w:t>do strony producenta</w:t>
      </w:r>
      <w:r w:rsidRPr="00977BF9">
        <w:rPr>
          <w:sz w:val="24"/>
          <w:szCs w:val="24"/>
        </w:rPr>
        <w:t xml:space="preserve"> ogniw </w:t>
      </w:r>
      <w:proofErr w:type="spellStart"/>
      <w:r w:rsidRPr="00977BF9">
        <w:rPr>
          <w:sz w:val="24"/>
          <w:szCs w:val="24"/>
        </w:rPr>
        <w:t>perowskitowych</w:t>
      </w:r>
      <w:proofErr w:type="spellEnd"/>
      <w:r w:rsidRPr="00977BF9">
        <w:rPr>
          <w:sz w:val="24"/>
          <w:szCs w:val="24"/>
        </w:rPr>
        <w:t xml:space="preserve">, które są elastyczne, lżejsze i tańsze w produkcji od znanych ogniw krzemowych oraz mogą być nadrukowane np. na szyby i tkaniny: </w:t>
      </w:r>
      <w:hyperlink r:id="rId263" w:history="1">
        <w:proofErr w:type="spellStart"/>
        <w:r w:rsidRPr="00977BF9">
          <w:rPr>
            <w:rStyle w:val="Hipercze"/>
            <w:color w:val="0070C0"/>
            <w:sz w:val="24"/>
            <w:szCs w:val="24"/>
          </w:rPr>
          <w:t>Saule</w:t>
        </w:r>
        <w:proofErr w:type="spellEnd"/>
        <w:r w:rsidRPr="00977BF9">
          <w:rPr>
            <w:rStyle w:val="Hipercze"/>
            <w:color w:val="0070C0"/>
            <w:sz w:val="24"/>
            <w:szCs w:val="24"/>
          </w:rPr>
          <w:t xml:space="preserve"> Technologies – </w:t>
        </w:r>
        <w:proofErr w:type="spellStart"/>
        <w:r w:rsidRPr="00977BF9">
          <w:rPr>
            <w:rStyle w:val="Hipercze"/>
            <w:color w:val="0070C0"/>
            <w:sz w:val="24"/>
            <w:szCs w:val="24"/>
          </w:rPr>
          <w:t>Inkjet-Printed</w:t>
        </w:r>
        <w:proofErr w:type="spellEnd"/>
        <w:r w:rsidRPr="00977BF9">
          <w:rPr>
            <w:rStyle w:val="Hipercze"/>
            <w:color w:val="0070C0"/>
            <w:sz w:val="24"/>
            <w:szCs w:val="24"/>
          </w:rPr>
          <w:t xml:space="preserve"> </w:t>
        </w:r>
        <w:proofErr w:type="spellStart"/>
        <w:r w:rsidRPr="00977BF9">
          <w:rPr>
            <w:rStyle w:val="Hipercze"/>
            <w:color w:val="0070C0"/>
            <w:sz w:val="24"/>
            <w:szCs w:val="24"/>
          </w:rPr>
          <w:t>Perovskite</w:t>
        </w:r>
        <w:proofErr w:type="spellEnd"/>
        <w:r w:rsidRPr="00977BF9">
          <w:rPr>
            <w:rStyle w:val="Hipercze"/>
            <w:color w:val="0070C0"/>
            <w:sz w:val="24"/>
            <w:szCs w:val="24"/>
          </w:rPr>
          <w:t xml:space="preserve"> Solar </w:t>
        </w:r>
        <w:proofErr w:type="spellStart"/>
        <w:r w:rsidRPr="00977BF9">
          <w:rPr>
            <w:rStyle w:val="Hipercze"/>
            <w:color w:val="0070C0"/>
            <w:sz w:val="24"/>
            <w:szCs w:val="24"/>
          </w:rPr>
          <w:t>Cells</w:t>
        </w:r>
        <w:proofErr w:type="spellEnd"/>
      </w:hyperlink>
      <w:r w:rsidRPr="00977BF9">
        <w:rPr>
          <w:color w:val="0070C0"/>
          <w:sz w:val="24"/>
          <w:szCs w:val="24"/>
        </w:rPr>
        <w:t xml:space="preserve"> .</w:t>
      </w:r>
    </w:p>
    <w:p w14:paraId="01E1ABA3" w14:textId="77777777" w:rsidR="00AD25B4" w:rsidRPr="004F40E9" w:rsidRDefault="00AD25B4" w:rsidP="00AD25B4">
      <w:pPr>
        <w:spacing w:after="0" w:line="240" w:lineRule="auto"/>
        <w:rPr>
          <w:b/>
          <w:bCs/>
          <w:sz w:val="10"/>
          <w:szCs w:val="10"/>
        </w:rPr>
      </w:pPr>
    </w:p>
    <w:p w14:paraId="49824F5A" w14:textId="77777777" w:rsidR="00AD25B4" w:rsidRPr="00027FC3" w:rsidRDefault="00AD25B4" w:rsidP="00AD25B4">
      <w:pPr>
        <w:spacing w:after="0" w:line="240" w:lineRule="auto"/>
        <w:rPr>
          <w:b/>
          <w:bCs/>
          <w:color w:val="2E74B5" w:themeColor="accent5" w:themeShade="BF"/>
          <w:sz w:val="24"/>
          <w:szCs w:val="24"/>
          <w:lang w:val="en-US"/>
        </w:rPr>
      </w:pPr>
      <w:r w:rsidRPr="00027FC3">
        <w:rPr>
          <w:b/>
          <w:bCs/>
          <w:color w:val="2E74B5" w:themeColor="accent5" w:themeShade="BF"/>
          <w:sz w:val="24"/>
          <w:szCs w:val="24"/>
          <w:lang w:val="en-US"/>
        </w:rPr>
        <w:t>A short excerpt:</w:t>
      </w:r>
    </w:p>
    <w:p w14:paraId="054D4F23" w14:textId="748233FF" w:rsidR="00AD25B4" w:rsidRPr="00027FC3" w:rsidRDefault="00AD25B4" w:rsidP="00D46663">
      <w:pPr>
        <w:rPr>
          <w:rStyle w:val="related--image-author"/>
          <w:rFonts w:eastAsiaTheme="majorEastAsia" w:cstheme="minorHAnsi"/>
          <w:color w:val="2E74B5" w:themeColor="accent5" w:themeShade="BF"/>
          <w:bdr w:val="none" w:sz="0" w:space="0" w:color="auto" w:frame="1"/>
          <w:shd w:val="clear" w:color="auto" w:fill="FFFFFF"/>
          <w:lang w:val="en-US"/>
        </w:rPr>
      </w:pPr>
      <w:r w:rsidRPr="00027FC3">
        <w:rPr>
          <w:rStyle w:val="related--image-author"/>
          <w:rFonts w:eastAsiaTheme="majorEastAsia" w:cstheme="minorHAnsi"/>
          <w:color w:val="2E74B5" w:themeColor="accent5" w:themeShade="BF"/>
          <w:bdr w:val="none" w:sz="0" w:space="0" w:color="auto" w:frame="1"/>
          <w:shd w:val="clear" w:color="auto" w:fill="FFFFFF"/>
          <w:lang w:val="en-US"/>
        </w:rPr>
        <w:t>As part of the review of innovative solutions, we encourage you to read the profile of Olga MALINKIEWICZ and the idea behind the creation of perovskite cells, as well as a commentary in which this extremely interesting topic was introduced to us.</w:t>
      </w:r>
    </w:p>
    <w:p w14:paraId="58DD491C" w14:textId="49A8F0E6" w:rsidR="00D46663" w:rsidRPr="00027FC3" w:rsidRDefault="00B546B6" w:rsidP="0037305F">
      <w:pPr>
        <w:spacing w:after="0" w:line="240" w:lineRule="auto"/>
        <w:rPr>
          <w:color w:val="2E74B5" w:themeColor="accent5" w:themeShade="BF"/>
          <w:kern w:val="0"/>
          <w:sz w:val="24"/>
          <w:szCs w:val="24"/>
          <w:lang w:val="en-US"/>
        </w:rPr>
      </w:pPr>
      <w:r w:rsidRPr="00027FC3">
        <w:rPr>
          <w:b/>
          <w:bCs/>
          <w:color w:val="2E74B5" w:themeColor="accent5" w:themeShade="BF"/>
          <w:kern w:val="0"/>
          <w:sz w:val="24"/>
          <w:szCs w:val="24"/>
          <w:lang w:val="en-US"/>
        </w:rPr>
        <w:t xml:space="preserve">Dr. Olga </w:t>
      </w:r>
      <w:proofErr w:type="spellStart"/>
      <w:r w:rsidRPr="00027FC3">
        <w:rPr>
          <w:b/>
          <w:bCs/>
          <w:color w:val="2E74B5" w:themeColor="accent5" w:themeShade="BF"/>
          <w:kern w:val="0"/>
          <w:sz w:val="24"/>
          <w:szCs w:val="24"/>
          <w:lang w:val="en-US"/>
        </w:rPr>
        <w:t>Malinkiewicz</w:t>
      </w:r>
      <w:proofErr w:type="spellEnd"/>
      <w:r w:rsidRPr="00027FC3">
        <w:rPr>
          <w:b/>
          <w:bCs/>
          <w:color w:val="2E74B5" w:themeColor="accent5" w:themeShade="BF"/>
          <w:kern w:val="0"/>
          <w:sz w:val="24"/>
          <w:szCs w:val="24"/>
          <w:lang w:val="en-US"/>
        </w:rPr>
        <w:t xml:space="preserve"> invented a revolutionary method of producing solar cells </w:t>
      </w:r>
      <w:r w:rsidRPr="00027FC3">
        <w:rPr>
          <w:color w:val="2E74B5" w:themeColor="accent5" w:themeShade="BF"/>
          <w:kern w:val="0"/>
          <w:sz w:val="24"/>
          <w:szCs w:val="24"/>
          <w:lang w:val="en-US"/>
        </w:rPr>
        <w:t>(described by National Geographic).</w:t>
      </w:r>
    </w:p>
    <w:p w14:paraId="4D898B34" w14:textId="77777777" w:rsidR="00B546B6" w:rsidRPr="00027FC3" w:rsidRDefault="00B546B6" w:rsidP="0037305F">
      <w:pPr>
        <w:spacing w:after="0" w:line="240" w:lineRule="auto"/>
        <w:rPr>
          <w:b/>
          <w:bCs/>
          <w:color w:val="2E74B5" w:themeColor="accent5" w:themeShade="BF"/>
          <w:kern w:val="0"/>
          <w:sz w:val="10"/>
          <w:szCs w:val="10"/>
          <w:lang w:val="en-US"/>
        </w:rPr>
      </w:pPr>
    </w:p>
    <w:p w14:paraId="45707A5F" w14:textId="77777777" w:rsidR="002C70A7" w:rsidRPr="00027FC3" w:rsidRDefault="00B546B6" w:rsidP="002C70A7">
      <w:pPr>
        <w:spacing w:after="0" w:line="240" w:lineRule="auto"/>
        <w:rPr>
          <w:color w:val="2E74B5" w:themeColor="accent5" w:themeShade="BF"/>
          <w:kern w:val="0"/>
          <w:sz w:val="24"/>
          <w:szCs w:val="24"/>
          <w:lang w:val="en-US"/>
        </w:rPr>
      </w:pPr>
      <w:r w:rsidRPr="00027FC3">
        <w:rPr>
          <w:color w:val="2E74B5" w:themeColor="accent5" w:themeShade="BF"/>
          <w:kern w:val="0"/>
          <w:sz w:val="24"/>
          <w:szCs w:val="24"/>
          <w:lang w:val="en-US"/>
        </w:rPr>
        <w:t>Olga MALINKIEWICZ - a Polish scientist talks here about her company Saule Technologist, the only such production line in the world and the invention of perovskite cells - light, flexible, resistant to weather conditions, can be used on a variety of materials, with low production costs and a lower carbon footprint of production, also operating under artificial lighting.</w:t>
      </w:r>
    </w:p>
    <w:p w14:paraId="23D7B446" w14:textId="77777777" w:rsidR="002C70A7" w:rsidRDefault="002C70A7" w:rsidP="002C70A7">
      <w:pPr>
        <w:spacing w:after="0" w:line="240" w:lineRule="auto"/>
        <w:rPr>
          <w:color w:val="4472C4" w:themeColor="accent1"/>
          <w:sz w:val="24"/>
          <w:szCs w:val="24"/>
          <w:lang w:val="en-US"/>
        </w:rPr>
      </w:pPr>
      <w:r w:rsidRPr="00027FC3">
        <w:rPr>
          <w:color w:val="2E74B5" w:themeColor="accent5" w:themeShade="BF"/>
          <w:sz w:val="24"/>
          <w:szCs w:val="24"/>
          <w:lang w:val="en-US"/>
        </w:rPr>
        <w:t>The potential for using such panels is huge, also in space - they are more resistant to the conditions prevailing there, and the cost of putting them into orbit is much lower than in the case of silicon cells.</w:t>
      </w:r>
    </w:p>
    <w:p w14:paraId="7A512F46" w14:textId="4290F32B" w:rsidR="002C70A7" w:rsidRPr="00027FC3" w:rsidRDefault="002C70A7" w:rsidP="002C70A7">
      <w:pPr>
        <w:spacing w:after="0" w:line="240" w:lineRule="auto"/>
        <w:rPr>
          <w:color w:val="2E74B5" w:themeColor="accent5" w:themeShade="BF"/>
          <w:kern w:val="0"/>
          <w:sz w:val="24"/>
          <w:szCs w:val="24"/>
          <w:lang w:val="en-US"/>
        </w:rPr>
      </w:pPr>
      <w:r w:rsidRPr="00027FC3">
        <w:rPr>
          <w:color w:val="2E74B5" w:themeColor="accent5" w:themeShade="BF"/>
          <w:lang w:val="en-US"/>
        </w:rPr>
        <w:lastRenderedPageBreak/>
        <w:t>Olga MALINKIEWICZ's idea appeared as one of the disclosed discoveries in 2013</w:t>
      </w:r>
      <w:r w:rsidR="00027FC3">
        <w:rPr>
          <w:color w:val="2E74B5" w:themeColor="accent5" w:themeShade="BF"/>
          <w:lang w:val="en-US"/>
        </w:rPr>
        <w:t xml:space="preserve"> </w:t>
      </w:r>
      <w:r w:rsidR="00027FC3" w:rsidRPr="00027FC3">
        <w:rPr>
          <w:color w:val="2E74B5" w:themeColor="accent5" w:themeShade="BF"/>
          <w:lang w:val="en-US"/>
        </w:rPr>
        <w:t xml:space="preserve">in </w:t>
      </w:r>
      <w:proofErr w:type="gramStart"/>
      <w:r w:rsidR="00027FC3" w:rsidRPr="00027FC3">
        <w:rPr>
          <w:color w:val="2E74B5" w:themeColor="accent5" w:themeShade="BF"/>
          <w:lang w:val="en-US"/>
        </w:rPr>
        <w:t>Science</w:t>
      </w:r>
      <w:proofErr w:type="gramEnd"/>
      <w:r w:rsidR="00027FC3" w:rsidRPr="00027FC3">
        <w:rPr>
          <w:color w:val="2E74B5" w:themeColor="accent5" w:themeShade="BF"/>
          <w:lang w:val="en-US"/>
        </w:rPr>
        <w:t xml:space="preserve"> magazine (10 most important breakthroughs in science in 2013)</w:t>
      </w:r>
      <w:r w:rsidRPr="00027FC3">
        <w:rPr>
          <w:color w:val="2E74B5" w:themeColor="accent5" w:themeShade="BF"/>
          <w:lang w:val="en-US"/>
        </w:rPr>
        <w:t>.</w:t>
      </w:r>
    </w:p>
    <w:p w14:paraId="4EEB40A6" w14:textId="77777777" w:rsidR="00473FD1" w:rsidRPr="00027FC3" w:rsidRDefault="00473FD1" w:rsidP="0037305F">
      <w:pPr>
        <w:spacing w:after="0" w:line="240" w:lineRule="auto"/>
        <w:rPr>
          <w:b/>
          <w:bCs/>
          <w:color w:val="2E74B5" w:themeColor="accent5" w:themeShade="BF"/>
          <w:kern w:val="0"/>
          <w:sz w:val="10"/>
          <w:szCs w:val="10"/>
          <w:lang w:val="en-US"/>
        </w:rPr>
      </w:pPr>
    </w:p>
    <w:p w14:paraId="58FF95D3" w14:textId="7F3C7F44" w:rsidR="002C70A7" w:rsidRPr="00027FC3" w:rsidRDefault="00473FD1" w:rsidP="0037305F">
      <w:pPr>
        <w:spacing w:after="0" w:line="240" w:lineRule="auto"/>
        <w:rPr>
          <w:color w:val="2E74B5" w:themeColor="accent5" w:themeShade="BF"/>
          <w:kern w:val="0"/>
          <w:sz w:val="24"/>
          <w:szCs w:val="24"/>
          <w:lang w:val="en-US"/>
        </w:rPr>
      </w:pPr>
      <w:r w:rsidRPr="00027FC3">
        <w:rPr>
          <w:b/>
          <w:bCs/>
          <w:color w:val="2E74B5" w:themeColor="accent5" w:themeShade="BF"/>
          <w:kern w:val="0"/>
          <w:sz w:val="24"/>
          <w:szCs w:val="24"/>
          <w:lang w:val="en-US"/>
        </w:rPr>
        <w:t>Link to the film</w:t>
      </w:r>
      <w:r w:rsidRPr="00027FC3">
        <w:rPr>
          <w:color w:val="2E74B5" w:themeColor="accent5" w:themeShade="BF"/>
          <w:kern w:val="0"/>
          <w:sz w:val="24"/>
          <w:szCs w:val="24"/>
          <w:lang w:val="en-US"/>
        </w:rPr>
        <w:t xml:space="preserve"> - about the production and economic aspects of the invention:</w:t>
      </w:r>
    </w:p>
    <w:p w14:paraId="4EF2150A" w14:textId="77777777" w:rsidR="00473FD1" w:rsidRPr="00027FC3" w:rsidRDefault="00B82931" w:rsidP="00473FD1">
      <w:pPr>
        <w:shd w:val="clear" w:color="auto" w:fill="FFFFFF" w:themeFill="background1"/>
        <w:spacing w:after="0" w:line="240" w:lineRule="auto"/>
        <w:jc w:val="both"/>
        <w:rPr>
          <w:color w:val="2E74B5" w:themeColor="accent5" w:themeShade="BF"/>
          <w:sz w:val="24"/>
          <w:szCs w:val="24"/>
          <w:lang w:val="en-US"/>
        </w:rPr>
      </w:pPr>
      <w:hyperlink r:id="rId264" w:history="1">
        <w:r w:rsidR="00473FD1" w:rsidRPr="00027FC3">
          <w:rPr>
            <w:rStyle w:val="Hipercze"/>
            <w:color w:val="2E74B5" w:themeColor="accent5" w:themeShade="BF"/>
            <w:sz w:val="24"/>
            <w:szCs w:val="24"/>
            <w:lang w:val="en-US"/>
          </w:rPr>
          <w:t>https://www.youtube.com/watch?v=bWqMSbKH0kY</w:t>
        </w:r>
      </w:hyperlink>
      <w:r w:rsidR="00473FD1" w:rsidRPr="00027FC3">
        <w:rPr>
          <w:color w:val="2E74B5" w:themeColor="accent5" w:themeShade="BF"/>
          <w:sz w:val="24"/>
          <w:szCs w:val="24"/>
          <w:lang w:val="en-US"/>
        </w:rPr>
        <w:t xml:space="preserve"> .</w:t>
      </w:r>
    </w:p>
    <w:p w14:paraId="381DF66D" w14:textId="77777777" w:rsidR="00473FD1" w:rsidRPr="00027FC3" w:rsidRDefault="00473FD1" w:rsidP="00473FD1">
      <w:pPr>
        <w:spacing w:after="0" w:line="240" w:lineRule="auto"/>
        <w:jc w:val="both"/>
        <w:rPr>
          <w:color w:val="2E74B5" w:themeColor="accent5" w:themeShade="BF"/>
          <w:sz w:val="10"/>
          <w:szCs w:val="10"/>
          <w:lang w:val="en-US"/>
        </w:rPr>
      </w:pPr>
    </w:p>
    <w:p w14:paraId="70838C9C" w14:textId="2D1E20D2" w:rsidR="00473FD1" w:rsidRPr="00027FC3" w:rsidRDefault="00473FD1" w:rsidP="00473FD1">
      <w:pPr>
        <w:spacing w:after="0"/>
        <w:jc w:val="both"/>
        <w:rPr>
          <w:rFonts w:cstheme="minorHAnsi"/>
          <w:color w:val="2E74B5" w:themeColor="accent5" w:themeShade="BF"/>
          <w:sz w:val="24"/>
          <w:szCs w:val="24"/>
          <w:lang w:val="en-US"/>
        </w:rPr>
      </w:pPr>
      <w:r w:rsidRPr="00027FC3">
        <w:rPr>
          <w:rStyle w:val="Pogrubienie"/>
          <w:rFonts w:cstheme="minorHAnsi"/>
          <w:color w:val="2E74B5" w:themeColor="accent5" w:themeShade="BF"/>
          <w:sz w:val="24"/>
          <w:szCs w:val="24"/>
          <w:lang w:val="en-US"/>
        </w:rPr>
        <w:t xml:space="preserve">Link to the website of the manufacturer </w:t>
      </w:r>
      <w:r w:rsidRPr="00027FC3">
        <w:rPr>
          <w:rStyle w:val="Pogrubienie"/>
          <w:rFonts w:cstheme="minorHAnsi"/>
          <w:b w:val="0"/>
          <w:bCs w:val="0"/>
          <w:color w:val="2E74B5" w:themeColor="accent5" w:themeShade="BF"/>
          <w:sz w:val="24"/>
          <w:szCs w:val="24"/>
          <w:lang w:val="en-US"/>
        </w:rPr>
        <w:t xml:space="preserve">of perovskite cells, which are flexible, lighter and cheaper to produce than known silicon cells and can be printed, for example, on glass and fabrics: </w:t>
      </w:r>
      <w:hyperlink r:id="rId265" w:history="1">
        <w:r w:rsidRPr="00027FC3">
          <w:rPr>
            <w:rStyle w:val="Hipercze"/>
            <w:color w:val="2E74B5" w:themeColor="accent5" w:themeShade="BF"/>
            <w:sz w:val="24"/>
            <w:szCs w:val="24"/>
            <w:lang w:val="en-US"/>
          </w:rPr>
          <w:t>Saule Technologies – Inkjet-Printed Perovskite Solar Cells</w:t>
        </w:r>
      </w:hyperlink>
      <w:r w:rsidRPr="00027FC3">
        <w:rPr>
          <w:color w:val="2E74B5" w:themeColor="accent5" w:themeShade="BF"/>
          <w:sz w:val="24"/>
          <w:szCs w:val="24"/>
          <w:lang w:val="en-US"/>
        </w:rPr>
        <w:t xml:space="preserve"> .</w:t>
      </w:r>
    </w:p>
    <w:p w14:paraId="2BC63357" w14:textId="77777777" w:rsidR="00473FD1" w:rsidRPr="0034262F" w:rsidRDefault="00473FD1" w:rsidP="00473FD1">
      <w:pPr>
        <w:spacing w:after="0" w:line="240" w:lineRule="auto"/>
        <w:rPr>
          <w:b/>
          <w:bCs/>
          <w:kern w:val="0"/>
          <w:sz w:val="10"/>
          <w:szCs w:val="10"/>
          <w:lang w:val="en-US"/>
        </w:rPr>
      </w:pPr>
    </w:p>
    <w:p w14:paraId="50B8289E" w14:textId="3E0DA02A" w:rsidR="0037305F" w:rsidRPr="00977BF9" w:rsidRDefault="0037305F" w:rsidP="00473FD1">
      <w:pPr>
        <w:spacing w:after="0" w:line="240" w:lineRule="auto"/>
        <w:rPr>
          <w:b/>
          <w:bCs/>
          <w:sz w:val="24"/>
          <w:szCs w:val="24"/>
        </w:rPr>
      </w:pPr>
      <w:r w:rsidRPr="00977BF9">
        <w:rPr>
          <w:b/>
          <w:bCs/>
          <w:kern w:val="0"/>
          <w:sz w:val="24"/>
          <w:szCs w:val="24"/>
        </w:rPr>
        <w:t>Pojęcia kluczowe</w:t>
      </w:r>
      <w:r w:rsidRPr="00977BF9">
        <w:rPr>
          <w:kern w:val="0"/>
          <w:sz w:val="24"/>
          <w:szCs w:val="24"/>
        </w:rPr>
        <w:t xml:space="preserve">: </w:t>
      </w:r>
      <w:r w:rsidRPr="00977BF9">
        <w:rPr>
          <w:sz w:val="24"/>
          <w:szCs w:val="24"/>
        </w:rPr>
        <w:t>ELASTYCZNE OGNIWA PEROWSKITOWE, START-UP, NAUKOWCZYNI, ENERGIA SOLARNA</w:t>
      </w:r>
    </w:p>
    <w:p w14:paraId="765A564B" w14:textId="77777777" w:rsidR="004B36FD" w:rsidRPr="004B36FD" w:rsidRDefault="004B36FD" w:rsidP="00473FD1">
      <w:pPr>
        <w:spacing w:after="0" w:line="240" w:lineRule="auto"/>
        <w:rPr>
          <w:b/>
          <w:bCs/>
          <w:sz w:val="10"/>
          <w:szCs w:val="10"/>
        </w:rPr>
      </w:pPr>
    </w:p>
    <w:p w14:paraId="43FB1EAC" w14:textId="7728E15B" w:rsidR="0037305F" w:rsidRPr="009A6D9E" w:rsidRDefault="0037305F" w:rsidP="00473FD1">
      <w:pPr>
        <w:spacing w:after="0" w:line="240" w:lineRule="auto"/>
        <w:rPr>
          <w:color w:val="4472C4" w:themeColor="accent1"/>
          <w:sz w:val="24"/>
          <w:szCs w:val="24"/>
        </w:rPr>
      </w:pPr>
      <w:r w:rsidRPr="00977BF9">
        <w:rPr>
          <w:b/>
          <w:bCs/>
          <w:sz w:val="24"/>
          <w:szCs w:val="24"/>
        </w:rPr>
        <w:t xml:space="preserve">Miejsce publikacji: </w:t>
      </w:r>
      <w:hyperlink r:id="rId266" w:history="1">
        <w:r w:rsidRPr="009A6D9E">
          <w:rPr>
            <w:rStyle w:val="Hipercze"/>
            <w:color w:val="4472C4" w:themeColor="accent1"/>
            <w:sz w:val="24"/>
            <w:szCs w:val="24"/>
          </w:rPr>
          <w:t>https://stowi.pl/elastyczne-panele-fotowoltaiczne-w-elewacjach-budynkow-szyby-generujace-prad-wymyslone-i-juz-produkowane-w-polsce/</w:t>
        </w:r>
      </w:hyperlink>
      <w:r w:rsidRPr="009A6D9E">
        <w:rPr>
          <w:color w:val="4472C4" w:themeColor="accent1"/>
          <w:sz w:val="24"/>
          <w:szCs w:val="24"/>
        </w:rPr>
        <w:t xml:space="preserve"> </w:t>
      </w:r>
    </w:p>
    <w:p w14:paraId="13D48E32" w14:textId="77777777" w:rsidR="0037305F" w:rsidRPr="002B2932" w:rsidRDefault="0037305F" w:rsidP="0037305F">
      <w:pPr>
        <w:spacing w:after="0" w:line="240" w:lineRule="auto"/>
        <w:rPr>
          <w:b/>
          <w:bCs/>
          <w:sz w:val="14"/>
          <w:szCs w:val="14"/>
        </w:rPr>
      </w:pPr>
    </w:p>
    <w:p w14:paraId="60ABB98F" w14:textId="77777777" w:rsidR="0037305F" w:rsidRPr="002B2932" w:rsidRDefault="0037305F" w:rsidP="0037305F">
      <w:pPr>
        <w:spacing w:after="0" w:line="240" w:lineRule="auto"/>
        <w:jc w:val="both"/>
        <w:rPr>
          <w:b/>
          <w:bCs/>
          <w:sz w:val="10"/>
          <w:szCs w:val="10"/>
        </w:rPr>
      </w:pPr>
    </w:p>
    <w:p w14:paraId="59E1F58D" w14:textId="77777777" w:rsidR="00A47479" w:rsidRPr="0037305F" w:rsidRDefault="00A47479"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6CBC9B76"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45385B5B"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3DA75114"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26D2BB64"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25E02930"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3CD96A61"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65127D48"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3A805C08"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5C66C18E" w14:textId="77777777" w:rsidR="007963DB"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3526C6F7"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76408DA4"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408499BB"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3C209945"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4F40DE5C"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2A45A46F"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47A03EB8"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4771BE5B"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35A524E9"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75484753"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2384F66E"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6463A8F0"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7C6C414B"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2538DF15"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63835043"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1CA2B7AB" w14:textId="77777777" w:rsidR="00F345F3"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527484C2" w14:textId="77777777" w:rsidR="00F345F3" w:rsidRPr="0037305F" w:rsidRDefault="00F345F3"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73EEFB17"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1805EA39" w14:textId="77777777" w:rsidR="007963DB" w:rsidRPr="0037305F" w:rsidRDefault="007963DB" w:rsidP="007963DB">
      <w:pPr>
        <w:pStyle w:val="has-medium-font-size"/>
        <w:shd w:val="clear" w:color="auto" w:fill="FFFFFF"/>
        <w:spacing w:before="0" w:beforeAutospacing="0" w:after="0" w:afterAutospacing="0"/>
        <w:rPr>
          <w:rFonts w:asciiTheme="minorHAnsi" w:hAnsiTheme="minorHAnsi" w:cstheme="minorHAnsi"/>
          <w:b/>
          <w:bCs/>
          <w:color w:val="1E2D40"/>
          <w:sz w:val="22"/>
          <w:szCs w:val="22"/>
        </w:rPr>
      </w:pPr>
    </w:p>
    <w:p w14:paraId="5984E592" w14:textId="77777777" w:rsidR="007963DB" w:rsidRDefault="007963DB" w:rsidP="007963DB">
      <w:pPr>
        <w:spacing w:after="0" w:line="240" w:lineRule="auto"/>
      </w:pPr>
    </w:p>
    <w:p w14:paraId="2BC25464" w14:textId="77777777" w:rsidR="00D46663" w:rsidRDefault="00D46663" w:rsidP="007963DB">
      <w:pPr>
        <w:spacing w:after="0" w:line="240" w:lineRule="auto"/>
      </w:pPr>
    </w:p>
    <w:p w14:paraId="121F3CBE" w14:textId="77777777" w:rsidR="00D46663" w:rsidRDefault="00D46663" w:rsidP="007963DB">
      <w:pPr>
        <w:spacing w:after="0" w:line="240" w:lineRule="auto"/>
      </w:pPr>
    </w:p>
    <w:p w14:paraId="22020899" w14:textId="77777777" w:rsidR="00D46663" w:rsidRDefault="00D46663" w:rsidP="007963DB">
      <w:pPr>
        <w:spacing w:after="0" w:line="240" w:lineRule="auto"/>
      </w:pPr>
    </w:p>
    <w:p w14:paraId="70074C59" w14:textId="77777777" w:rsidR="00D46663" w:rsidRDefault="00D46663" w:rsidP="007963DB">
      <w:pPr>
        <w:spacing w:after="0" w:line="240" w:lineRule="auto"/>
      </w:pPr>
    </w:p>
    <w:p w14:paraId="6539D262" w14:textId="77777777" w:rsidR="00D46663" w:rsidRDefault="00D46663" w:rsidP="007963DB">
      <w:pPr>
        <w:spacing w:after="0" w:line="240" w:lineRule="auto"/>
      </w:pPr>
    </w:p>
    <w:p w14:paraId="688A46AB" w14:textId="77777777" w:rsidR="00D46663" w:rsidRPr="0037305F" w:rsidRDefault="00D46663" w:rsidP="007963DB">
      <w:pPr>
        <w:spacing w:after="0" w:line="240" w:lineRule="auto"/>
      </w:pPr>
    </w:p>
    <w:p w14:paraId="5A67EDC0" w14:textId="77777777" w:rsidR="007963DB" w:rsidRPr="0037305F" w:rsidRDefault="007963DB" w:rsidP="007963DB"/>
    <w:p w14:paraId="50D94862" w14:textId="672A5B0D" w:rsidR="00924302" w:rsidRPr="004F740D" w:rsidRDefault="00376859" w:rsidP="00994071">
      <w:pPr>
        <w:pStyle w:val="NumeracjaRozdzial"/>
      </w:pPr>
      <w:r>
        <w:lastRenderedPageBreak/>
        <w:t>3</w:t>
      </w:r>
      <w:r w:rsidR="00B53E86" w:rsidRPr="004F740D">
        <w:t>.</w:t>
      </w:r>
    </w:p>
    <w:p w14:paraId="3ABAB14B" w14:textId="64BDB0E9" w:rsidR="00924302" w:rsidRPr="00977BF9" w:rsidRDefault="00D8166E" w:rsidP="00036433">
      <w:pPr>
        <w:spacing w:after="0" w:line="240" w:lineRule="auto"/>
        <w:rPr>
          <w:rStyle w:val="Nagwek2Znak"/>
          <w:sz w:val="32"/>
          <w:szCs w:val="32"/>
        </w:rPr>
      </w:pPr>
      <w:r>
        <w:rPr>
          <w:rStyle w:val="Nagwek2Znak"/>
        </w:rPr>
        <w:br/>
      </w:r>
      <w:r w:rsidR="00B53E86" w:rsidRPr="00977BF9">
        <w:rPr>
          <w:rFonts w:cstheme="minorHAnsi"/>
          <w:noProof/>
          <w:sz w:val="28"/>
          <w:szCs w:val="28"/>
          <w:lang w:eastAsia="pl-PL"/>
        </w:rPr>
        <w:drawing>
          <wp:anchor distT="0" distB="0" distL="114300" distR="114300" simplePos="0" relativeHeight="252258304" behindDoc="0" locked="0" layoutInCell="1" allowOverlap="1" wp14:anchorId="3BD74DBA" wp14:editId="330F2F44">
            <wp:simplePos x="0" y="0"/>
            <wp:positionH relativeFrom="column">
              <wp:posOffset>957</wp:posOffset>
            </wp:positionH>
            <wp:positionV relativeFrom="paragraph">
              <wp:posOffset>4644</wp:posOffset>
            </wp:positionV>
            <wp:extent cx="1980000" cy="1080000"/>
            <wp:effectExtent l="0" t="0" r="1270" b="6350"/>
            <wp:wrapThrough wrapText="bothSides">
              <wp:wrapPolygon edited="0">
                <wp:start x="0" y="0"/>
                <wp:lineTo x="0" y="21346"/>
                <wp:lineTo x="21406" y="21346"/>
                <wp:lineTo x="21406" y="0"/>
                <wp:lineTo x="0" y="0"/>
              </wp:wrapPolygon>
            </wp:wrapThrough>
            <wp:docPr id="1154295329" name="Obraz 456" descr="Obraz zawierający na wolnym powietrzu, ubrania, osoba, człowiek&#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4295329" name="Obraz 456" descr="Obraz zawierający na wolnym powietrzu, ubrania, osoba, człowiek&#10;&#10;Opis wygenerowany automatycznie"/>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3993A0" w14:textId="77777777" w:rsidR="00DA698F" w:rsidRPr="004F740D" w:rsidRDefault="00DA698F" w:rsidP="00DA698F">
      <w:pPr>
        <w:spacing w:after="0" w:line="240" w:lineRule="auto"/>
        <w:rPr>
          <w:rStyle w:val="Nagwek2Znak"/>
        </w:rPr>
      </w:pPr>
      <w:bookmarkStart w:id="161" w:name="_Toc170118000"/>
      <w:r w:rsidRPr="00D8166E">
        <w:rPr>
          <w:rStyle w:val="Nagwek2Znak"/>
        </w:rPr>
        <w:t>Poszukiwacze skarbów</w:t>
      </w:r>
      <w:bookmarkEnd w:id="161"/>
    </w:p>
    <w:p w14:paraId="57B2FC29" w14:textId="419ACACB" w:rsidR="00036433" w:rsidRDefault="00036433" w:rsidP="00036433"/>
    <w:p w14:paraId="6A629BBF" w14:textId="0AFCD040" w:rsidR="00036433" w:rsidRDefault="00036433" w:rsidP="00036433"/>
    <w:p w14:paraId="7B819A8B" w14:textId="77777777" w:rsidR="00C606B7" w:rsidRPr="00C606B7" w:rsidRDefault="00C606B7" w:rsidP="00C606B7">
      <w:pPr>
        <w:spacing w:after="0" w:line="240" w:lineRule="auto"/>
        <w:rPr>
          <w:b/>
          <w:bCs/>
          <w:sz w:val="10"/>
          <w:szCs w:val="10"/>
        </w:rPr>
      </w:pPr>
    </w:p>
    <w:p w14:paraId="7208C1E5" w14:textId="55035285" w:rsidR="00C606B7" w:rsidRPr="00C606B7" w:rsidRDefault="00C606B7" w:rsidP="00C606B7">
      <w:pPr>
        <w:spacing w:after="0" w:line="240" w:lineRule="auto"/>
        <w:rPr>
          <w:color w:val="4472C4" w:themeColor="accent1"/>
          <w:sz w:val="24"/>
          <w:szCs w:val="24"/>
        </w:rPr>
      </w:pPr>
      <w:r w:rsidRPr="005C0468">
        <w:rPr>
          <w:b/>
          <w:bCs/>
          <w:sz w:val="24"/>
          <w:szCs w:val="24"/>
        </w:rPr>
        <w:t xml:space="preserve">Miejsce publikacji: </w:t>
      </w:r>
      <w:hyperlink r:id="rId268" w:history="1">
        <w:r w:rsidRPr="00C606B7">
          <w:rPr>
            <w:rStyle w:val="Hipercze"/>
            <w:color w:val="4472C4" w:themeColor="accent1"/>
            <w:sz w:val="24"/>
            <w:szCs w:val="24"/>
          </w:rPr>
          <w:t>https://stowi.pl/silimarol-2/</w:t>
        </w:r>
      </w:hyperlink>
      <w:r w:rsidRPr="00C606B7">
        <w:rPr>
          <w:color w:val="4472C4" w:themeColor="accent1"/>
          <w:sz w:val="24"/>
          <w:szCs w:val="24"/>
        </w:rPr>
        <w:t xml:space="preserve">  </w:t>
      </w:r>
      <w:r w:rsidRPr="00C606B7">
        <w:rPr>
          <w:b/>
          <w:bCs/>
          <w:color w:val="4472C4" w:themeColor="accent1"/>
          <w:sz w:val="24"/>
          <w:szCs w:val="24"/>
        </w:rPr>
        <w:t xml:space="preserve"> </w:t>
      </w:r>
    </w:p>
    <w:p w14:paraId="5E989B89" w14:textId="77777777" w:rsidR="008A2265" w:rsidRDefault="008A2265" w:rsidP="00EF3DBD">
      <w:pPr>
        <w:spacing w:after="0" w:line="240" w:lineRule="auto"/>
        <w:rPr>
          <w:rStyle w:val="Pogrubienie"/>
          <w:rFonts w:eastAsiaTheme="majorEastAsia" w:cstheme="minorHAnsi"/>
        </w:rPr>
      </w:pPr>
    </w:p>
    <w:p w14:paraId="5F0410A7" w14:textId="3E22F833" w:rsidR="00EF3DBD" w:rsidRPr="00B70F51" w:rsidRDefault="00EF3DBD" w:rsidP="00EF3DBD">
      <w:pPr>
        <w:spacing w:after="0" w:line="240" w:lineRule="auto"/>
        <w:rPr>
          <w:rFonts w:asciiTheme="majorHAnsi" w:eastAsiaTheme="majorEastAsia" w:hAnsiTheme="majorHAnsi" w:cstheme="majorBidi"/>
          <w:b/>
          <w:bCs/>
          <w:sz w:val="28"/>
          <w:szCs w:val="28"/>
        </w:rPr>
      </w:pPr>
      <w:r>
        <w:rPr>
          <w:rStyle w:val="Pogrubienie"/>
          <w:rFonts w:eastAsiaTheme="majorEastAsia" w:cstheme="minorHAnsi"/>
        </w:rPr>
        <w:tab/>
      </w:r>
      <w:r>
        <w:rPr>
          <w:rStyle w:val="Pogrubienie"/>
          <w:rFonts w:eastAsiaTheme="majorEastAsia" w:cstheme="minorHAnsi"/>
        </w:rPr>
        <w:tab/>
      </w:r>
      <w:r w:rsidRPr="00B70F51">
        <w:rPr>
          <w:rFonts w:cstheme="minorHAnsi"/>
          <w:b/>
          <w:bCs/>
          <w:color w:val="000000"/>
          <w:sz w:val="24"/>
          <w:szCs w:val="24"/>
        </w:rPr>
        <w:t>AUTORZY publikacji „</w:t>
      </w:r>
      <w:r w:rsidRPr="00B70F51">
        <w:rPr>
          <w:rStyle w:val="Nagwek3Znak"/>
          <w:rFonts w:asciiTheme="minorHAnsi" w:hAnsiTheme="minorHAnsi" w:cstheme="minorHAnsi"/>
          <w:b/>
          <w:bCs/>
          <w:i/>
          <w:iCs/>
          <w:sz w:val="26"/>
          <w:szCs w:val="26"/>
        </w:rPr>
        <w:t>Poszukiwacze skarbów</w:t>
      </w:r>
      <w:r w:rsidRPr="00B70F51">
        <w:rPr>
          <w:rFonts w:cstheme="minorHAnsi"/>
          <w:b/>
          <w:bCs/>
          <w:color w:val="000000"/>
          <w:sz w:val="24"/>
          <w:szCs w:val="24"/>
        </w:rPr>
        <w:t xml:space="preserve">”: </w:t>
      </w:r>
    </w:p>
    <w:p w14:paraId="39FFBF32" w14:textId="23CD7731" w:rsidR="00EF3DBD" w:rsidRPr="00B70F51" w:rsidRDefault="00EF3DBD" w:rsidP="00B70F51">
      <w:pPr>
        <w:tabs>
          <w:tab w:val="left" w:pos="1134"/>
        </w:tabs>
        <w:spacing w:after="0"/>
        <w:ind w:left="1418" w:hanging="1418"/>
        <w:rPr>
          <w:sz w:val="24"/>
          <w:szCs w:val="24"/>
        </w:rPr>
      </w:pPr>
      <w:r w:rsidRPr="00B70F51">
        <w:rPr>
          <w:sz w:val="24"/>
          <w:szCs w:val="24"/>
        </w:rPr>
        <w:tab/>
      </w:r>
      <w:r w:rsidRPr="00B70F51">
        <w:rPr>
          <w:sz w:val="24"/>
          <w:szCs w:val="24"/>
        </w:rPr>
        <w:tab/>
        <w:t>Jan MAKOWSKI przeprowadził wywiad z organizatorami POSTEOR -u, tj. Przedsiębiorstwa Wdrażania i Upowszechniania Postępu Technicznego i Organizacyjnego Oddziału w Poznaniu („</w:t>
      </w:r>
      <w:r w:rsidRPr="00B70F51">
        <w:rPr>
          <w:i/>
          <w:iCs/>
          <w:sz w:val="24"/>
          <w:szCs w:val="24"/>
        </w:rPr>
        <w:t>POSTEOR</w:t>
      </w:r>
      <w:r w:rsidRPr="00B70F51">
        <w:rPr>
          <w:sz w:val="24"/>
          <w:szCs w:val="24"/>
        </w:rPr>
        <w:t>” był pierwszą jednostką menadżerską w powojennej Polsce, zaś Oddział w Poznaniu trzecim, po Wrocławiu i Gdańsku, z siedzibą w Sopocie), którymi byli:</w:t>
      </w:r>
    </w:p>
    <w:p w14:paraId="6D16C1D7" w14:textId="77777777" w:rsidR="00B70F51" w:rsidRPr="00B70F51" w:rsidRDefault="00EF3DBD" w:rsidP="00B70F51">
      <w:pPr>
        <w:tabs>
          <w:tab w:val="left" w:pos="1134"/>
        </w:tabs>
        <w:spacing w:after="0"/>
        <w:ind w:left="1418" w:hanging="1418"/>
        <w:rPr>
          <w:sz w:val="10"/>
          <w:szCs w:val="10"/>
        </w:rPr>
      </w:pPr>
      <w:r>
        <w:tab/>
      </w:r>
      <w:r>
        <w:tab/>
      </w:r>
    </w:p>
    <w:p w14:paraId="2356A38D" w14:textId="22E00D12" w:rsidR="00EF3DBD" w:rsidRPr="00B70F51" w:rsidRDefault="00B70F51" w:rsidP="00B70F51">
      <w:pPr>
        <w:tabs>
          <w:tab w:val="left" w:pos="1134"/>
        </w:tabs>
        <w:spacing w:after="0"/>
        <w:ind w:left="1418" w:hanging="1418"/>
        <w:rPr>
          <w:sz w:val="24"/>
          <w:szCs w:val="24"/>
        </w:rPr>
      </w:pPr>
      <w:r>
        <w:tab/>
      </w:r>
      <w:r>
        <w:tab/>
      </w:r>
      <w:r w:rsidR="00EF3DBD" w:rsidRPr="00B70F51">
        <w:rPr>
          <w:sz w:val="24"/>
          <w:szCs w:val="24"/>
        </w:rPr>
        <w:t>Krystian WITASZAK</w:t>
      </w:r>
    </w:p>
    <w:p w14:paraId="3852425B" w14:textId="77777777" w:rsidR="00B70F51" w:rsidRPr="00B70F51" w:rsidRDefault="00EF3DBD" w:rsidP="00B70F51">
      <w:pPr>
        <w:tabs>
          <w:tab w:val="left" w:pos="1134"/>
        </w:tabs>
        <w:spacing w:after="0"/>
        <w:ind w:left="1418" w:hanging="1418"/>
        <w:rPr>
          <w:sz w:val="10"/>
          <w:szCs w:val="10"/>
        </w:rPr>
      </w:pPr>
      <w:r>
        <w:tab/>
      </w:r>
      <w:r>
        <w:tab/>
      </w:r>
    </w:p>
    <w:p w14:paraId="4DCD2F83" w14:textId="14BF7922" w:rsidR="00EF3DBD" w:rsidRPr="00B70F51" w:rsidRDefault="00B70F51" w:rsidP="00B70F51">
      <w:pPr>
        <w:tabs>
          <w:tab w:val="left" w:pos="1134"/>
        </w:tabs>
        <w:spacing w:after="0"/>
        <w:ind w:left="1418" w:hanging="1418"/>
        <w:rPr>
          <w:sz w:val="24"/>
          <w:szCs w:val="24"/>
        </w:rPr>
      </w:pPr>
      <w:r>
        <w:tab/>
      </w:r>
      <w:r>
        <w:tab/>
      </w:r>
      <w:r w:rsidR="00EF3DBD" w:rsidRPr="00B70F51">
        <w:rPr>
          <w:sz w:val="24"/>
          <w:szCs w:val="24"/>
        </w:rPr>
        <w:t>Zbigniew KRAŚNICKI oraz:</w:t>
      </w:r>
    </w:p>
    <w:p w14:paraId="26216CBD" w14:textId="77777777" w:rsidR="00B70F51" w:rsidRPr="00B70F51" w:rsidRDefault="00B70F51" w:rsidP="00B70F51">
      <w:pPr>
        <w:spacing w:after="0"/>
        <w:ind w:left="708" w:firstLine="708"/>
        <w:rPr>
          <w:rFonts w:cstheme="minorHAnsi"/>
          <w:bCs/>
          <w:color w:val="000000"/>
          <w:sz w:val="10"/>
          <w:szCs w:val="10"/>
        </w:rPr>
      </w:pPr>
    </w:p>
    <w:p w14:paraId="53A4A5E1" w14:textId="440F9DB1" w:rsidR="00EF3DBD" w:rsidRPr="00B70F51" w:rsidRDefault="00EF3DBD" w:rsidP="00B70F51">
      <w:pPr>
        <w:spacing w:after="0"/>
        <w:ind w:left="708" w:firstLine="708"/>
        <w:rPr>
          <w:rFonts w:cstheme="minorHAnsi"/>
          <w:bCs/>
          <w:color w:val="000000"/>
          <w:sz w:val="24"/>
          <w:szCs w:val="24"/>
        </w:rPr>
      </w:pPr>
      <w:r w:rsidRPr="00B70F51">
        <w:rPr>
          <w:rFonts w:cstheme="minorHAnsi"/>
          <w:bCs/>
          <w:color w:val="000000"/>
          <w:sz w:val="24"/>
          <w:szCs w:val="24"/>
        </w:rPr>
        <w:t xml:space="preserve">Ryszard MATUSIAK </w:t>
      </w:r>
    </w:p>
    <w:p w14:paraId="1B1CA37B" w14:textId="77777777" w:rsidR="00B70F51" w:rsidRPr="00B70F51" w:rsidRDefault="00B70F51" w:rsidP="00EF3DBD">
      <w:pPr>
        <w:spacing w:after="0" w:line="240" w:lineRule="auto"/>
        <w:ind w:left="1418" w:hanging="1418"/>
        <w:rPr>
          <w:rFonts w:cstheme="minorHAnsi"/>
          <w:b/>
          <w:bCs/>
          <w:color w:val="000000"/>
          <w:sz w:val="14"/>
          <w:szCs w:val="14"/>
        </w:rPr>
      </w:pPr>
    </w:p>
    <w:p w14:paraId="6CB17AA7" w14:textId="77777777" w:rsidR="00624431" w:rsidRDefault="00EF3DBD" w:rsidP="00EF3DBD">
      <w:pPr>
        <w:spacing w:after="0" w:line="240" w:lineRule="auto"/>
        <w:ind w:left="1418" w:hanging="1418"/>
        <w:rPr>
          <w:rFonts w:cstheme="minorHAnsi"/>
          <w:b/>
          <w:bCs/>
          <w:color w:val="000000"/>
        </w:rPr>
      </w:pPr>
      <w:r>
        <w:rPr>
          <w:rFonts w:cstheme="minorHAnsi"/>
          <w:b/>
          <w:bCs/>
          <w:color w:val="000000"/>
        </w:rPr>
        <w:t xml:space="preserve"> </w:t>
      </w:r>
      <w:r>
        <w:rPr>
          <w:rFonts w:cstheme="minorHAnsi"/>
          <w:b/>
          <w:bCs/>
          <w:color w:val="000000"/>
        </w:rPr>
        <w:tab/>
      </w:r>
    </w:p>
    <w:p w14:paraId="4CB541D3" w14:textId="77777777" w:rsidR="00624431" w:rsidRDefault="00624431" w:rsidP="00624431">
      <w:pPr>
        <w:jc w:val="center"/>
        <w:rPr>
          <w:b/>
          <w:bCs/>
          <w:color w:val="000000"/>
        </w:rPr>
      </w:pPr>
      <w:r>
        <w:rPr>
          <w:b/>
          <w:bCs/>
          <w:color w:val="000000"/>
        </w:rPr>
        <w:t>* * *</w:t>
      </w:r>
    </w:p>
    <w:p w14:paraId="3D590F05" w14:textId="0E6ED385" w:rsidR="00EF3DBD" w:rsidRPr="004A5F6A" w:rsidRDefault="00EF3DBD" w:rsidP="00624431">
      <w:pPr>
        <w:rPr>
          <w:rFonts w:asciiTheme="majorHAnsi" w:hAnsiTheme="majorHAnsi" w:cstheme="majorBidi"/>
          <w:sz w:val="24"/>
          <w:szCs w:val="24"/>
        </w:rPr>
      </w:pPr>
      <w:r w:rsidRPr="004A5F6A">
        <w:rPr>
          <w:b/>
          <w:bCs/>
          <w:color w:val="000000"/>
          <w:sz w:val="24"/>
          <w:szCs w:val="24"/>
        </w:rPr>
        <w:t>U</w:t>
      </w:r>
      <w:r w:rsidRPr="004A5F6A">
        <w:rPr>
          <w:b/>
          <w:bCs/>
          <w:kern w:val="0"/>
          <w:sz w:val="24"/>
          <w:szCs w:val="24"/>
        </w:rPr>
        <w:t>wag</w:t>
      </w:r>
      <w:r w:rsidR="001841DA" w:rsidRPr="004A5F6A">
        <w:rPr>
          <w:b/>
          <w:bCs/>
          <w:kern w:val="0"/>
          <w:sz w:val="24"/>
          <w:szCs w:val="24"/>
        </w:rPr>
        <w:t>i</w:t>
      </w:r>
      <w:r w:rsidRPr="004A5F6A">
        <w:rPr>
          <w:b/>
          <w:bCs/>
          <w:kern w:val="0"/>
          <w:sz w:val="24"/>
          <w:szCs w:val="24"/>
        </w:rPr>
        <w:t xml:space="preserve"> Redakcji</w:t>
      </w:r>
      <w:r w:rsidRPr="004A5F6A">
        <w:rPr>
          <w:kern w:val="0"/>
          <w:sz w:val="24"/>
          <w:szCs w:val="24"/>
        </w:rPr>
        <w:t xml:space="preserve"> na temat jednego z bohaterów </w:t>
      </w:r>
      <w:r w:rsidRPr="004A5F6A">
        <w:rPr>
          <w:color w:val="000000"/>
          <w:sz w:val="24"/>
          <w:szCs w:val="24"/>
        </w:rPr>
        <w:t>publikacji „</w:t>
      </w:r>
      <w:r w:rsidRPr="004A5F6A">
        <w:rPr>
          <w:rStyle w:val="Nagwek3Znak"/>
          <w:rFonts w:asciiTheme="minorHAnsi" w:hAnsiTheme="minorHAnsi" w:cstheme="minorHAnsi"/>
          <w:b/>
          <w:bCs/>
          <w:i/>
          <w:iCs/>
        </w:rPr>
        <w:t>Poszukiwacze skarbów</w:t>
      </w:r>
      <w:r w:rsidRPr="004A5F6A">
        <w:rPr>
          <w:color w:val="000000"/>
          <w:sz w:val="24"/>
          <w:szCs w:val="24"/>
        </w:rPr>
        <w:t>”:</w:t>
      </w:r>
    </w:p>
    <w:p w14:paraId="1CA2035E" w14:textId="16F78F71" w:rsidR="00EF3DBD" w:rsidRPr="004A5F6A" w:rsidRDefault="00EF3DBD" w:rsidP="004A5F6A">
      <w:pPr>
        <w:rPr>
          <w:color w:val="2E74B5" w:themeColor="accent5" w:themeShade="BF"/>
          <w:sz w:val="24"/>
          <w:szCs w:val="24"/>
          <w:lang w:val="en-US"/>
        </w:rPr>
      </w:pPr>
      <w:r w:rsidRPr="004A5F6A">
        <w:rPr>
          <w:b/>
          <w:bCs/>
          <w:color w:val="2E74B5" w:themeColor="accent5" w:themeShade="BF"/>
          <w:sz w:val="24"/>
          <w:szCs w:val="24"/>
          <w:lang w:val="en-US"/>
        </w:rPr>
        <w:t>Editor's Note:</w:t>
      </w:r>
      <w:r w:rsidR="004A5F6A" w:rsidRPr="004A5F6A">
        <w:rPr>
          <w:color w:val="2E74B5" w:themeColor="accent5" w:themeShade="BF"/>
          <w:sz w:val="24"/>
          <w:szCs w:val="24"/>
          <w:lang w:val="en-US"/>
        </w:rPr>
        <w:t xml:space="preserve"> Editorial comments about one of the characters of the publication "</w:t>
      </w:r>
      <w:r w:rsidR="004A5F6A" w:rsidRPr="004A5F6A">
        <w:rPr>
          <w:b/>
          <w:bCs/>
          <w:i/>
          <w:iCs/>
          <w:color w:val="2E74B5" w:themeColor="accent5" w:themeShade="BF"/>
          <w:sz w:val="24"/>
          <w:szCs w:val="24"/>
          <w:lang w:val="en-US"/>
        </w:rPr>
        <w:t>Treasure Hunters</w:t>
      </w:r>
      <w:r w:rsidR="004A5F6A" w:rsidRPr="004A5F6A">
        <w:rPr>
          <w:color w:val="2E74B5" w:themeColor="accent5" w:themeShade="BF"/>
          <w:sz w:val="24"/>
          <w:szCs w:val="24"/>
          <w:lang w:val="en-US"/>
        </w:rPr>
        <w:t>":</w:t>
      </w:r>
    </w:p>
    <w:p w14:paraId="0E67EABE" w14:textId="77777777" w:rsidR="00EF3DBD" w:rsidRPr="004A5F6A" w:rsidRDefault="00EF3DBD" w:rsidP="00EF3DBD">
      <w:pPr>
        <w:spacing w:after="0"/>
        <w:jc w:val="both"/>
        <w:rPr>
          <w:b/>
          <w:bCs/>
          <w:kern w:val="0"/>
          <w:sz w:val="24"/>
          <w:szCs w:val="24"/>
          <w:lang w:val="en-US"/>
        </w:rPr>
      </w:pPr>
    </w:p>
    <w:tbl>
      <w:tblPr>
        <w:tblStyle w:val="Tabela-Siatka"/>
        <w:tblW w:w="97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476"/>
      </w:tblGrid>
      <w:tr w:rsidR="00EF3DBD" w:rsidRPr="002969DE" w14:paraId="0375A898" w14:textId="77777777" w:rsidTr="00DA3FB7">
        <w:tc>
          <w:tcPr>
            <w:tcW w:w="1276" w:type="dxa"/>
          </w:tcPr>
          <w:p w14:paraId="43A53A57" w14:textId="77777777" w:rsidR="00EF3DBD" w:rsidRPr="004A5F6A" w:rsidRDefault="00EF3DBD" w:rsidP="00DA3FB7">
            <w:pPr>
              <w:rPr>
                <w:rFonts w:cstheme="minorHAnsi"/>
                <w:b/>
                <w:bCs/>
                <w:noProof/>
                <w:sz w:val="6"/>
                <w:szCs w:val="6"/>
                <w:lang w:val="en-US"/>
              </w:rPr>
            </w:pPr>
          </w:p>
          <w:p w14:paraId="34BBE1BD" w14:textId="77777777" w:rsidR="00EF3DBD" w:rsidRPr="00EC4F25" w:rsidRDefault="00EF3DBD" w:rsidP="00DA3FB7">
            <w:pPr>
              <w:rPr>
                <w:rFonts w:cstheme="minorHAnsi"/>
                <w:b/>
                <w:bCs/>
                <w:noProof/>
                <w:sz w:val="18"/>
                <w:szCs w:val="18"/>
              </w:rPr>
            </w:pPr>
            <w:r>
              <w:rPr>
                <w:noProof/>
              </w:rPr>
              <w:drawing>
                <wp:inline distT="0" distB="0" distL="0" distR="0" wp14:anchorId="66DFCEE6" wp14:editId="33113050">
                  <wp:extent cx="662400" cy="900000"/>
                  <wp:effectExtent l="0" t="0" r="4445" b="0"/>
                  <wp:docPr id="1358933181" name="Obraz 7" descr="Obraz zawierający osoba, drzewo, na wolnym powietrzu,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07429" name="Obraz 7" descr="Obraz zawierający osoba, drzewo, na wolnym powietrzu, ubrani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a:ln>
                            <a:noFill/>
                          </a:ln>
                        </pic:spPr>
                      </pic:pic>
                    </a:graphicData>
                  </a:graphic>
                </wp:inline>
              </w:drawing>
            </w:r>
          </w:p>
        </w:tc>
        <w:tc>
          <w:tcPr>
            <w:tcW w:w="8476" w:type="dxa"/>
          </w:tcPr>
          <w:p w14:paraId="26CFEA1A" w14:textId="657E4314" w:rsidR="00EF3DBD" w:rsidRPr="00B70F51" w:rsidRDefault="00EF3DBD" w:rsidP="00DA3FB7">
            <w:pPr>
              <w:rPr>
                <w:rFonts w:asciiTheme="minorHAnsi" w:hAnsiTheme="minorHAnsi" w:cstheme="minorHAnsi"/>
                <w:bCs/>
                <w:color w:val="000000"/>
                <w:sz w:val="24"/>
                <w:szCs w:val="24"/>
              </w:rPr>
            </w:pPr>
            <w:r>
              <w:rPr>
                <w:rFonts w:asciiTheme="minorHAnsi" w:hAnsiTheme="minorHAnsi" w:cstheme="minorHAnsi"/>
                <w:bCs/>
                <w:color w:val="000000"/>
                <w:sz w:val="22"/>
                <w:szCs w:val="22"/>
              </w:rPr>
              <w:t xml:space="preserve"> </w:t>
            </w:r>
            <w:r w:rsidRPr="00B70F51">
              <w:rPr>
                <w:rFonts w:asciiTheme="minorHAnsi" w:hAnsiTheme="minorHAnsi" w:cstheme="minorHAnsi"/>
                <w:bCs/>
                <w:color w:val="000000"/>
                <w:sz w:val="24"/>
                <w:szCs w:val="24"/>
              </w:rPr>
              <w:t xml:space="preserve">Ryszard MATUSIAK </w:t>
            </w:r>
          </w:p>
          <w:p w14:paraId="1154A424"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rzecznik patentowy w latach 1978-97</w:t>
            </w:r>
          </w:p>
          <w:p w14:paraId="7729B17F"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 xml:space="preserve">współzałożyciel Polskiej Izby Rzeczników Patentowych </w:t>
            </w:r>
          </w:p>
          <w:p w14:paraId="158B4CBA"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uczestnik I Krajowego Zjazdu w dniu 28.08.1993 r.</w:t>
            </w:r>
          </w:p>
          <w:p w14:paraId="1C0B2B27"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Przewodniczący Głównej Komisji Rewizyjnej SIMP 28.06.2002-26.11.2022</w:t>
            </w:r>
          </w:p>
          <w:p w14:paraId="738337C1"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 xml:space="preserve">Ekspert Urzędu Marszałkowskiego Województwa Wielkopolskiego </w:t>
            </w:r>
          </w:p>
          <w:p w14:paraId="0BFED6FC"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 xml:space="preserve">Wpisany przez Urząd Marszałkowski Województwa Wielkopolskiego na Listę Krajową Ekspertów </w:t>
            </w:r>
          </w:p>
          <w:p w14:paraId="4A8A3C5E"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 xml:space="preserve">Przewodniczący </w:t>
            </w:r>
            <w:proofErr w:type="spellStart"/>
            <w:r w:rsidRPr="00B70F51">
              <w:rPr>
                <w:rFonts w:asciiTheme="minorHAnsi" w:eastAsia="Times New Roman" w:hAnsiTheme="minorHAnsi" w:cstheme="minorHAnsi"/>
                <w:bCs/>
                <w:color w:val="000000"/>
                <w:sz w:val="24"/>
                <w:szCs w:val="24"/>
              </w:rPr>
              <w:t>WKTiR</w:t>
            </w:r>
            <w:proofErr w:type="spellEnd"/>
            <w:r w:rsidRPr="00B70F51">
              <w:rPr>
                <w:rFonts w:asciiTheme="minorHAnsi" w:eastAsia="Times New Roman" w:hAnsiTheme="minorHAnsi" w:cstheme="minorHAnsi"/>
                <w:bCs/>
                <w:color w:val="000000"/>
                <w:sz w:val="24"/>
                <w:szCs w:val="24"/>
              </w:rPr>
              <w:t xml:space="preserve"> w Poznaniu (1981-1985) </w:t>
            </w:r>
          </w:p>
          <w:p w14:paraId="343AAC2E" w14:textId="77777777" w:rsidR="00EF3DBD" w:rsidRPr="00B70F51" w:rsidRDefault="00EF3DBD" w:rsidP="00DA3FB7">
            <w:pPr>
              <w:pStyle w:val="Akapitzlist"/>
              <w:numPr>
                <w:ilvl w:val="0"/>
                <w:numId w:val="58"/>
              </w:numPr>
              <w:ind w:left="317" w:hanging="283"/>
              <w:rPr>
                <w:rFonts w:asciiTheme="minorHAnsi" w:eastAsia="Times New Roman" w:hAnsiTheme="minorHAnsi" w:cstheme="minorHAnsi"/>
                <w:bCs/>
                <w:color w:val="000000"/>
                <w:sz w:val="24"/>
                <w:szCs w:val="24"/>
              </w:rPr>
            </w:pPr>
            <w:r w:rsidRPr="00B70F51">
              <w:rPr>
                <w:rFonts w:asciiTheme="minorHAnsi" w:eastAsia="Times New Roman" w:hAnsiTheme="minorHAnsi" w:cstheme="minorHAnsi"/>
                <w:bCs/>
                <w:color w:val="000000"/>
                <w:sz w:val="24"/>
                <w:szCs w:val="24"/>
              </w:rPr>
              <w:t>Rzeczoznawca SIMP</w:t>
            </w:r>
          </w:p>
          <w:p w14:paraId="49EC25DF" w14:textId="77777777" w:rsidR="00EF3DBD" w:rsidRPr="002969DE" w:rsidRDefault="00EF3DBD" w:rsidP="00DA3FB7">
            <w:pPr>
              <w:rPr>
                <w:rFonts w:cstheme="minorHAnsi"/>
                <w:bCs/>
                <w:color w:val="000000"/>
                <w:sz w:val="22"/>
                <w:szCs w:val="22"/>
              </w:rPr>
            </w:pPr>
          </w:p>
        </w:tc>
      </w:tr>
    </w:tbl>
    <w:p w14:paraId="1125AE91" w14:textId="77777777" w:rsidR="00556D9F" w:rsidRDefault="00556D9F" w:rsidP="00027FC3">
      <w:pPr>
        <w:pStyle w:val="nrbrzegowy2"/>
        <w:numPr>
          <w:ilvl w:val="0"/>
          <w:numId w:val="74"/>
        </w:numPr>
        <w:ind w:left="0" w:hanging="851"/>
      </w:pPr>
      <w:r w:rsidRPr="001841DA">
        <w:rPr>
          <w:rStyle w:val="Pogrubienie"/>
          <w:rFonts w:asciiTheme="minorHAnsi" w:eastAsiaTheme="majorEastAsia" w:hAnsiTheme="minorHAnsi" w:cstheme="minorHAnsi"/>
        </w:rPr>
        <w:t>W ramach przeglądu publikacji w dziedzinie własności intelektualnej</w:t>
      </w:r>
      <w:r w:rsidRPr="005C0468">
        <w:t xml:space="preserve"> zachęcamy do zapoznania się z artykułem: „</w:t>
      </w:r>
      <w:r w:rsidRPr="001841DA">
        <w:rPr>
          <w:i/>
          <w:iCs/>
        </w:rPr>
        <w:t>Poszukiwacze skarbów</w:t>
      </w:r>
      <w:r w:rsidRPr="005C0468">
        <w:t xml:space="preserve">” opublikowanym na łamach </w:t>
      </w:r>
      <w:r>
        <w:t>czasopisma „</w:t>
      </w:r>
      <w:r w:rsidRPr="005C0468">
        <w:t>Sztandary młodych</w:t>
      </w:r>
      <w:r>
        <w:t>”</w:t>
      </w:r>
      <w:r w:rsidRPr="005C0468">
        <w:t xml:space="preserve"> z </w:t>
      </w:r>
      <w:r>
        <w:t xml:space="preserve">dnia </w:t>
      </w:r>
      <w:r w:rsidRPr="005C0468">
        <w:t xml:space="preserve">22 marca 1977 roku. Jednym z jego bohaterów jest dr Ryszard Matusiak </w:t>
      </w:r>
      <w:r>
        <w:t>-</w:t>
      </w:r>
      <w:r w:rsidRPr="005C0468">
        <w:t xml:space="preserve"> </w:t>
      </w:r>
      <w:r>
        <w:t>W</w:t>
      </w:r>
      <w:r w:rsidRPr="005C0468">
        <w:t>iceprezes StoWI</w:t>
      </w:r>
      <w:r>
        <w:t>:</w:t>
      </w:r>
    </w:p>
    <w:p w14:paraId="6DA69CE2" w14:textId="77777777" w:rsidR="00556D9F" w:rsidRPr="00027FC3" w:rsidRDefault="00556D9F" w:rsidP="00027FC3">
      <w:pPr>
        <w:pStyle w:val="nrbrzegowy2"/>
        <w:numPr>
          <w:ilvl w:val="0"/>
          <w:numId w:val="0"/>
        </w:numPr>
        <w:rPr>
          <w:color w:val="2E74B5" w:themeColor="accent5" w:themeShade="BF"/>
          <w:lang w:val="en-US"/>
        </w:rPr>
      </w:pPr>
      <w:r w:rsidRPr="00027FC3">
        <w:rPr>
          <w:color w:val="2E74B5" w:themeColor="accent5" w:themeShade="BF"/>
          <w:lang w:val="en-GB"/>
        </w:rPr>
        <w:lastRenderedPageBreak/>
        <w:t>As part of our review of publications in the field of intellectual property, we encourage you to read the article: "</w:t>
      </w:r>
      <w:r w:rsidRPr="00027FC3">
        <w:rPr>
          <w:i/>
          <w:iCs/>
          <w:color w:val="2E74B5" w:themeColor="accent5" w:themeShade="BF"/>
          <w:lang w:val="en-GB"/>
        </w:rPr>
        <w:t>Treasure Seekers</w:t>
      </w:r>
      <w:r w:rsidRPr="00027FC3">
        <w:rPr>
          <w:color w:val="2E74B5" w:themeColor="accent5" w:themeShade="BF"/>
          <w:lang w:val="en-GB"/>
        </w:rPr>
        <w:t>" published in the journal “</w:t>
      </w:r>
      <w:proofErr w:type="spellStart"/>
      <w:r w:rsidRPr="00027FC3">
        <w:rPr>
          <w:i/>
          <w:iCs/>
          <w:color w:val="2E74B5" w:themeColor="accent5" w:themeShade="BF"/>
          <w:lang w:val="en-GB"/>
        </w:rPr>
        <w:t>Sztandary</w:t>
      </w:r>
      <w:proofErr w:type="spellEnd"/>
      <w:r w:rsidRPr="00027FC3">
        <w:rPr>
          <w:i/>
          <w:iCs/>
          <w:color w:val="2E74B5" w:themeColor="accent5" w:themeShade="BF"/>
          <w:lang w:val="en-GB"/>
        </w:rPr>
        <w:t xml:space="preserve"> </w:t>
      </w:r>
      <w:proofErr w:type="spellStart"/>
      <w:r w:rsidRPr="00027FC3">
        <w:rPr>
          <w:i/>
          <w:iCs/>
          <w:color w:val="2E74B5" w:themeColor="accent5" w:themeShade="BF"/>
          <w:lang w:val="en-GB"/>
        </w:rPr>
        <w:t>młodych</w:t>
      </w:r>
      <w:proofErr w:type="spellEnd"/>
      <w:r w:rsidRPr="00027FC3">
        <w:rPr>
          <w:i/>
          <w:iCs/>
          <w:color w:val="2E74B5" w:themeColor="accent5" w:themeShade="BF"/>
          <w:lang w:val="en-GB"/>
        </w:rPr>
        <w:t>”</w:t>
      </w:r>
      <w:r w:rsidRPr="00027FC3">
        <w:rPr>
          <w:color w:val="2E74B5" w:themeColor="accent5" w:themeShade="BF"/>
          <w:lang w:val="en-GB"/>
        </w:rPr>
        <w:t xml:space="preserve"> of 22 March 1977. One of its protagonists I"s Ph. </w:t>
      </w:r>
      <w:r w:rsidRPr="00027FC3">
        <w:rPr>
          <w:color w:val="2E74B5" w:themeColor="accent5" w:themeShade="BF"/>
          <w:lang w:val="en-US"/>
        </w:rPr>
        <w:t>Ryszard Matusiak - Vice-President of StoWI:</w:t>
      </w:r>
    </w:p>
    <w:p w14:paraId="2BDD6A63" w14:textId="77777777" w:rsidR="00556D9F" w:rsidRDefault="00556D9F" w:rsidP="00027FC3">
      <w:pPr>
        <w:pStyle w:val="nrbrzegowy2"/>
        <w:numPr>
          <w:ilvl w:val="0"/>
          <w:numId w:val="74"/>
        </w:numPr>
        <w:ind w:left="0" w:hanging="851"/>
      </w:pPr>
      <w:r w:rsidRPr="001841DA">
        <w:rPr>
          <w:rFonts w:asciiTheme="minorHAnsi" w:hAnsiTheme="minorHAnsi" w:cstheme="minorHAnsi"/>
        </w:rPr>
        <w:t>Zachęcamy do zapoznania się z historią dr Ryszarda Matusiaka, wiceprezesa StoWI, wynalazcy, który opracował niezwykle efektywny proces ekstrakcji sylimaryny z ostropestu plamistego.</w:t>
      </w:r>
    </w:p>
    <w:p w14:paraId="68471B2C" w14:textId="77777777" w:rsidR="00556D9F" w:rsidRPr="00027FC3" w:rsidRDefault="00556D9F" w:rsidP="00027FC3">
      <w:pPr>
        <w:pStyle w:val="nrbrzegowy2"/>
        <w:numPr>
          <w:ilvl w:val="0"/>
          <w:numId w:val="0"/>
        </w:numPr>
        <w:rPr>
          <w:color w:val="2E74B5" w:themeColor="accent5" w:themeShade="BF"/>
          <w:lang w:val="en-GB"/>
        </w:rPr>
      </w:pPr>
      <w:r w:rsidRPr="00027FC3">
        <w:rPr>
          <w:color w:val="2E74B5" w:themeColor="accent5" w:themeShade="BF"/>
          <w:lang w:val="en-GB"/>
        </w:rPr>
        <w:t>We encourage you to learn more about Dr Ryszard Matusiak, Vice President of StoWI, an inventor who has developed an extremely efficient process for extracting silymarin from milk thistle.</w:t>
      </w:r>
    </w:p>
    <w:p w14:paraId="0AEA6491" w14:textId="77777777" w:rsidR="00556D9F" w:rsidRPr="00556D9F" w:rsidRDefault="00556D9F" w:rsidP="00027FC3">
      <w:pPr>
        <w:pStyle w:val="nrbrzegowy2"/>
        <w:numPr>
          <w:ilvl w:val="0"/>
          <w:numId w:val="0"/>
        </w:numPr>
        <w:ind w:hanging="851"/>
        <w:rPr>
          <w:b/>
          <w:sz w:val="10"/>
          <w:szCs w:val="10"/>
          <w:lang w:val="en-US"/>
        </w:rPr>
      </w:pPr>
    </w:p>
    <w:p w14:paraId="5D20D2A2" w14:textId="77777777" w:rsidR="00556D9F" w:rsidRDefault="00556D9F" w:rsidP="00027FC3">
      <w:pPr>
        <w:pStyle w:val="nrbrzegowy2"/>
        <w:ind w:left="0" w:hanging="851"/>
        <w:rPr>
          <w:szCs w:val="24"/>
        </w:rPr>
      </w:pPr>
      <w:r w:rsidRPr="001841DA">
        <w:rPr>
          <w:szCs w:val="24"/>
        </w:rPr>
        <w:t>Z</w:t>
      </w:r>
      <w:r>
        <w:rPr>
          <w:szCs w:val="24"/>
        </w:rPr>
        <w:t xml:space="preserve">obacz wideo - </w:t>
      </w:r>
      <w:r w:rsidRPr="001841DA">
        <w:t>sam autor opowiada o swoim odkryciu</w:t>
      </w:r>
      <w:r>
        <w:rPr>
          <w:szCs w:val="24"/>
        </w:rPr>
        <w:t>:</w:t>
      </w:r>
    </w:p>
    <w:p w14:paraId="646D7BF7" w14:textId="24849555" w:rsidR="00556D9F" w:rsidRPr="00556D9F" w:rsidRDefault="00B82931" w:rsidP="00027FC3">
      <w:pPr>
        <w:pStyle w:val="nrbrzegowy2"/>
        <w:numPr>
          <w:ilvl w:val="0"/>
          <w:numId w:val="0"/>
        </w:numPr>
        <w:rPr>
          <w:color w:val="4472C4" w:themeColor="accent1"/>
        </w:rPr>
      </w:pPr>
      <w:hyperlink r:id="rId269" w:history="1">
        <w:r w:rsidR="00027FC3" w:rsidRPr="00330163">
          <w:rPr>
            <w:rStyle w:val="Hipercze"/>
            <w:color w:val="2E74B5" w:themeColor="accent5" w:themeShade="BF"/>
          </w:rPr>
          <w:t>https://www.youtube.com/watch?v=dEIT-zyRZh8</w:t>
        </w:r>
      </w:hyperlink>
      <w:r w:rsidR="00556D9F" w:rsidRPr="00556D9F">
        <w:rPr>
          <w:color w:val="4472C4" w:themeColor="accent1"/>
        </w:rPr>
        <w:t xml:space="preserve"> </w:t>
      </w:r>
    </w:p>
    <w:p w14:paraId="067FC872" w14:textId="77777777" w:rsidR="00556D9F" w:rsidRPr="00556D9F" w:rsidRDefault="00556D9F" w:rsidP="00027FC3">
      <w:pPr>
        <w:pStyle w:val="nrbrzegowy2"/>
        <w:numPr>
          <w:ilvl w:val="0"/>
          <w:numId w:val="0"/>
        </w:numPr>
        <w:rPr>
          <w:color w:val="4472C4" w:themeColor="accent1"/>
          <w:lang w:val="en-GB"/>
        </w:rPr>
      </w:pPr>
      <w:r w:rsidRPr="00556D9F">
        <w:rPr>
          <w:color w:val="4472C4" w:themeColor="accent1"/>
          <w:lang w:val="en-GB"/>
        </w:rPr>
        <w:t>Watch the video in which the author himself talks about his discovery:</w:t>
      </w:r>
    </w:p>
    <w:p w14:paraId="75EA1A65" w14:textId="565E53A4" w:rsidR="00556D9F" w:rsidRPr="00330163" w:rsidRDefault="00B82931" w:rsidP="00027FC3">
      <w:pPr>
        <w:pStyle w:val="nrbrzegowy2"/>
        <w:numPr>
          <w:ilvl w:val="0"/>
          <w:numId w:val="0"/>
        </w:numPr>
        <w:rPr>
          <w:color w:val="2E74B5" w:themeColor="accent5" w:themeShade="BF"/>
          <w:lang w:val="en-GB"/>
        </w:rPr>
      </w:pPr>
      <w:hyperlink r:id="rId270" w:history="1">
        <w:r w:rsidR="00027FC3" w:rsidRPr="00330163">
          <w:rPr>
            <w:rStyle w:val="Hipercze"/>
            <w:color w:val="2E74B5" w:themeColor="accent5" w:themeShade="BF"/>
            <w:lang w:val="en-GB"/>
          </w:rPr>
          <w:t>https://www.youtube.com/watch?v=dEIT-zyRZh8</w:t>
        </w:r>
      </w:hyperlink>
      <w:r w:rsidR="00556D9F" w:rsidRPr="00330163">
        <w:rPr>
          <w:color w:val="2E74B5" w:themeColor="accent5" w:themeShade="BF"/>
          <w:lang w:val="en-GB"/>
        </w:rPr>
        <w:t xml:space="preserve"> </w:t>
      </w:r>
    </w:p>
    <w:p w14:paraId="08C996B8" w14:textId="77777777" w:rsidR="00556D9F" w:rsidRPr="001841DA" w:rsidRDefault="00556D9F" w:rsidP="00556D9F">
      <w:pPr>
        <w:spacing w:after="0" w:line="240" w:lineRule="auto"/>
        <w:jc w:val="both"/>
        <w:rPr>
          <w:b/>
          <w:bCs/>
          <w:color w:val="4472C4" w:themeColor="accent1"/>
          <w:sz w:val="10"/>
          <w:szCs w:val="10"/>
          <w:lang w:val="en-GB" w:eastAsia="pl-PL"/>
        </w:rPr>
      </w:pPr>
    </w:p>
    <w:p w14:paraId="38A7D69A" w14:textId="77777777" w:rsidR="00556D9F" w:rsidRPr="00556D9F" w:rsidRDefault="00556D9F" w:rsidP="00556D9F">
      <w:pPr>
        <w:pStyle w:val="NormalnyWeb"/>
        <w:shd w:val="clear" w:color="auto" w:fill="FFFFFF"/>
        <w:spacing w:before="0" w:beforeAutospacing="0" w:after="0" w:afterAutospacing="0"/>
        <w:rPr>
          <w:rFonts w:asciiTheme="minorHAnsi" w:hAnsiTheme="minorHAnsi" w:cstheme="minorHAnsi"/>
          <w:b/>
          <w:bCs/>
          <w:sz w:val="10"/>
          <w:szCs w:val="10"/>
          <w:lang w:val="en-GB"/>
        </w:rPr>
      </w:pPr>
    </w:p>
    <w:p w14:paraId="202BD842" w14:textId="77777777" w:rsidR="00556D9F" w:rsidRPr="001841DA" w:rsidRDefault="00556D9F" w:rsidP="00EF3DBD">
      <w:pPr>
        <w:pStyle w:val="NormalnyWeb"/>
        <w:shd w:val="clear" w:color="auto" w:fill="FFFFFF"/>
        <w:spacing w:before="0" w:beforeAutospacing="0" w:after="0" w:afterAutospacing="0"/>
        <w:jc w:val="both"/>
        <w:rPr>
          <w:rFonts w:asciiTheme="minorHAnsi" w:hAnsiTheme="minorHAnsi" w:cstheme="minorHAnsi"/>
          <w:sz w:val="10"/>
          <w:szCs w:val="10"/>
          <w:lang w:val="en-GB"/>
        </w:rPr>
      </w:pPr>
    </w:p>
    <w:p w14:paraId="3229860A" w14:textId="77777777" w:rsidR="00EF3DBD" w:rsidRPr="00D627B9" w:rsidRDefault="00EF3DBD" w:rsidP="00EF3DBD">
      <w:pPr>
        <w:pStyle w:val="NormalnyWeb"/>
        <w:shd w:val="clear" w:color="auto" w:fill="FFFFFF"/>
        <w:spacing w:before="0" w:beforeAutospacing="0" w:after="0" w:afterAutospacing="0"/>
        <w:jc w:val="both"/>
        <w:rPr>
          <w:rFonts w:ascii="Calibri" w:hAnsi="Calibri" w:cs="Calibri"/>
        </w:rPr>
      </w:pPr>
      <w:r w:rsidRPr="00E00E0B">
        <w:rPr>
          <w:rFonts w:ascii="Calibri" w:hAnsi="Calibri" w:cs="Calibri"/>
          <w:b/>
          <w:bCs/>
        </w:rPr>
        <w:t>Pojęcia kluczowe</w:t>
      </w:r>
      <w:r w:rsidRPr="00E00E0B">
        <w:rPr>
          <w:rFonts w:ascii="Calibri" w:hAnsi="Calibri" w:cs="Calibri"/>
        </w:rPr>
        <w:t>:</w:t>
      </w:r>
      <w:r w:rsidRPr="00E00E0B">
        <w:rPr>
          <w:rFonts w:ascii="Calibri" w:hAnsi="Calibri" w:cs="Calibri"/>
          <w:b/>
          <w:bCs/>
        </w:rPr>
        <w:t xml:space="preserve"> </w:t>
      </w:r>
      <w:r w:rsidRPr="00D627B9">
        <w:rPr>
          <w:rFonts w:ascii="Calibri" w:hAnsi="Calibri" w:cs="Calibri"/>
        </w:rPr>
        <w:t>WYNALAZEK, SILIMARYNA, INNOWACJA</w:t>
      </w:r>
    </w:p>
    <w:p w14:paraId="67DB5758" w14:textId="77777777" w:rsidR="00556D9F" w:rsidRDefault="00556D9F" w:rsidP="00EF3DBD">
      <w:pPr>
        <w:rPr>
          <w:rFonts w:cstheme="minorHAnsi"/>
          <w:sz w:val="20"/>
          <w:szCs w:val="20"/>
        </w:rPr>
      </w:pPr>
    </w:p>
    <w:p w14:paraId="3EFC0F32" w14:textId="77777777" w:rsidR="00EF3DBD" w:rsidRPr="00EC4F25" w:rsidRDefault="00EF3DBD" w:rsidP="00EF3DBD">
      <w:pPr>
        <w:pStyle w:val="NormalnyWeb"/>
        <w:shd w:val="clear" w:color="auto" w:fill="FFFFFF"/>
        <w:spacing w:before="0" w:beforeAutospacing="0" w:after="0" w:afterAutospacing="0"/>
        <w:ind w:left="-284" w:hanging="283"/>
        <w:jc w:val="center"/>
        <w:rPr>
          <w:rFonts w:asciiTheme="minorHAnsi" w:hAnsiTheme="minorHAnsi" w:cstheme="minorHAnsi"/>
          <w:sz w:val="22"/>
          <w:szCs w:val="22"/>
        </w:rPr>
      </w:pPr>
      <w:r w:rsidRPr="00EC4F25">
        <w:rPr>
          <w:rFonts w:asciiTheme="minorHAnsi" w:hAnsiTheme="minorHAnsi" w:cstheme="minorHAnsi"/>
          <w:noProof/>
          <w:sz w:val="22"/>
          <w:szCs w:val="22"/>
        </w:rPr>
        <w:lastRenderedPageBreak/>
        <w:drawing>
          <wp:inline distT="0" distB="0" distL="0" distR="0" wp14:anchorId="35772FF9" wp14:editId="3878452A">
            <wp:extent cx="6468673" cy="8629650"/>
            <wp:effectExtent l="0" t="0" r="8890" b="0"/>
            <wp:docPr id="1201668928" name="Obraz 2" descr="Obraz zawierający tekst, gazeta, papier, Papier gazet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20709" name="Obraz 2" descr="Obraz zawierający tekst, gazeta, papier, Papier gazetowy&#10;&#10;Opis wygenerowany automatyczni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497377" cy="8667944"/>
                    </a:xfrm>
                    <a:prstGeom prst="rect">
                      <a:avLst/>
                    </a:prstGeom>
                    <a:noFill/>
                    <a:ln>
                      <a:noFill/>
                    </a:ln>
                  </pic:spPr>
                </pic:pic>
              </a:graphicData>
            </a:graphic>
          </wp:inline>
        </w:drawing>
      </w:r>
    </w:p>
    <w:p w14:paraId="73F375F4" w14:textId="77777777" w:rsidR="00392C98" w:rsidRPr="00C606B7" w:rsidRDefault="00392C98" w:rsidP="00036433">
      <w:pPr>
        <w:rPr>
          <w:rFonts w:cstheme="minorHAnsi"/>
        </w:rPr>
      </w:pPr>
    </w:p>
    <w:p w14:paraId="3661C998" w14:textId="48A12FDD" w:rsidR="00924302" w:rsidRPr="00C606B7" w:rsidRDefault="00036433" w:rsidP="00556D9F">
      <w:pPr>
        <w:rPr>
          <w:rStyle w:val="Nagwek3Znak"/>
          <w:rFonts w:asciiTheme="minorHAnsi" w:hAnsiTheme="minorHAnsi" w:cstheme="minorHAnsi"/>
          <w:b/>
          <w:bCs/>
        </w:rPr>
      </w:pPr>
      <w:r w:rsidRPr="00C606B7">
        <w:rPr>
          <w:rFonts w:cstheme="minorHAnsi"/>
        </w:rPr>
        <w:br w:type="page"/>
      </w:r>
      <w:bookmarkEnd w:id="156"/>
      <w:r w:rsidR="00D8166E" w:rsidRPr="00C606B7">
        <w:rPr>
          <w:rStyle w:val="Nagwek3Znak"/>
          <w:rFonts w:asciiTheme="minorHAnsi" w:hAnsiTheme="minorHAnsi" w:cstheme="minorHAnsi"/>
        </w:rPr>
        <w:lastRenderedPageBreak/>
        <w:br/>
      </w:r>
      <w:r w:rsidR="005C0468" w:rsidRPr="00B27638">
        <w:rPr>
          <w:rStyle w:val="Nagwek3Znak"/>
          <w:rFonts w:asciiTheme="minorHAnsi" w:hAnsiTheme="minorHAnsi" w:cstheme="minorHAnsi"/>
          <w:b/>
          <w:bCs/>
          <w:noProof/>
          <w:lang w:eastAsia="pl-PL"/>
        </w:rPr>
        <w:drawing>
          <wp:anchor distT="0" distB="0" distL="114300" distR="114300" simplePos="0" relativeHeight="252280832" behindDoc="0" locked="0" layoutInCell="1" allowOverlap="1" wp14:anchorId="7BA38AAF" wp14:editId="1A0B7C6E">
            <wp:simplePos x="0" y="0"/>
            <wp:positionH relativeFrom="column">
              <wp:posOffset>91</wp:posOffset>
            </wp:positionH>
            <wp:positionV relativeFrom="paragraph">
              <wp:posOffset>91</wp:posOffset>
            </wp:positionV>
            <wp:extent cx="1980000" cy="1483200"/>
            <wp:effectExtent l="0" t="0" r="1270" b="3175"/>
            <wp:wrapThrough wrapText="bothSides">
              <wp:wrapPolygon edited="0">
                <wp:start x="0" y="0"/>
                <wp:lineTo x="0" y="21369"/>
                <wp:lineTo x="21406" y="21369"/>
                <wp:lineTo x="21406" y="0"/>
                <wp:lineTo x="0" y="0"/>
              </wp:wrapPolygon>
            </wp:wrapThrough>
            <wp:docPr id="344475597" name="Obraz 1" descr="Obraz zawierający niebo, na wolnym powietrzu, ubrania, wielbłą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75597" name="Obraz 1" descr="Obraz zawierający niebo, na wolnym powietrzu, ubrania, wielbłąd&#10;&#10;Opis wygenerowany automatycznie"/>
                    <pic:cNvPicPr/>
                  </pic:nvPicPr>
                  <pic:blipFill>
                    <a:blip r:embed="rId272">
                      <a:extLst>
                        <a:ext uri="{28A0092B-C50C-407E-A947-70E740481C1C}">
                          <a14:useLocalDpi xmlns:a14="http://schemas.microsoft.com/office/drawing/2010/main" val="0"/>
                        </a:ext>
                      </a:extLst>
                    </a:blip>
                    <a:stretch>
                      <a:fillRect/>
                    </a:stretch>
                  </pic:blipFill>
                  <pic:spPr>
                    <a:xfrm>
                      <a:off x="0" y="0"/>
                      <a:ext cx="1980000" cy="1483200"/>
                    </a:xfrm>
                    <a:prstGeom prst="rect">
                      <a:avLst/>
                    </a:prstGeom>
                  </pic:spPr>
                </pic:pic>
              </a:graphicData>
            </a:graphic>
            <wp14:sizeRelH relativeFrom="margin">
              <wp14:pctWidth>0</wp14:pctWidth>
            </wp14:sizeRelH>
            <wp14:sizeRelV relativeFrom="margin">
              <wp14:pctHeight>0</wp14:pctHeight>
            </wp14:sizeRelV>
          </wp:anchor>
        </w:drawing>
      </w:r>
    </w:p>
    <w:p w14:paraId="2A8DD280" w14:textId="77777777" w:rsidR="00B27638" w:rsidRPr="00C606B7" w:rsidRDefault="00B27638" w:rsidP="00036433">
      <w:pPr>
        <w:spacing w:after="0" w:line="240" w:lineRule="auto"/>
        <w:rPr>
          <w:rStyle w:val="Nagwek3Znak"/>
          <w:rFonts w:asciiTheme="minorHAnsi" w:hAnsiTheme="minorHAnsi" w:cstheme="minorHAnsi"/>
          <w:b/>
          <w:bCs/>
          <w:sz w:val="34"/>
          <w:szCs w:val="34"/>
        </w:rPr>
      </w:pPr>
    </w:p>
    <w:p w14:paraId="3A0EEEF9" w14:textId="5DE1F188" w:rsidR="00B27638" w:rsidRPr="00B27638" w:rsidRDefault="00B27638" w:rsidP="00031150">
      <w:pPr>
        <w:spacing w:after="0" w:line="240" w:lineRule="auto"/>
        <w:ind w:firstLine="426"/>
        <w:rPr>
          <w:b/>
          <w:bCs/>
          <w:sz w:val="26"/>
          <w:szCs w:val="26"/>
          <w:lang w:eastAsia="pl-PL"/>
        </w:rPr>
      </w:pPr>
      <w:bookmarkStart w:id="162" w:name="_Toc170118001"/>
      <w:r w:rsidRPr="00B27638">
        <w:rPr>
          <w:rStyle w:val="Nagwek3Znak"/>
          <w:rFonts w:asciiTheme="minorHAnsi" w:hAnsiTheme="minorHAnsi" w:cstheme="minorHAnsi"/>
          <w:b/>
          <w:bCs/>
        </w:rPr>
        <w:t>Dorobek poszukiwacza skarbów</w:t>
      </w:r>
      <w:bookmarkEnd w:id="162"/>
    </w:p>
    <w:p w14:paraId="2009FBD5" w14:textId="77777777" w:rsidR="00B27638" w:rsidRPr="00B27638" w:rsidRDefault="00B27638" w:rsidP="00036433">
      <w:pPr>
        <w:spacing w:after="0" w:line="240" w:lineRule="auto"/>
        <w:rPr>
          <w:b/>
          <w:bCs/>
          <w:sz w:val="26"/>
          <w:szCs w:val="26"/>
          <w:lang w:eastAsia="pl-PL"/>
        </w:rPr>
      </w:pPr>
    </w:p>
    <w:p w14:paraId="204F2260" w14:textId="65D64470" w:rsidR="00036433" w:rsidRPr="00036433" w:rsidRDefault="00036433" w:rsidP="00036433">
      <w:pPr>
        <w:rPr>
          <w:lang w:eastAsia="pl-PL"/>
        </w:rPr>
      </w:pPr>
    </w:p>
    <w:p w14:paraId="08DE842E" w14:textId="77777777" w:rsidR="006C2869" w:rsidRPr="0037432C" w:rsidRDefault="006C2869" w:rsidP="00B53E86">
      <w:pPr>
        <w:rPr>
          <w:color w:val="4472C4" w:themeColor="accent1"/>
          <w:sz w:val="24"/>
          <w:szCs w:val="24"/>
          <w:lang w:eastAsia="pl-PL"/>
        </w:rPr>
      </w:pPr>
    </w:p>
    <w:p w14:paraId="26D60F1F" w14:textId="7B547906" w:rsidR="00491B5A" w:rsidRPr="00031150" w:rsidRDefault="00491B5A" w:rsidP="00491B5A">
      <w:pPr>
        <w:spacing w:after="0"/>
        <w:rPr>
          <w:sz w:val="24"/>
          <w:szCs w:val="24"/>
          <w:lang w:eastAsia="pl-PL"/>
        </w:rPr>
      </w:pPr>
      <w:r>
        <w:rPr>
          <w:b/>
          <w:bCs/>
          <w:kern w:val="0"/>
          <w:sz w:val="24"/>
          <w:szCs w:val="24"/>
        </w:rPr>
        <w:t>U</w:t>
      </w:r>
      <w:r w:rsidRPr="00D52A5E">
        <w:rPr>
          <w:b/>
          <w:bCs/>
          <w:kern w:val="0"/>
          <w:sz w:val="24"/>
          <w:szCs w:val="24"/>
        </w:rPr>
        <w:t xml:space="preserve">waga </w:t>
      </w:r>
      <w:r>
        <w:rPr>
          <w:b/>
          <w:bCs/>
          <w:kern w:val="0"/>
          <w:sz w:val="24"/>
          <w:szCs w:val="24"/>
        </w:rPr>
        <w:t>R</w:t>
      </w:r>
      <w:r w:rsidRPr="00D52A5E">
        <w:rPr>
          <w:b/>
          <w:bCs/>
          <w:kern w:val="0"/>
          <w:sz w:val="24"/>
          <w:szCs w:val="24"/>
        </w:rPr>
        <w:t>edakcji</w:t>
      </w:r>
      <w:r w:rsidRPr="00491B5A">
        <w:rPr>
          <w:kern w:val="0"/>
          <w:sz w:val="24"/>
          <w:szCs w:val="24"/>
        </w:rPr>
        <w:t>:</w:t>
      </w:r>
    </w:p>
    <w:p w14:paraId="7CCF91EF" w14:textId="65090A1E" w:rsidR="00E22114" w:rsidRPr="00031150" w:rsidRDefault="00E22114" w:rsidP="00491B5A">
      <w:pPr>
        <w:spacing w:after="0"/>
        <w:rPr>
          <w:sz w:val="24"/>
          <w:szCs w:val="24"/>
          <w:lang w:eastAsia="pl-PL"/>
        </w:rPr>
      </w:pPr>
      <w:r w:rsidRPr="00031150">
        <w:rPr>
          <w:sz w:val="24"/>
          <w:szCs w:val="24"/>
          <w:lang w:eastAsia="pl-PL"/>
        </w:rPr>
        <w:t>Osiągnięcia poszukiwacza skarbów:</w:t>
      </w:r>
    </w:p>
    <w:p w14:paraId="77C467D3" w14:textId="77777777" w:rsidR="00491B5A" w:rsidRPr="00977BF9" w:rsidRDefault="00491B5A" w:rsidP="00491B5A">
      <w:pPr>
        <w:spacing w:after="0"/>
        <w:rPr>
          <w:b/>
          <w:bCs/>
          <w:kern w:val="0"/>
          <w:sz w:val="10"/>
          <w:szCs w:val="10"/>
        </w:rPr>
      </w:pPr>
      <w:bookmarkStart w:id="163" w:name="_Hlk169442688"/>
    </w:p>
    <w:p w14:paraId="10A39197" w14:textId="7E4829EB" w:rsidR="00491B5A" w:rsidRPr="00027FC3" w:rsidRDefault="00491B5A" w:rsidP="00491B5A">
      <w:pPr>
        <w:spacing w:after="0"/>
        <w:rPr>
          <w:b/>
          <w:bCs/>
          <w:color w:val="2E74B5" w:themeColor="accent5" w:themeShade="BF"/>
          <w:kern w:val="0"/>
          <w:sz w:val="24"/>
          <w:szCs w:val="24"/>
        </w:rPr>
      </w:pPr>
      <w:proofErr w:type="spellStart"/>
      <w:r w:rsidRPr="00027FC3">
        <w:rPr>
          <w:b/>
          <w:bCs/>
          <w:color w:val="2E74B5" w:themeColor="accent5" w:themeShade="BF"/>
          <w:kern w:val="0"/>
          <w:sz w:val="24"/>
          <w:szCs w:val="24"/>
        </w:rPr>
        <w:t>Editor's</w:t>
      </w:r>
      <w:proofErr w:type="spellEnd"/>
      <w:r w:rsidRPr="00027FC3">
        <w:rPr>
          <w:b/>
          <w:bCs/>
          <w:color w:val="2E74B5" w:themeColor="accent5" w:themeShade="BF"/>
          <w:kern w:val="0"/>
          <w:sz w:val="24"/>
          <w:szCs w:val="24"/>
        </w:rPr>
        <w:t xml:space="preserve"> </w:t>
      </w:r>
      <w:proofErr w:type="spellStart"/>
      <w:r w:rsidRPr="00027FC3">
        <w:rPr>
          <w:b/>
          <w:bCs/>
          <w:color w:val="2E74B5" w:themeColor="accent5" w:themeShade="BF"/>
          <w:kern w:val="0"/>
          <w:sz w:val="24"/>
          <w:szCs w:val="24"/>
        </w:rPr>
        <w:t>Note</w:t>
      </w:r>
      <w:proofErr w:type="spellEnd"/>
      <w:r w:rsidRPr="00027FC3">
        <w:rPr>
          <w:color w:val="2E74B5" w:themeColor="accent5" w:themeShade="BF"/>
          <w:kern w:val="0"/>
          <w:sz w:val="24"/>
          <w:szCs w:val="24"/>
        </w:rPr>
        <w:t>:</w:t>
      </w:r>
      <w:r w:rsidRPr="00027FC3">
        <w:rPr>
          <w:b/>
          <w:bCs/>
          <w:color w:val="2E74B5" w:themeColor="accent5" w:themeShade="BF"/>
          <w:kern w:val="0"/>
          <w:sz w:val="24"/>
          <w:szCs w:val="24"/>
        </w:rPr>
        <w:t xml:space="preserve"> </w:t>
      </w:r>
      <w:bookmarkEnd w:id="163"/>
    </w:p>
    <w:p w14:paraId="1B578788" w14:textId="2AAED80F" w:rsidR="00924302" w:rsidRPr="00027FC3" w:rsidRDefault="00924302" w:rsidP="00491B5A">
      <w:pPr>
        <w:spacing w:after="0"/>
        <w:rPr>
          <w:color w:val="2E74B5" w:themeColor="accent5" w:themeShade="BF"/>
          <w:sz w:val="24"/>
          <w:szCs w:val="24"/>
          <w:lang w:val="en-GB" w:eastAsia="pl-PL"/>
        </w:rPr>
      </w:pPr>
      <w:r w:rsidRPr="00027FC3">
        <w:rPr>
          <w:color w:val="2E74B5" w:themeColor="accent5" w:themeShade="BF"/>
          <w:sz w:val="24"/>
          <w:szCs w:val="24"/>
          <w:lang w:val="en-GB" w:eastAsia="pl-PL"/>
        </w:rPr>
        <w:t>The achievements of a treasure hunte</w:t>
      </w:r>
      <w:r w:rsidR="00B53E86" w:rsidRPr="00027FC3">
        <w:rPr>
          <w:color w:val="2E74B5" w:themeColor="accent5" w:themeShade="BF"/>
          <w:sz w:val="24"/>
          <w:szCs w:val="24"/>
          <w:lang w:val="en-GB" w:eastAsia="pl-PL"/>
        </w:rPr>
        <w:t>r</w:t>
      </w:r>
      <w:r w:rsidR="00E22114" w:rsidRPr="00027FC3">
        <w:rPr>
          <w:color w:val="2E74B5" w:themeColor="accent5" w:themeShade="BF"/>
          <w:sz w:val="24"/>
          <w:szCs w:val="24"/>
          <w:lang w:val="en-GB" w:eastAsia="pl-PL"/>
        </w:rPr>
        <w:t>:</w:t>
      </w:r>
    </w:p>
    <w:p w14:paraId="2715AD56" w14:textId="77777777" w:rsidR="00E22114" w:rsidRPr="005C0468" w:rsidRDefault="00E22114" w:rsidP="00B53E86">
      <w:pPr>
        <w:rPr>
          <w:color w:val="4472C4" w:themeColor="accent1"/>
          <w:sz w:val="24"/>
          <w:szCs w:val="24"/>
          <w:lang w:val="en-GB"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6515"/>
      </w:tblGrid>
      <w:tr w:rsidR="00924302" w:rsidRPr="00EC4F25" w14:paraId="797D0A96" w14:textId="77777777" w:rsidTr="002B2932">
        <w:tc>
          <w:tcPr>
            <w:tcW w:w="1985" w:type="dxa"/>
          </w:tcPr>
          <w:p w14:paraId="54D87CB6" w14:textId="120C0E3B" w:rsidR="005C0468" w:rsidRPr="006C2869" w:rsidRDefault="002B2932" w:rsidP="00F45910">
            <w:pPr>
              <w:pStyle w:val="NormalnyWeb"/>
              <w:spacing w:before="0" w:beforeAutospacing="0" w:after="0" w:afterAutospacing="0"/>
              <w:jc w:val="center"/>
              <w:rPr>
                <w:rFonts w:asciiTheme="minorHAnsi" w:hAnsiTheme="minorHAnsi" w:cstheme="minorHAnsi"/>
                <w:sz w:val="22"/>
                <w:szCs w:val="22"/>
                <w:lang w:val="en-US"/>
              </w:rPr>
            </w:pPr>
            <w:r w:rsidRPr="00305CC1">
              <w:rPr>
                <w:rFonts w:asciiTheme="minorHAnsi" w:hAnsiTheme="minorHAnsi" w:cstheme="minorHAnsi"/>
                <w:noProof/>
                <w:sz w:val="22"/>
                <w:szCs w:val="22"/>
                <w:lang w:val="en-GB"/>
              </w:rPr>
              <w:drawing>
                <wp:anchor distT="0" distB="0" distL="114300" distR="114300" simplePos="0" relativeHeight="252290048" behindDoc="0" locked="0" layoutInCell="1" allowOverlap="1" wp14:anchorId="7BAFD9CB" wp14:editId="1F8B43DD">
                  <wp:simplePos x="0" y="0"/>
                  <wp:positionH relativeFrom="column">
                    <wp:posOffset>-33271</wp:posOffset>
                  </wp:positionH>
                  <wp:positionV relativeFrom="paragraph">
                    <wp:posOffset>25134</wp:posOffset>
                  </wp:positionV>
                  <wp:extent cx="1165151" cy="1584605"/>
                  <wp:effectExtent l="0" t="0" r="0" b="0"/>
                  <wp:wrapNone/>
                  <wp:docPr id="42445687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56876" name=""/>
                          <pic:cNvPicPr/>
                        </pic:nvPicPr>
                        <pic:blipFill>
                          <a:blip r:embed="rId273">
                            <a:extLst>
                              <a:ext uri="{28A0092B-C50C-407E-A947-70E740481C1C}">
                                <a14:useLocalDpi xmlns:a14="http://schemas.microsoft.com/office/drawing/2010/main" val="0"/>
                              </a:ext>
                            </a:extLst>
                          </a:blip>
                          <a:stretch>
                            <a:fillRect/>
                          </a:stretch>
                        </pic:blipFill>
                        <pic:spPr>
                          <a:xfrm>
                            <a:off x="0" y="0"/>
                            <a:ext cx="1165151" cy="1584605"/>
                          </a:xfrm>
                          <a:prstGeom prst="rect">
                            <a:avLst/>
                          </a:prstGeom>
                        </pic:spPr>
                      </pic:pic>
                    </a:graphicData>
                  </a:graphic>
                </wp:anchor>
              </w:drawing>
            </w:r>
          </w:p>
          <w:p w14:paraId="07F71EC3" w14:textId="5D57F2D7" w:rsidR="00924302" w:rsidRPr="006C2869" w:rsidRDefault="00924302" w:rsidP="00F45910">
            <w:pPr>
              <w:pStyle w:val="NormalnyWeb"/>
              <w:spacing w:before="0" w:beforeAutospacing="0" w:after="0" w:afterAutospacing="0"/>
              <w:jc w:val="center"/>
              <w:rPr>
                <w:rFonts w:asciiTheme="minorHAnsi" w:hAnsiTheme="minorHAnsi" w:cstheme="minorHAnsi"/>
                <w:sz w:val="22"/>
                <w:szCs w:val="22"/>
                <w:lang w:val="en-US"/>
              </w:rPr>
            </w:pPr>
          </w:p>
        </w:tc>
        <w:tc>
          <w:tcPr>
            <w:tcW w:w="6515" w:type="dxa"/>
          </w:tcPr>
          <w:p w14:paraId="2E63D4B7" w14:textId="3AE46E8E" w:rsidR="00924302" w:rsidRPr="00EC4F25" w:rsidRDefault="002B2932" w:rsidP="002B2932">
            <w:pPr>
              <w:pStyle w:val="NormalnyWeb"/>
              <w:spacing w:before="0" w:beforeAutospacing="0" w:after="0" w:afterAutospacing="0"/>
              <w:ind w:firstLine="34"/>
              <w:rPr>
                <w:rFonts w:asciiTheme="minorHAnsi" w:hAnsiTheme="minorHAnsi" w:cstheme="minorHAnsi"/>
                <w:b/>
                <w:bCs/>
                <w:sz w:val="22"/>
                <w:szCs w:val="22"/>
              </w:rPr>
            </w:pPr>
            <w:r w:rsidRPr="006C2869">
              <w:rPr>
                <w:rFonts w:asciiTheme="minorHAnsi" w:hAnsiTheme="minorHAnsi" w:cstheme="minorHAnsi"/>
                <w:b/>
                <w:bCs/>
                <w:sz w:val="22"/>
                <w:szCs w:val="22"/>
                <w:lang w:val="en-US"/>
              </w:rPr>
              <w:t xml:space="preserve">   </w:t>
            </w:r>
            <w:r w:rsidR="00924302" w:rsidRPr="00EC4F25">
              <w:rPr>
                <w:rFonts w:asciiTheme="minorHAnsi" w:hAnsiTheme="minorHAnsi" w:cstheme="minorHAnsi"/>
                <w:b/>
                <w:bCs/>
                <w:sz w:val="22"/>
                <w:szCs w:val="22"/>
              </w:rPr>
              <w:t>RYSZARD MATUSIAK</w:t>
            </w:r>
          </w:p>
          <w:p w14:paraId="46E43AF6" w14:textId="77777777" w:rsidR="00924302" w:rsidRPr="002B2932" w:rsidRDefault="00924302" w:rsidP="002B2932">
            <w:pPr>
              <w:pStyle w:val="NormalnyWeb"/>
              <w:spacing w:before="0" w:beforeAutospacing="0" w:after="0" w:afterAutospacing="0"/>
              <w:ind w:firstLine="252"/>
              <w:jc w:val="center"/>
              <w:rPr>
                <w:rFonts w:asciiTheme="minorHAnsi" w:hAnsiTheme="minorHAnsi" w:cstheme="minorHAnsi"/>
                <w:sz w:val="14"/>
                <w:szCs w:val="14"/>
              </w:rPr>
            </w:pPr>
          </w:p>
          <w:p w14:paraId="3CB6B7F9" w14:textId="77777777" w:rsidR="00924302" w:rsidRPr="00EC4F25" w:rsidRDefault="00924302" w:rsidP="002B2932">
            <w:pPr>
              <w:pStyle w:val="NormalnyWeb"/>
              <w:spacing w:before="0" w:beforeAutospacing="0" w:after="0" w:afterAutospacing="0"/>
              <w:ind w:left="175"/>
              <w:rPr>
                <w:rFonts w:asciiTheme="minorHAnsi" w:hAnsiTheme="minorHAnsi" w:cstheme="minorHAnsi"/>
                <w:sz w:val="22"/>
                <w:szCs w:val="22"/>
              </w:rPr>
            </w:pPr>
            <w:r w:rsidRPr="00EC4F25">
              <w:rPr>
                <w:rFonts w:asciiTheme="minorHAnsi" w:hAnsiTheme="minorHAnsi" w:cstheme="minorHAnsi"/>
                <w:sz w:val="22"/>
                <w:szCs w:val="22"/>
              </w:rPr>
              <w:t>Tytuł zaw. i nauk.: dr inż.</w:t>
            </w:r>
          </w:p>
          <w:p w14:paraId="48BCA5AC" w14:textId="77777777" w:rsidR="00924302" w:rsidRPr="00EC4F25" w:rsidRDefault="00924302" w:rsidP="002B2932">
            <w:pPr>
              <w:pStyle w:val="NormalnyWeb"/>
              <w:spacing w:before="0" w:beforeAutospacing="0" w:after="0" w:afterAutospacing="0"/>
              <w:ind w:left="175"/>
              <w:rPr>
                <w:rFonts w:asciiTheme="minorHAnsi" w:hAnsiTheme="minorHAnsi" w:cstheme="minorHAnsi"/>
                <w:sz w:val="22"/>
                <w:szCs w:val="22"/>
              </w:rPr>
            </w:pPr>
            <w:r w:rsidRPr="00EC4F25">
              <w:rPr>
                <w:rFonts w:asciiTheme="minorHAnsi" w:hAnsiTheme="minorHAnsi" w:cstheme="minorHAnsi"/>
                <w:sz w:val="22"/>
                <w:szCs w:val="22"/>
              </w:rPr>
              <w:t>Data urodzenia: 22.12.1936 r.</w:t>
            </w:r>
          </w:p>
          <w:p w14:paraId="082C85A3" w14:textId="77777777" w:rsidR="00924302" w:rsidRPr="00EC4F25" w:rsidRDefault="00924302" w:rsidP="002B2932">
            <w:pPr>
              <w:pStyle w:val="NormalnyWeb"/>
              <w:spacing w:before="0" w:beforeAutospacing="0" w:after="0" w:afterAutospacing="0"/>
              <w:ind w:left="175"/>
              <w:rPr>
                <w:rFonts w:asciiTheme="minorHAnsi" w:hAnsiTheme="minorHAnsi" w:cstheme="minorHAnsi"/>
                <w:sz w:val="22"/>
                <w:szCs w:val="22"/>
              </w:rPr>
            </w:pPr>
            <w:r w:rsidRPr="00EC4F25">
              <w:rPr>
                <w:rFonts w:asciiTheme="minorHAnsi" w:hAnsiTheme="minorHAnsi" w:cstheme="minorHAnsi"/>
                <w:sz w:val="22"/>
                <w:szCs w:val="22"/>
              </w:rPr>
              <w:t>Miejsce urodzenia: Swarzędz</w:t>
            </w:r>
          </w:p>
          <w:p w14:paraId="270B832D" w14:textId="77777777" w:rsidR="002B2932" w:rsidRDefault="002B2932" w:rsidP="002B2932">
            <w:pPr>
              <w:pStyle w:val="NormalnyWeb"/>
              <w:spacing w:before="0" w:beforeAutospacing="0" w:after="0" w:afterAutospacing="0"/>
              <w:ind w:left="175"/>
              <w:rPr>
                <w:rFonts w:asciiTheme="minorHAnsi" w:hAnsiTheme="minorHAnsi" w:cstheme="minorHAnsi"/>
                <w:sz w:val="22"/>
                <w:szCs w:val="22"/>
              </w:rPr>
            </w:pPr>
          </w:p>
          <w:p w14:paraId="2F0F8300" w14:textId="3270A8E1" w:rsidR="00924302" w:rsidRPr="00EC4F25" w:rsidRDefault="00924302" w:rsidP="002B2932">
            <w:pPr>
              <w:pStyle w:val="NormalnyWeb"/>
              <w:spacing w:before="0" w:beforeAutospacing="0" w:after="0" w:afterAutospacing="0"/>
              <w:ind w:left="175"/>
              <w:rPr>
                <w:rFonts w:asciiTheme="minorHAnsi" w:hAnsiTheme="minorHAnsi" w:cstheme="minorHAnsi"/>
                <w:sz w:val="22"/>
                <w:szCs w:val="22"/>
              </w:rPr>
            </w:pPr>
            <w:r w:rsidRPr="00EC4F25">
              <w:rPr>
                <w:rFonts w:asciiTheme="minorHAnsi" w:hAnsiTheme="minorHAnsi" w:cstheme="minorHAnsi"/>
                <w:sz w:val="22"/>
                <w:szCs w:val="22"/>
              </w:rPr>
              <w:t xml:space="preserve">Data </w:t>
            </w:r>
            <w:proofErr w:type="spellStart"/>
            <w:r w:rsidRPr="00EC4F25">
              <w:rPr>
                <w:rFonts w:asciiTheme="minorHAnsi" w:hAnsiTheme="minorHAnsi" w:cstheme="minorHAnsi"/>
                <w:sz w:val="22"/>
                <w:szCs w:val="22"/>
              </w:rPr>
              <w:t>wst</w:t>
            </w:r>
            <w:proofErr w:type="spellEnd"/>
            <w:r w:rsidRPr="00EC4F25">
              <w:rPr>
                <w:rFonts w:asciiTheme="minorHAnsi" w:hAnsiTheme="minorHAnsi" w:cstheme="minorHAnsi"/>
                <w:sz w:val="22"/>
                <w:szCs w:val="22"/>
              </w:rPr>
              <w:t>. do SIMP: 20.02.1962 r.</w:t>
            </w:r>
          </w:p>
          <w:p w14:paraId="0121671A" w14:textId="77777777" w:rsidR="00924302" w:rsidRPr="00EC4F25" w:rsidRDefault="00924302" w:rsidP="002B2932">
            <w:pPr>
              <w:pStyle w:val="NormalnyWeb"/>
              <w:spacing w:before="0" w:beforeAutospacing="0" w:after="0" w:afterAutospacing="0"/>
              <w:ind w:left="175"/>
              <w:rPr>
                <w:rFonts w:asciiTheme="minorHAnsi" w:hAnsiTheme="minorHAnsi" w:cstheme="minorHAnsi"/>
                <w:sz w:val="22"/>
                <w:szCs w:val="22"/>
              </w:rPr>
            </w:pPr>
            <w:r w:rsidRPr="00EC4F25">
              <w:rPr>
                <w:rFonts w:asciiTheme="minorHAnsi" w:hAnsiTheme="minorHAnsi" w:cstheme="minorHAnsi"/>
                <w:sz w:val="22"/>
                <w:szCs w:val="22"/>
              </w:rPr>
              <w:t>Nr legitymacji: 206907</w:t>
            </w:r>
          </w:p>
        </w:tc>
      </w:tr>
    </w:tbl>
    <w:p w14:paraId="20DAD34A" w14:textId="77777777" w:rsidR="00305CC1" w:rsidRDefault="00305CC1" w:rsidP="00924302">
      <w:pPr>
        <w:pStyle w:val="NormalnyWeb"/>
        <w:shd w:val="clear" w:color="auto" w:fill="FFFFFF"/>
        <w:spacing w:before="0" w:beforeAutospacing="0" w:after="0" w:afterAutospacing="0"/>
        <w:rPr>
          <w:rFonts w:asciiTheme="minorHAnsi" w:hAnsiTheme="minorHAnsi" w:cstheme="minorHAnsi"/>
          <w:b/>
          <w:bCs/>
          <w:sz w:val="22"/>
          <w:szCs w:val="22"/>
        </w:rPr>
      </w:pPr>
    </w:p>
    <w:p w14:paraId="791C833F" w14:textId="77777777" w:rsidR="002B2932" w:rsidRPr="002B2932" w:rsidRDefault="002B2932" w:rsidP="00924302">
      <w:pPr>
        <w:pStyle w:val="NormalnyWeb"/>
        <w:shd w:val="clear" w:color="auto" w:fill="FFFFFF"/>
        <w:spacing w:before="0" w:beforeAutospacing="0" w:after="0" w:afterAutospacing="0"/>
        <w:rPr>
          <w:rFonts w:asciiTheme="minorHAnsi" w:hAnsiTheme="minorHAnsi" w:cstheme="minorHAnsi"/>
          <w:b/>
          <w:bCs/>
          <w:sz w:val="32"/>
          <w:szCs w:val="32"/>
        </w:rPr>
      </w:pPr>
    </w:p>
    <w:p w14:paraId="1AEB3E50" w14:textId="77777777" w:rsidR="006606D1" w:rsidRDefault="006606D1" w:rsidP="00924302">
      <w:pPr>
        <w:pStyle w:val="NormalnyWeb"/>
        <w:shd w:val="clear" w:color="auto" w:fill="FFFFFF"/>
        <w:spacing w:before="0" w:beforeAutospacing="0" w:after="0" w:afterAutospacing="0"/>
        <w:rPr>
          <w:rFonts w:asciiTheme="minorHAnsi" w:hAnsiTheme="minorHAnsi" w:cstheme="minorHAnsi"/>
          <w:b/>
          <w:bCs/>
          <w:sz w:val="10"/>
          <w:szCs w:val="10"/>
        </w:rPr>
      </w:pPr>
    </w:p>
    <w:p w14:paraId="30F6DE6B" w14:textId="77777777" w:rsidR="00556D9F" w:rsidRPr="0034262F" w:rsidRDefault="00556D9F" w:rsidP="00924302">
      <w:pPr>
        <w:pStyle w:val="NormalnyWeb"/>
        <w:shd w:val="clear" w:color="auto" w:fill="FFFFFF"/>
        <w:spacing w:before="0" w:beforeAutospacing="0" w:after="0" w:afterAutospacing="0"/>
        <w:rPr>
          <w:rFonts w:asciiTheme="minorHAnsi" w:hAnsiTheme="minorHAnsi" w:cstheme="minorHAnsi"/>
          <w:b/>
          <w:bCs/>
          <w:sz w:val="10"/>
          <w:szCs w:val="10"/>
        </w:rPr>
      </w:pPr>
    </w:p>
    <w:p w14:paraId="6470B90D" w14:textId="53A92487" w:rsidR="00924302" w:rsidRPr="00B27638" w:rsidRDefault="00924302" w:rsidP="00924302">
      <w:pPr>
        <w:pStyle w:val="NormalnyWeb"/>
        <w:shd w:val="clear" w:color="auto" w:fill="FFFFFF"/>
        <w:spacing w:before="0" w:beforeAutospacing="0" w:after="0" w:afterAutospacing="0"/>
        <w:rPr>
          <w:rFonts w:asciiTheme="minorHAnsi" w:hAnsiTheme="minorHAnsi" w:cstheme="minorHAnsi"/>
          <w:b/>
          <w:bCs/>
        </w:rPr>
      </w:pPr>
      <w:r w:rsidRPr="00B27638">
        <w:rPr>
          <w:rFonts w:asciiTheme="minorHAnsi" w:hAnsiTheme="minorHAnsi" w:cstheme="minorHAnsi"/>
          <w:b/>
          <w:bCs/>
        </w:rPr>
        <w:t>Pełnione funkcje w SIMP i FSNT-NOT:</w:t>
      </w:r>
    </w:p>
    <w:p w14:paraId="53781D36"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Przewodniczący Komisji Rewizyjnej Koła 69 (1976-1980)</w:t>
      </w:r>
    </w:p>
    <w:p w14:paraId="42057343"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Wiceprzewodniczący Koła Terenowego SIMP nr 69 (1980-1992)</w:t>
      </w:r>
    </w:p>
    <w:p w14:paraId="6623B897"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Prezes Koła nr 69 (1992-2018)</w:t>
      </w:r>
    </w:p>
    <w:p w14:paraId="036D5E3D"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Zarządu SIMP O/Poznań (2002-2014)</w:t>
      </w:r>
    </w:p>
    <w:p w14:paraId="15C4F46C"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Wiceprezes Zarządu O/SIMP w Poznaniu (2002-2010)</w:t>
      </w:r>
    </w:p>
    <w:p w14:paraId="3FE197CB"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Przewodniczący Komitetu Organizacyjnego Obchodów 75 lat działalności SIMP (2001)</w:t>
      </w:r>
    </w:p>
    <w:p w14:paraId="4C89284D"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Sekretarz Głównej Komisji Rewizyjnej SIMP (2002-2006)</w:t>
      </w:r>
    </w:p>
    <w:p w14:paraId="44DBFED8"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Wiceprzewodniczący Głównej Komisji Rewizyjnej SIMP (2006-2010)</w:t>
      </w:r>
    </w:p>
    <w:p w14:paraId="46CC7B63"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Przewodniczący Głównej Komisji Rewizyjnej SIMP (2010 i nadal)</w:t>
      </w:r>
    </w:p>
    <w:p w14:paraId="2DA6536B"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Przewodniczący Komitetu Organizacyjnego Obchodów 70-lecia działalności O/SIMP w Poznaniu (2005)</w:t>
      </w:r>
    </w:p>
    <w:p w14:paraId="60DAEA2A"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Rady FSNT-NOT w Poznaniu (1999-2019)</w:t>
      </w:r>
    </w:p>
    <w:p w14:paraId="4956333C"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Komisji Rewizyjnej Rady NOT w Poznaniu (1999 i nadal)</w:t>
      </w:r>
    </w:p>
    <w:p w14:paraId="0AF866CF"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Rady i Komisji Wyróżnień i Nagród FSNT-NOT Rada w Poznaniu (19821986)</w:t>
      </w:r>
    </w:p>
    <w:p w14:paraId="768CB6CA"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Wiceprzewodniczący Komisji Konkursów i Nagród FSNT-NOT Rada w Poznaniu (1999 i nadal)</w:t>
      </w:r>
    </w:p>
    <w:p w14:paraId="0F4D47F1"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Sekretarz Komisji Konkursów i Nagród SIMP w Poznaniu (2004-2014)</w:t>
      </w:r>
    </w:p>
    <w:p w14:paraId="22CD930A"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Przewodniczący Komisji Konkursów i Nagród SIMP w Poznaniu (2014-2019)</w:t>
      </w:r>
    </w:p>
    <w:p w14:paraId="438E99BC"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Komisji Bilansowej SIMP (2009-2015)</w:t>
      </w:r>
    </w:p>
    <w:p w14:paraId="50AC967D"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lastRenderedPageBreak/>
        <w:t>Komandytariusz Centrum Doradztwa i Rozwoju Techniki NOT w Poznaniu (2008 i nadal)</w:t>
      </w:r>
    </w:p>
    <w:p w14:paraId="08162769"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Ekspert Urzędu Marszałkowskiego Województwa Wielkopolskiego (2007 i nadal)</w:t>
      </w:r>
    </w:p>
    <w:p w14:paraId="54F28D22"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Wpisany przez Urząd Marszałkowski Województwa Wielkopolskiego na Listę Krajową Ekspertów (od 2009 r.)</w:t>
      </w:r>
    </w:p>
    <w:p w14:paraId="781D2EB6"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Przewodniczący </w:t>
      </w:r>
      <w:proofErr w:type="spellStart"/>
      <w:r w:rsidRPr="005C0468">
        <w:rPr>
          <w:rFonts w:asciiTheme="minorHAnsi" w:hAnsiTheme="minorHAnsi" w:cstheme="minorHAnsi"/>
        </w:rPr>
        <w:t>WKTiR</w:t>
      </w:r>
      <w:proofErr w:type="spellEnd"/>
      <w:r w:rsidRPr="005C0468">
        <w:rPr>
          <w:rFonts w:asciiTheme="minorHAnsi" w:hAnsiTheme="minorHAnsi" w:cstheme="minorHAnsi"/>
        </w:rPr>
        <w:t xml:space="preserve"> w Poznaniu (1981-1985)</w:t>
      </w:r>
    </w:p>
    <w:p w14:paraId="1295E266"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Rzecznik Patentowy od 1978 r.</w:t>
      </w:r>
    </w:p>
    <w:p w14:paraId="1B1B1449"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Rzeczoznawca SIMP (2008 i nadal)</w:t>
      </w:r>
    </w:p>
    <w:p w14:paraId="78E5F4F4"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Akredytowany ekspert PARP przy </w:t>
      </w:r>
      <w:proofErr w:type="spellStart"/>
      <w:r w:rsidRPr="005C0468">
        <w:rPr>
          <w:rFonts w:asciiTheme="minorHAnsi" w:hAnsiTheme="minorHAnsi" w:cstheme="minorHAnsi"/>
        </w:rPr>
        <w:t>inSIMP</w:t>
      </w:r>
      <w:proofErr w:type="spellEnd"/>
      <w:r w:rsidRPr="005C0468">
        <w:rPr>
          <w:rFonts w:asciiTheme="minorHAnsi" w:hAnsiTheme="minorHAnsi" w:cstheme="minorHAnsi"/>
        </w:rPr>
        <w:t xml:space="preserve"> innowacje i nowe technologie (od 2004, 2014)</w:t>
      </w:r>
    </w:p>
    <w:p w14:paraId="28F33CF0"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Komitetu Org. Obchodów 80-lecia SIMP Oddz. Poznań (2015)</w:t>
      </w:r>
    </w:p>
    <w:p w14:paraId="16758640"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Przewodniczący Konkursu „Mistrz Techniki” Rady FSNT-NOT w Poznaniu (2019)</w:t>
      </w:r>
    </w:p>
    <w:p w14:paraId="35AC0E88" w14:textId="77777777" w:rsidR="00924302" w:rsidRPr="005C0468" w:rsidRDefault="00924302" w:rsidP="001F6BE3">
      <w:pPr>
        <w:pStyle w:val="NormalnyWeb"/>
        <w:numPr>
          <w:ilvl w:val="0"/>
          <w:numId w:val="34"/>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Komitetu ds. Normalizacji, Jakości i Certyfikacji FSNT-NOT (2021)</w:t>
      </w:r>
    </w:p>
    <w:p w14:paraId="24B6439C" w14:textId="77777777" w:rsidR="00924302" w:rsidRPr="005C0468" w:rsidRDefault="00924302" w:rsidP="00924302">
      <w:pPr>
        <w:pStyle w:val="NormalnyWeb"/>
        <w:shd w:val="clear" w:color="auto" w:fill="FFFFFF"/>
        <w:spacing w:before="0" w:beforeAutospacing="0" w:after="0" w:afterAutospacing="0"/>
        <w:rPr>
          <w:rFonts w:asciiTheme="minorHAnsi" w:hAnsiTheme="minorHAnsi" w:cstheme="minorHAnsi"/>
        </w:rPr>
      </w:pPr>
    </w:p>
    <w:p w14:paraId="7F4C8718" w14:textId="77777777" w:rsidR="00924302" w:rsidRPr="005C0468" w:rsidRDefault="00924302" w:rsidP="00924302">
      <w:pPr>
        <w:pStyle w:val="NormalnyWeb"/>
        <w:shd w:val="clear" w:color="auto" w:fill="FFFFFF"/>
        <w:spacing w:before="0" w:beforeAutospacing="0" w:after="0" w:afterAutospacing="0"/>
        <w:rPr>
          <w:rFonts w:asciiTheme="minorHAnsi" w:hAnsiTheme="minorHAnsi" w:cstheme="minorHAnsi"/>
          <w:b/>
          <w:bCs/>
        </w:rPr>
      </w:pPr>
      <w:r w:rsidRPr="005C0468">
        <w:rPr>
          <w:rFonts w:asciiTheme="minorHAnsi" w:hAnsiTheme="minorHAnsi" w:cstheme="minorHAnsi"/>
          <w:b/>
          <w:bCs/>
        </w:rPr>
        <w:t>Odznaczenia i wyróżnienia nadane przez SIMP:</w:t>
      </w:r>
    </w:p>
    <w:p w14:paraId="35E7923D"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Srebrna Honorowa Odznaka SIMP (1985)</w:t>
      </w:r>
    </w:p>
    <w:p w14:paraId="0FE20501"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Złota Honorowa Odznaka SIMP (1993)</w:t>
      </w:r>
    </w:p>
    <w:p w14:paraId="6CE6BED8"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Odznaka im. H. Mierzejewskiego (2004)</w:t>
      </w:r>
    </w:p>
    <w:p w14:paraId="6B34493F"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Godność Członka Honorowego SIMP (2006)</w:t>
      </w:r>
    </w:p>
    <w:p w14:paraId="4FEADB90"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Za Zasługi dla O/SIMP w Poznaniu z okazji 50-lecia działalności Oddziału (1995)</w:t>
      </w:r>
    </w:p>
    <w:p w14:paraId="7FF60FE1"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Zasługi z okazji 60 lat Oddziału Poznańskiego za zaangażowanie i wybitny wkład w jego rozwój (1995)</w:t>
      </w:r>
    </w:p>
    <w:p w14:paraId="1DCC3283"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pamiątkowy z okazji 75-lecia działalności SIMP w Polsce (2001)</w:t>
      </w:r>
    </w:p>
    <w:p w14:paraId="3DBA8429"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Za Zasługi z okazji 70-lecia działalności Oddziału Poznańskiego (2005)</w:t>
      </w:r>
    </w:p>
    <w:p w14:paraId="376CF80E"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Odznaka i Tytuł Zasłużony dla Oddziału SIMP w Poznaniu (2005)</w:t>
      </w:r>
    </w:p>
    <w:p w14:paraId="6A74FEC9"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ZG SIMP Za Odbudowę i Rozwój Zamku SIMP w Rydzynie (2007)</w:t>
      </w:r>
    </w:p>
    <w:p w14:paraId="255F4CB9"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Statuetka Pamiątkowa z okazji 70-lecia działalności O/SIMP w Poznaniu (2005)</w:t>
      </w:r>
    </w:p>
    <w:p w14:paraId="540F17AB"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Pamiątkowy z okazji I Dnia Mechanika i 100-lecia zrzeszania się mechaników polskich (30.05.2012 r.)</w:t>
      </w:r>
    </w:p>
    <w:p w14:paraId="620BD961"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List gratulacyjny ZG SIMP z 11.06.2014 r. dla Oddziału SIMP w Poznaniu jako najlepszego w kraju oraz dla Prezesa P. Janickiego i Wiceprezesa R. Matusiaka za pracę nad przygotowaniem wniosku i dokumentacji na modernizację Zamku w Rydzynie, za uzyskanie środków unijnych i kierowanie pracami przetargowymi. Wartość zadania to 3.074.736,73 zł, zaś realizację modernizacji zakończono 31.03.2012 r.</w:t>
      </w:r>
    </w:p>
    <w:p w14:paraId="7B9F4B68"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ZG SIMP za wkład w Modernizację Zamku SIMP w Rydzynie (2014)</w:t>
      </w:r>
    </w:p>
    <w:p w14:paraId="291CC793"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Zarządu O/SIMP w Poznaniu za wkład w rozwój działalności w latach 2002-2014 (19.01.2015)</w:t>
      </w:r>
    </w:p>
    <w:p w14:paraId="5021105E"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Pamiątkowy z okazji 80-lecia działalności O/SIMP w Poznaniu (2015)</w:t>
      </w:r>
    </w:p>
    <w:p w14:paraId="1F7DC84F"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Szczególnego Uznania z okazji 70-lecia Koła SIMP przy Zarządzie Oddziału dla Prezesa dra inż. R. Matusiaka za 55 lat działalności (27.09.2016 r.)</w:t>
      </w:r>
    </w:p>
    <w:p w14:paraId="377A303A"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Zespołu Redakcyjnego Wydawnictwa FORUM Kontrola Maszyn i Urządzeń (2007 i nadal)</w:t>
      </w:r>
    </w:p>
    <w:p w14:paraId="6598FD61"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Jubileuszowy 70-lecia PIMR (2016)</w:t>
      </w:r>
    </w:p>
    <w:p w14:paraId="393D6A0D"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za aktywną działalność z okazji 70-lecia O/SIMP we Wrocławiu (2016)</w:t>
      </w:r>
    </w:p>
    <w:p w14:paraId="041A3936"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lastRenderedPageBreak/>
        <w:t>Medal za współpracę i wymianę doświadczeń Zamku SIMP w Rydzynie z francuskim zamkiem w Luneville (2010)</w:t>
      </w:r>
    </w:p>
    <w:p w14:paraId="7D1180D7"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Złoty Medal X Rajdu Pojazdów Zabytkowych zorganizowanego przez Zamek SIMP w Rydzynie (2012)</w:t>
      </w:r>
    </w:p>
    <w:p w14:paraId="2388A919"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Jubileuszu 90-lecia SIMP w Polsce (2016)</w:t>
      </w:r>
    </w:p>
    <w:p w14:paraId="4CCBFAA0"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Honorowe Wyróżnienie PLP SIMP – Bene </w:t>
      </w:r>
      <w:proofErr w:type="spellStart"/>
      <w:r w:rsidRPr="005C0468">
        <w:rPr>
          <w:rFonts w:asciiTheme="minorHAnsi" w:hAnsiTheme="minorHAnsi" w:cstheme="minorHAnsi"/>
        </w:rPr>
        <w:t>Meritus</w:t>
      </w:r>
      <w:proofErr w:type="spellEnd"/>
      <w:r w:rsidRPr="005C0468">
        <w:rPr>
          <w:rFonts w:asciiTheme="minorHAnsi" w:hAnsiTheme="minorHAnsi" w:cstheme="minorHAnsi"/>
        </w:rPr>
        <w:t xml:space="preserve"> Pro Industria </w:t>
      </w:r>
      <w:proofErr w:type="spellStart"/>
      <w:r w:rsidRPr="005C0468">
        <w:rPr>
          <w:rFonts w:asciiTheme="minorHAnsi" w:hAnsiTheme="minorHAnsi" w:cstheme="minorHAnsi"/>
        </w:rPr>
        <w:t>Poloniae</w:t>
      </w:r>
      <w:proofErr w:type="spellEnd"/>
      <w:r w:rsidRPr="005C0468">
        <w:rPr>
          <w:rFonts w:asciiTheme="minorHAnsi" w:hAnsiTheme="minorHAnsi" w:cstheme="minorHAnsi"/>
        </w:rPr>
        <w:t xml:space="preserve"> – Dobrze Zasłużony dla Polskiego Przemysłu (2017)</w:t>
      </w:r>
    </w:p>
    <w:p w14:paraId="485A9E19"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Honorowy Prezes Koła SIMP (2018)</w:t>
      </w:r>
    </w:p>
    <w:p w14:paraId="576FF3FB"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Rady Fundacji Zamek w Rydzynie (2020)</w:t>
      </w:r>
    </w:p>
    <w:p w14:paraId="7CEFC849"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za wieloletnią działalność, zaangażowanie i pracę na rzecz Oddziału SIMP Poznań (17.01.2020 r.)</w:t>
      </w:r>
    </w:p>
    <w:p w14:paraId="15E38C23"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Godność Zasłużonego Seniora SIMP za wieloletnią pracę społeczną na rzecz rozwoju Stowarzyszenia Nr 849 (2021)</w:t>
      </w:r>
    </w:p>
    <w:p w14:paraId="5583D8AE" w14:textId="77777777" w:rsidR="00924302" w:rsidRPr="005C0468" w:rsidRDefault="00924302" w:rsidP="001F6BE3">
      <w:pPr>
        <w:pStyle w:val="NormalnyWeb"/>
        <w:numPr>
          <w:ilvl w:val="0"/>
          <w:numId w:val="35"/>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Uznania Zarządu Głównego SIMP za wieloletnią działalność oraz wybitne zasługi dla Stowarzyszenia (22.12.2021 r.)</w:t>
      </w:r>
    </w:p>
    <w:p w14:paraId="3E1C6D5E" w14:textId="77777777" w:rsidR="00924302" w:rsidRPr="005C0468" w:rsidRDefault="00924302" w:rsidP="00924302">
      <w:pPr>
        <w:pStyle w:val="NormalnyWeb"/>
        <w:shd w:val="clear" w:color="auto" w:fill="FFFFFF"/>
        <w:spacing w:before="0" w:beforeAutospacing="0" w:after="0" w:afterAutospacing="0"/>
        <w:rPr>
          <w:rFonts w:asciiTheme="minorHAnsi" w:hAnsiTheme="minorHAnsi" w:cstheme="minorHAnsi"/>
        </w:rPr>
      </w:pPr>
    </w:p>
    <w:p w14:paraId="639C870A" w14:textId="77777777" w:rsidR="00924302" w:rsidRPr="005C0468" w:rsidRDefault="00924302" w:rsidP="00924302">
      <w:pPr>
        <w:pStyle w:val="NormalnyWeb"/>
        <w:shd w:val="clear" w:color="auto" w:fill="FFFFFF"/>
        <w:spacing w:before="0" w:beforeAutospacing="0" w:after="0" w:afterAutospacing="0"/>
        <w:rPr>
          <w:rFonts w:asciiTheme="minorHAnsi" w:hAnsiTheme="minorHAnsi" w:cstheme="minorHAnsi"/>
          <w:b/>
          <w:bCs/>
        </w:rPr>
      </w:pPr>
      <w:r w:rsidRPr="005C0468">
        <w:rPr>
          <w:rFonts w:asciiTheme="minorHAnsi" w:hAnsiTheme="minorHAnsi" w:cstheme="minorHAnsi"/>
          <w:b/>
          <w:bCs/>
        </w:rPr>
        <w:t>Odznaczenia nadane przez FSNT-NOT:</w:t>
      </w:r>
    </w:p>
    <w:p w14:paraId="06F566F3" w14:textId="77777777" w:rsidR="00924302" w:rsidRPr="005C0468" w:rsidRDefault="00924302" w:rsidP="001F6BE3">
      <w:pPr>
        <w:pStyle w:val="NormalnyWeb"/>
        <w:numPr>
          <w:ilvl w:val="0"/>
          <w:numId w:val="36"/>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Srebrna Odznaka Honorowa NOT (1999)</w:t>
      </w:r>
    </w:p>
    <w:p w14:paraId="0F7B235D" w14:textId="77777777" w:rsidR="00924302" w:rsidRPr="005C0468" w:rsidRDefault="00924302" w:rsidP="001F6BE3">
      <w:pPr>
        <w:pStyle w:val="NormalnyWeb"/>
        <w:numPr>
          <w:ilvl w:val="0"/>
          <w:numId w:val="36"/>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Złota Odznaka Honorowa NOT (2006)</w:t>
      </w:r>
    </w:p>
    <w:p w14:paraId="02086B46" w14:textId="77777777" w:rsidR="00924302" w:rsidRPr="005C0468" w:rsidRDefault="00924302" w:rsidP="001F6BE3">
      <w:pPr>
        <w:pStyle w:val="NormalnyWeb"/>
        <w:numPr>
          <w:ilvl w:val="0"/>
          <w:numId w:val="36"/>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Złota-Diamentowa Odznaka Honorowa NOT (2017)</w:t>
      </w:r>
    </w:p>
    <w:p w14:paraId="180810A8" w14:textId="77777777" w:rsidR="00924302" w:rsidRPr="005C0468" w:rsidRDefault="00924302" w:rsidP="001F6BE3">
      <w:pPr>
        <w:pStyle w:val="NormalnyWeb"/>
        <w:numPr>
          <w:ilvl w:val="0"/>
          <w:numId w:val="36"/>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70 lat działalności FSNT-NOT Rada w Poznaniu (2017)</w:t>
      </w:r>
    </w:p>
    <w:p w14:paraId="0873C7AA" w14:textId="77777777" w:rsidR="00924302" w:rsidRPr="005C0468" w:rsidRDefault="00924302" w:rsidP="001F6BE3">
      <w:pPr>
        <w:pStyle w:val="NormalnyWeb"/>
        <w:numPr>
          <w:ilvl w:val="0"/>
          <w:numId w:val="36"/>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40-lecia Rady NOT Ciechanów za aktywną działalność (2018)</w:t>
      </w:r>
    </w:p>
    <w:p w14:paraId="5CBF8BF0" w14:textId="77777777" w:rsidR="00924302" w:rsidRPr="005C0468" w:rsidRDefault="00924302" w:rsidP="00924302">
      <w:pPr>
        <w:pStyle w:val="NormalnyWeb"/>
        <w:shd w:val="clear" w:color="auto" w:fill="FFFFFF"/>
        <w:spacing w:before="0" w:beforeAutospacing="0" w:after="0" w:afterAutospacing="0"/>
        <w:rPr>
          <w:rFonts w:asciiTheme="minorHAnsi" w:hAnsiTheme="minorHAnsi" w:cstheme="minorHAnsi"/>
        </w:rPr>
      </w:pPr>
    </w:p>
    <w:p w14:paraId="3B686575" w14:textId="77777777" w:rsidR="00924302" w:rsidRPr="005C0468" w:rsidRDefault="00924302" w:rsidP="00924302">
      <w:pPr>
        <w:pStyle w:val="NormalnyWeb"/>
        <w:shd w:val="clear" w:color="auto" w:fill="FFFFFF"/>
        <w:spacing w:before="0" w:beforeAutospacing="0" w:after="0" w:afterAutospacing="0"/>
        <w:rPr>
          <w:rFonts w:asciiTheme="minorHAnsi" w:hAnsiTheme="minorHAnsi" w:cstheme="minorHAnsi"/>
          <w:b/>
          <w:bCs/>
        </w:rPr>
      </w:pPr>
      <w:r w:rsidRPr="005C0468">
        <w:rPr>
          <w:rFonts w:asciiTheme="minorHAnsi" w:hAnsiTheme="minorHAnsi" w:cstheme="minorHAnsi"/>
          <w:b/>
          <w:bCs/>
        </w:rPr>
        <w:t>Odznaczenia państwowe, regionalne, inne:</w:t>
      </w:r>
    </w:p>
    <w:p w14:paraId="2F09093B"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Złoty Krzyż Zasługi (1982)</w:t>
      </w:r>
    </w:p>
    <w:p w14:paraId="08B3DA1A"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Odznaka Honorowa Miasta Poznania (1980)</w:t>
      </w:r>
    </w:p>
    <w:p w14:paraId="76C2DDBA"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Odznaka Honorowa Za Zasługi w Rozwoju Województwa Poznańskiego (1982) i Wielkopolskiego (2005)</w:t>
      </w:r>
    </w:p>
    <w:p w14:paraId="2CC110F2"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Odznaka Wojsk Lotniczych (1983)</w:t>
      </w:r>
    </w:p>
    <w:p w14:paraId="05B3EECE"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100-lecia działalności Inowrocławskich Zakładów Chemicznych im. Bolesława Rumińskiego (1979)</w:t>
      </w:r>
    </w:p>
    <w:p w14:paraId="62DD14F9"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XV-</w:t>
      </w:r>
      <w:proofErr w:type="spellStart"/>
      <w:r w:rsidRPr="005C0468">
        <w:rPr>
          <w:rFonts w:asciiTheme="minorHAnsi" w:hAnsiTheme="minorHAnsi" w:cstheme="minorHAnsi"/>
        </w:rPr>
        <w:t>lecia</w:t>
      </w:r>
      <w:proofErr w:type="spellEnd"/>
      <w:r w:rsidRPr="005C0468">
        <w:rPr>
          <w:rFonts w:asciiTheme="minorHAnsi" w:hAnsiTheme="minorHAnsi" w:cstheme="minorHAnsi"/>
        </w:rPr>
        <w:t xml:space="preserve"> „Za Zasługi dla TMMT i Realizację Technicznego Wychowania Młodzieży” (1982)</w:t>
      </w:r>
    </w:p>
    <w:p w14:paraId="567A80E1"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Złota Odznaka </w:t>
      </w:r>
      <w:proofErr w:type="spellStart"/>
      <w:r w:rsidRPr="005C0468">
        <w:rPr>
          <w:rFonts w:asciiTheme="minorHAnsi" w:hAnsiTheme="minorHAnsi" w:cstheme="minorHAnsi"/>
        </w:rPr>
        <w:t>WKTiR</w:t>
      </w:r>
      <w:proofErr w:type="spellEnd"/>
      <w:r w:rsidRPr="005C0468">
        <w:rPr>
          <w:rFonts w:asciiTheme="minorHAnsi" w:hAnsiTheme="minorHAnsi" w:cstheme="minorHAnsi"/>
        </w:rPr>
        <w:t xml:space="preserve"> w Poznaniu „Za Zasługi w Rozwoju Wynalazczości Województwa Poznańskiego” (20.01.1983)</w:t>
      </w:r>
    </w:p>
    <w:p w14:paraId="34AF0B36"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40-lecia Polski Ludowej (22.07.1984)</w:t>
      </w:r>
    </w:p>
    <w:p w14:paraId="3A4DD76E"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XXV-</w:t>
      </w:r>
      <w:proofErr w:type="spellStart"/>
      <w:r w:rsidRPr="005C0468">
        <w:rPr>
          <w:rFonts w:asciiTheme="minorHAnsi" w:hAnsiTheme="minorHAnsi" w:cstheme="minorHAnsi"/>
        </w:rPr>
        <w:t>lecia</w:t>
      </w:r>
      <w:proofErr w:type="spellEnd"/>
      <w:r w:rsidRPr="005C0468">
        <w:rPr>
          <w:rFonts w:asciiTheme="minorHAnsi" w:hAnsiTheme="minorHAnsi" w:cstheme="minorHAnsi"/>
        </w:rPr>
        <w:t xml:space="preserve"> </w:t>
      </w:r>
      <w:proofErr w:type="spellStart"/>
      <w:r w:rsidRPr="005C0468">
        <w:rPr>
          <w:rFonts w:asciiTheme="minorHAnsi" w:hAnsiTheme="minorHAnsi" w:cstheme="minorHAnsi"/>
        </w:rPr>
        <w:t>WKTiR</w:t>
      </w:r>
      <w:proofErr w:type="spellEnd"/>
      <w:r w:rsidRPr="005C0468">
        <w:rPr>
          <w:rFonts w:asciiTheme="minorHAnsi" w:hAnsiTheme="minorHAnsi" w:cstheme="minorHAnsi"/>
        </w:rPr>
        <w:t xml:space="preserve"> „Za Zasługi dla Wynalazczości i Racjonalizacji” – województwa miejskiego łódzkiego (09.12.1985)</w:t>
      </w:r>
    </w:p>
    <w:p w14:paraId="574E755F"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Za Zasługi dla </w:t>
      </w:r>
      <w:proofErr w:type="spellStart"/>
      <w:r w:rsidRPr="005C0468">
        <w:rPr>
          <w:rFonts w:asciiTheme="minorHAnsi" w:hAnsiTheme="minorHAnsi" w:cstheme="minorHAnsi"/>
        </w:rPr>
        <w:t>KZLiS</w:t>
      </w:r>
      <w:proofErr w:type="spellEnd"/>
      <w:r w:rsidRPr="005C0468">
        <w:rPr>
          <w:rFonts w:asciiTheme="minorHAnsi" w:hAnsiTheme="minorHAnsi" w:cstheme="minorHAnsi"/>
        </w:rPr>
        <w:t xml:space="preserve"> – Medal IN VICTORIA i Honor oraz Dyplom Najwyższego Uznania (2015)</w:t>
      </w:r>
    </w:p>
    <w:p w14:paraId="77F99241"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Za Zasługi im. Stanisława Mikołajczyka (2013)</w:t>
      </w:r>
    </w:p>
    <w:p w14:paraId="3C6CB229"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Medal Za Zasługi im. Wincentego Witosa (2016)</w:t>
      </w:r>
    </w:p>
    <w:p w14:paraId="30FBB420"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Odznaka i Tytuł Zasłużony dla Wynalazczości i Racjonalizacji Nadana przez Premiera w 1982 r.</w:t>
      </w:r>
    </w:p>
    <w:p w14:paraId="4339F250" w14:textId="77777777" w:rsidR="00924302" w:rsidRPr="005C0468" w:rsidRDefault="00924302" w:rsidP="001F6BE3">
      <w:pPr>
        <w:pStyle w:val="NormalnyWeb"/>
        <w:numPr>
          <w:ilvl w:val="0"/>
          <w:numId w:val="37"/>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Odznaczenie Złota Koniczynka (2018)</w:t>
      </w:r>
    </w:p>
    <w:p w14:paraId="5ADA9AD5" w14:textId="77777777" w:rsidR="00CA4816" w:rsidRDefault="00CA4816" w:rsidP="00924302">
      <w:pPr>
        <w:pStyle w:val="NormalnyWeb"/>
        <w:shd w:val="clear" w:color="auto" w:fill="FFFFFF"/>
        <w:spacing w:before="0" w:beforeAutospacing="0" w:after="0" w:afterAutospacing="0"/>
        <w:rPr>
          <w:rFonts w:asciiTheme="minorHAnsi" w:hAnsiTheme="minorHAnsi" w:cstheme="minorHAnsi"/>
          <w:b/>
          <w:bCs/>
        </w:rPr>
      </w:pPr>
    </w:p>
    <w:p w14:paraId="3F2E0618" w14:textId="2CBC9CDD" w:rsidR="00924302" w:rsidRPr="005C0468" w:rsidRDefault="00924302" w:rsidP="00924302">
      <w:pPr>
        <w:pStyle w:val="NormalnyWeb"/>
        <w:shd w:val="clear" w:color="auto" w:fill="FFFFFF"/>
        <w:spacing w:before="0" w:beforeAutospacing="0" w:after="0" w:afterAutospacing="0"/>
        <w:rPr>
          <w:rFonts w:asciiTheme="minorHAnsi" w:hAnsiTheme="minorHAnsi" w:cstheme="minorHAnsi"/>
          <w:b/>
          <w:bCs/>
        </w:rPr>
      </w:pPr>
      <w:r w:rsidRPr="005C0468">
        <w:rPr>
          <w:rFonts w:asciiTheme="minorHAnsi" w:hAnsiTheme="minorHAnsi" w:cstheme="minorHAnsi"/>
          <w:b/>
          <w:bCs/>
        </w:rPr>
        <w:lastRenderedPageBreak/>
        <w:t>Działalność zawodowa, społeczna i patriotyczna:</w:t>
      </w:r>
    </w:p>
    <w:p w14:paraId="63AC9445"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Studia na Wydziale WMR Politechniki Poznańskiej (1960-1965)</w:t>
      </w:r>
    </w:p>
    <w:p w14:paraId="6EC0F4D4"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Asystent Kat. Sil. Spal. Trakcyjnych WBM Politechniki Poznańskiej (1966)</w:t>
      </w:r>
    </w:p>
    <w:p w14:paraId="7B7D5A14"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proofErr w:type="spellStart"/>
      <w:r w:rsidRPr="005C0468">
        <w:rPr>
          <w:rFonts w:asciiTheme="minorHAnsi" w:hAnsiTheme="minorHAnsi" w:cstheme="minorHAnsi"/>
        </w:rPr>
        <w:t>Pozn</w:t>
      </w:r>
      <w:proofErr w:type="spellEnd"/>
      <w:r w:rsidRPr="005C0468">
        <w:rPr>
          <w:rFonts w:asciiTheme="minorHAnsi" w:hAnsiTheme="minorHAnsi" w:cstheme="minorHAnsi"/>
        </w:rPr>
        <w:t xml:space="preserve">. F-ka Masz. i Urz. Przem. </w:t>
      </w:r>
      <w:proofErr w:type="spellStart"/>
      <w:r w:rsidRPr="005C0468">
        <w:rPr>
          <w:rFonts w:asciiTheme="minorHAnsi" w:hAnsiTheme="minorHAnsi" w:cstheme="minorHAnsi"/>
        </w:rPr>
        <w:t>Spoż</w:t>
      </w:r>
      <w:proofErr w:type="spellEnd"/>
      <w:r w:rsidRPr="005C0468">
        <w:rPr>
          <w:rFonts w:asciiTheme="minorHAnsi" w:hAnsiTheme="minorHAnsi" w:cstheme="minorHAnsi"/>
        </w:rPr>
        <w:t>. „</w:t>
      </w:r>
      <w:proofErr w:type="spellStart"/>
      <w:r w:rsidRPr="005C0468">
        <w:rPr>
          <w:rFonts w:asciiTheme="minorHAnsi" w:hAnsiTheme="minorHAnsi" w:cstheme="minorHAnsi"/>
        </w:rPr>
        <w:t>Pofamia</w:t>
      </w:r>
      <w:proofErr w:type="spellEnd"/>
      <w:r w:rsidRPr="005C0468">
        <w:rPr>
          <w:rFonts w:asciiTheme="minorHAnsi" w:hAnsiTheme="minorHAnsi" w:cstheme="minorHAnsi"/>
        </w:rPr>
        <w:t>” (1967)</w:t>
      </w:r>
    </w:p>
    <w:p w14:paraId="12F5B538"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Uchwałą Rady Państwa nominowany na stopień podporucznika wojsk pancernych (1968)</w:t>
      </w:r>
    </w:p>
    <w:p w14:paraId="7735D3DF" w14:textId="77777777" w:rsidR="00924302" w:rsidRPr="005C0468" w:rsidRDefault="00924302" w:rsidP="00CA4816">
      <w:pPr>
        <w:pStyle w:val="NormalnyWeb"/>
        <w:numPr>
          <w:ilvl w:val="0"/>
          <w:numId w:val="38"/>
        </w:numPr>
        <w:shd w:val="clear" w:color="auto" w:fill="FFFFFF"/>
        <w:spacing w:before="0" w:beforeAutospacing="0" w:after="0" w:afterAutospacing="0"/>
        <w:ind w:right="-284"/>
        <w:rPr>
          <w:rFonts w:asciiTheme="minorHAnsi" w:hAnsiTheme="minorHAnsi" w:cstheme="minorHAnsi"/>
        </w:rPr>
      </w:pPr>
      <w:r w:rsidRPr="005C0468">
        <w:rPr>
          <w:rFonts w:asciiTheme="minorHAnsi" w:hAnsiTheme="minorHAnsi" w:cstheme="minorHAnsi"/>
        </w:rPr>
        <w:t>Ukończenie 2-letniego kursu kształcenia dla pracowników nauki z zakresu: psychologii, pedagogiki, dydaktyki szkoły wyższej i technologii pracy umysłowej przy Politechnice Poznańskiej (14.01.1969 r.)</w:t>
      </w:r>
    </w:p>
    <w:p w14:paraId="670E0A7F" w14:textId="77777777" w:rsidR="00924302" w:rsidRPr="005C0468" w:rsidRDefault="00924302" w:rsidP="00CA4816">
      <w:pPr>
        <w:pStyle w:val="NormalnyWeb"/>
        <w:numPr>
          <w:ilvl w:val="0"/>
          <w:numId w:val="38"/>
        </w:numPr>
        <w:shd w:val="clear" w:color="auto" w:fill="FFFFFF"/>
        <w:spacing w:before="0" w:beforeAutospacing="0" w:after="0" w:afterAutospacing="0"/>
        <w:ind w:right="-567"/>
        <w:rPr>
          <w:rFonts w:asciiTheme="minorHAnsi" w:hAnsiTheme="minorHAnsi" w:cstheme="minorHAnsi"/>
        </w:rPr>
      </w:pPr>
      <w:r w:rsidRPr="005C0468">
        <w:rPr>
          <w:rFonts w:asciiTheme="minorHAnsi" w:hAnsiTheme="minorHAnsi" w:cstheme="minorHAnsi"/>
        </w:rPr>
        <w:t>Wyższa Szkoła Rolnicza – Akademia Rolnicza (Asystent, Starszy Asystent, Adiunkt) (1967- 1975)</w:t>
      </w:r>
    </w:p>
    <w:p w14:paraId="20B586FA" w14:textId="77777777" w:rsidR="00924302" w:rsidRPr="005C0468" w:rsidRDefault="00924302" w:rsidP="00CA4816">
      <w:pPr>
        <w:pStyle w:val="NormalnyWeb"/>
        <w:numPr>
          <w:ilvl w:val="0"/>
          <w:numId w:val="38"/>
        </w:numPr>
        <w:shd w:val="clear" w:color="auto" w:fill="FFFFFF"/>
        <w:spacing w:before="0" w:beforeAutospacing="0" w:after="0" w:afterAutospacing="0"/>
        <w:ind w:right="-284"/>
        <w:rPr>
          <w:rFonts w:asciiTheme="minorHAnsi" w:hAnsiTheme="minorHAnsi" w:cstheme="minorHAnsi"/>
        </w:rPr>
      </w:pPr>
      <w:r w:rsidRPr="005C0468">
        <w:rPr>
          <w:rFonts w:asciiTheme="minorHAnsi" w:hAnsiTheme="minorHAnsi" w:cstheme="minorHAnsi"/>
        </w:rPr>
        <w:t xml:space="preserve">Zaświadczenie </w:t>
      </w:r>
      <w:proofErr w:type="spellStart"/>
      <w:r w:rsidRPr="005C0468">
        <w:rPr>
          <w:rFonts w:asciiTheme="minorHAnsi" w:hAnsiTheme="minorHAnsi" w:cstheme="minorHAnsi"/>
        </w:rPr>
        <w:t>MLiPD</w:t>
      </w:r>
      <w:proofErr w:type="spellEnd"/>
      <w:r w:rsidRPr="005C0468">
        <w:rPr>
          <w:rFonts w:asciiTheme="minorHAnsi" w:hAnsiTheme="minorHAnsi" w:cstheme="minorHAnsi"/>
        </w:rPr>
        <w:t xml:space="preserve"> ukończenia Kursu III° dla leśniczych do spraw mechanizacji (1972)</w:t>
      </w:r>
    </w:p>
    <w:p w14:paraId="6F07DA51" w14:textId="77777777" w:rsidR="00924302" w:rsidRPr="005C0468" w:rsidRDefault="00924302" w:rsidP="00CA4816">
      <w:pPr>
        <w:pStyle w:val="NormalnyWeb"/>
        <w:numPr>
          <w:ilvl w:val="0"/>
          <w:numId w:val="38"/>
        </w:numPr>
        <w:shd w:val="clear" w:color="auto" w:fill="FFFFFF"/>
        <w:spacing w:before="0" w:beforeAutospacing="0" w:after="0" w:afterAutospacing="0"/>
        <w:ind w:right="-284"/>
        <w:rPr>
          <w:rFonts w:asciiTheme="minorHAnsi" w:hAnsiTheme="minorHAnsi" w:cstheme="minorHAnsi"/>
        </w:rPr>
      </w:pPr>
      <w:r w:rsidRPr="005C0468">
        <w:rPr>
          <w:rFonts w:asciiTheme="minorHAnsi" w:hAnsiTheme="minorHAnsi" w:cstheme="minorHAnsi"/>
        </w:rPr>
        <w:t>Uzyskanie patentu sternika jachtowego i uprawnień instruktora żeglarstwa (01.06.1960)</w:t>
      </w:r>
    </w:p>
    <w:p w14:paraId="1B4F49CB"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PW i </w:t>
      </w:r>
      <w:proofErr w:type="spellStart"/>
      <w:r w:rsidRPr="005C0468">
        <w:rPr>
          <w:rFonts w:asciiTheme="minorHAnsi" w:hAnsiTheme="minorHAnsi" w:cstheme="minorHAnsi"/>
        </w:rPr>
        <w:t>UPTiO</w:t>
      </w:r>
      <w:proofErr w:type="spellEnd"/>
      <w:r w:rsidRPr="005C0468">
        <w:rPr>
          <w:rFonts w:asciiTheme="minorHAnsi" w:hAnsiTheme="minorHAnsi" w:cstheme="minorHAnsi"/>
        </w:rPr>
        <w:t xml:space="preserve"> „POSTEOR” w Poznaniu organizacja Oddziału, Zastępca Kier. Produkcji, Zastępca Kier. Działu Badań i Ochrony Patentowej, rzecznik patentowy (19761988)</w:t>
      </w:r>
    </w:p>
    <w:p w14:paraId="4BCEA7AB"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i Tytuł Doktora Nauk z zakresu maszynoznawstwa z transportem leśnym nadany 23.11.1977 r</w:t>
      </w:r>
    </w:p>
    <w:p w14:paraId="52032A6E"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Współzałożyciel i Przewodniczący Zarządu </w:t>
      </w:r>
      <w:proofErr w:type="spellStart"/>
      <w:r w:rsidRPr="005C0468">
        <w:rPr>
          <w:rFonts w:asciiTheme="minorHAnsi" w:hAnsiTheme="minorHAnsi" w:cstheme="minorHAnsi"/>
        </w:rPr>
        <w:t>WKTiR</w:t>
      </w:r>
      <w:proofErr w:type="spellEnd"/>
      <w:r w:rsidRPr="005C0468">
        <w:rPr>
          <w:rFonts w:asciiTheme="minorHAnsi" w:hAnsiTheme="minorHAnsi" w:cstheme="minorHAnsi"/>
        </w:rPr>
        <w:t xml:space="preserve"> w Poznaniu (1981-1985)</w:t>
      </w:r>
    </w:p>
    <w:p w14:paraId="5E7F9999"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Studium Podyplomowe Ochrony Własności Przemysłowej przy </w:t>
      </w:r>
      <w:proofErr w:type="spellStart"/>
      <w:r w:rsidRPr="005C0468">
        <w:rPr>
          <w:rFonts w:asciiTheme="minorHAnsi" w:hAnsiTheme="minorHAnsi" w:cstheme="minorHAnsi"/>
        </w:rPr>
        <w:t>WPiA</w:t>
      </w:r>
      <w:proofErr w:type="spellEnd"/>
      <w:r w:rsidRPr="005C0468">
        <w:rPr>
          <w:rFonts w:asciiTheme="minorHAnsi" w:hAnsiTheme="minorHAnsi" w:cstheme="minorHAnsi"/>
        </w:rPr>
        <w:t xml:space="preserve"> UAM w Poznaniu (1981-1982)</w:t>
      </w:r>
    </w:p>
    <w:p w14:paraId="6034620A"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Rzecznik patentowy w Zakładzie Doświadczalnym Reg. Zw. Sp. </w:t>
      </w:r>
      <w:proofErr w:type="spellStart"/>
      <w:r w:rsidRPr="005C0468">
        <w:rPr>
          <w:rFonts w:asciiTheme="minorHAnsi" w:hAnsiTheme="minorHAnsi" w:cstheme="minorHAnsi"/>
        </w:rPr>
        <w:t>Inw</w:t>
      </w:r>
      <w:proofErr w:type="spellEnd"/>
      <w:r w:rsidRPr="005C0468">
        <w:rPr>
          <w:rFonts w:asciiTheme="minorHAnsi" w:hAnsiTheme="minorHAnsi" w:cstheme="minorHAnsi"/>
        </w:rPr>
        <w:t>. w Zielonej Górze (1981-1982)</w:t>
      </w:r>
    </w:p>
    <w:p w14:paraId="54A20335"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Współzałożyciel, Członek Zarządu i Prezydium Stowarzyszenia Rzeczników Patentowych zarejestrowanego 16.09.1981 r. (1981-1997)</w:t>
      </w:r>
    </w:p>
    <w:p w14:paraId="6661DF78"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Przedsiębiorstwo Konstrukcyjno-Wdrożeniowe „PRO-KOM” - Prezes Zarządu i Dyrektor (1988-1991)</w:t>
      </w:r>
    </w:p>
    <w:p w14:paraId="53C6E8EB"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Przedsiębiorstwo Innowacyjno-Wdrożeniowe „INVENTA” - Prezes Zarządu i Dyrektor (1987-1992)</w:t>
      </w:r>
    </w:p>
    <w:p w14:paraId="10E24F8C"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Krajowy Związek Lokatorów i Spółdzielców (od 1994 r.) - Członek Zarządu i jego Prezydium od początkowej działalności jako Forum Spółdzielców Mieszkaniowych - zarejestrowane jako </w:t>
      </w:r>
      <w:proofErr w:type="spellStart"/>
      <w:r w:rsidRPr="005C0468">
        <w:rPr>
          <w:rFonts w:asciiTheme="minorHAnsi" w:hAnsiTheme="minorHAnsi" w:cstheme="minorHAnsi"/>
        </w:rPr>
        <w:t>KZLiS</w:t>
      </w:r>
      <w:proofErr w:type="spellEnd"/>
      <w:r w:rsidRPr="005C0468">
        <w:rPr>
          <w:rFonts w:asciiTheme="minorHAnsi" w:hAnsiTheme="minorHAnsi" w:cstheme="minorHAnsi"/>
        </w:rPr>
        <w:t xml:space="preserve"> 17.02.1997 r., od 2010 r. i nadal Prezes Zarządu</w:t>
      </w:r>
    </w:p>
    <w:p w14:paraId="55126EF9"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Współzałożyciel Polskiej Izby Rzeczników Patentowych powołanej 28.08.1993 r.</w:t>
      </w:r>
    </w:p>
    <w:p w14:paraId="3F381A61"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Wniósł znaczący wkład w powołanie Centrum Działalności Inżynierskiej i jego przekształcenie w spółkę komandytową (w 2004 r.)</w:t>
      </w:r>
    </w:p>
    <w:p w14:paraId="6658BF7F"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Społeczny konsultant Sejmowej Komisji Nadzwyczajnej ds. Nowelizacji Prawa Wynalazczego (1983-1984) Inicjator uchwalenia ustawy o spółdzielniach mieszkaniowych - uchwalonej 15.12.2000 r. oraz jej społeczny konsultant w Sejmowej Komisji Nadzwyczajnej, również przy nowelizacji Ustawy z 19.12.2002 r.</w:t>
      </w:r>
    </w:p>
    <w:p w14:paraId="75B7572E"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Współorganizator powołanego w 2008 r. Studium Podyplomowego Nr 153 „Menadżer eksploatacji maszyn, bezpieczeństwa i higieny pracy” na WBM Politechniki Poznańskiej i jego wykładowca w latach 2008-2012 „Wybranych zagadnień ochrony własności przemysłowej”</w:t>
      </w:r>
    </w:p>
    <w:p w14:paraId="15987D12"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Organizator działalności i współorganizator pomocy na MTP w Poznaniu wystawcom w opracowaniu dokumentów pierwszeństwa dotyczących rozwiązań mających zdolność patentową, ochronną lub rejestrową (1980-1988)</w:t>
      </w:r>
    </w:p>
    <w:p w14:paraId="1602CAAC"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lastRenderedPageBreak/>
        <w:t>Przewodniczący Rady Osiedla Lecha Czecha Spółdzielni Mieszkaniowej „Osiedle Młodych” (1978-1997)</w:t>
      </w:r>
    </w:p>
    <w:p w14:paraId="0425E5A1" w14:textId="77777777" w:rsidR="00924302" w:rsidRPr="005C0468" w:rsidRDefault="00924302" w:rsidP="001F6BE3">
      <w:pPr>
        <w:pStyle w:val="NormalnyWeb"/>
        <w:numPr>
          <w:ilvl w:val="1"/>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Doprowadził do dokończenia budowy Zespołu Szkół Ogólnokształcących nr 4 (Liceum Ogólnokształcące nr XVII i Szkoła Podstawowa nr 49) - oddanej do użytku w 1991 r.</w:t>
      </w:r>
    </w:p>
    <w:p w14:paraId="3CE70D5B" w14:textId="77777777" w:rsidR="00924302" w:rsidRPr="005C0468" w:rsidRDefault="00924302" w:rsidP="001F6BE3">
      <w:pPr>
        <w:pStyle w:val="NormalnyWeb"/>
        <w:numPr>
          <w:ilvl w:val="1"/>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Doprowadził do wybudowania przy ulicy Wiatracznej 520 garaży dla mieszkańców Osiedla Lecha Czecha - oddanych do użytku w 1993 r.</w:t>
      </w:r>
    </w:p>
    <w:p w14:paraId="7BF9218F" w14:textId="4B65B788"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Rady Nadzorczej SM „OM” i jej Przewodniczący w kadencji 1993-1996</w:t>
      </w:r>
    </w:p>
    <w:p w14:paraId="1F896323"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Twórca i współtwórca 11 wynalazków i wzorów użytkowych (1978-2018)</w:t>
      </w:r>
    </w:p>
    <w:p w14:paraId="74ACF6AD"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Autor opisów zgłoszeniowych do UP RP 134 wynalazków i wzorów użytkowych (1978- 2019)</w:t>
      </w:r>
    </w:p>
    <w:p w14:paraId="2A803732"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Dokonał 21 zgłoszeń wynalazków w Europejskim Urzędzie Patentowym (19791988)</w:t>
      </w:r>
    </w:p>
    <w:p w14:paraId="04CD35CD"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Ekspert Urzędu Marszałkowskiego Województwa Wlkp. – dokonał merytorycznej oceny 350 projektów o przyznanie środków unijnych (2008-2020)</w:t>
      </w:r>
    </w:p>
    <w:p w14:paraId="4F95A8E7"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Współzałożyciel oraz Członek Zarządu i Prezydium Krajowego Stowarzyszenia Profesjonalistów Rynku Nieruchomości DOMINIUM (od 2016 r.)</w:t>
      </w:r>
    </w:p>
    <w:p w14:paraId="3B7D7EEF"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Autor 43 ekspertyz i 22 opinii dotyczących wynalazków i ich stosowania</w:t>
      </w:r>
    </w:p>
    <w:p w14:paraId="587B6892"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Autor 44 artykułów naukowo-badawczych, publikacji książkowych i skryptu oraz artykułów o tematyce wynalazczej i SIMP-</w:t>
      </w:r>
      <w:proofErr w:type="spellStart"/>
      <w:r w:rsidRPr="005C0468">
        <w:rPr>
          <w:rFonts w:asciiTheme="minorHAnsi" w:hAnsiTheme="minorHAnsi" w:cstheme="minorHAnsi"/>
        </w:rPr>
        <w:t>owskiej</w:t>
      </w:r>
      <w:proofErr w:type="spellEnd"/>
    </w:p>
    <w:p w14:paraId="11678966"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Decyzją z 16.09.2021 r. Szefa Urzędu do spraw Kombatantów i Osób Represjonowanych przyznano status i uprawnienia kombatanckie</w:t>
      </w:r>
    </w:p>
    <w:p w14:paraId="4C0ED829"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Współinicjator (z A. Ciszewskim) utworzenia „Muzeum Zamek w Rydzynie”, powołanego 12.03.2014 r. przez Ministra Kultury i Dziedzictwa Narodowego B. Zdrojewskiego</w:t>
      </w:r>
    </w:p>
    <w:p w14:paraId="70876905"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Współinicjator prac związanych z uzyskaniem przez Zamek w Rydzynie statusu Pomnika Historii – nadanego przez Prezydenta RP 15.03.2017 r.</w:t>
      </w:r>
    </w:p>
    <w:p w14:paraId="15D4D3A3"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Uczestnik 9-tego Spotkania Opiekunów Pomników Historii w Krasiczynie 1213.06.2019 r.</w:t>
      </w:r>
    </w:p>
    <w:p w14:paraId="20C7E092"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 xml:space="preserve">Uczestnik Obchodów setnej rocznicy Powrotu Ziemi Rydzyńskiej do Macierzy i </w:t>
      </w:r>
      <w:proofErr w:type="spellStart"/>
      <w:r w:rsidRPr="005C0468">
        <w:rPr>
          <w:rFonts w:asciiTheme="minorHAnsi" w:hAnsiTheme="minorHAnsi" w:cstheme="minorHAnsi"/>
        </w:rPr>
        <w:t>współodbiorca</w:t>
      </w:r>
      <w:proofErr w:type="spellEnd"/>
      <w:r w:rsidRPr="005C0468">
        <w:rPr>
          <w:rFonts w:asciiTheme="minorHAnsi" w:hAnsiTheme="minorHAnsi" w:cstheme="minorHAnsi"/>
        </w:rPr>
        <w:t xml:space="preserve"> Wyróżnienia dla Zamku w Rydzynie (17.01.2020 r.)</w:t>
      </w:r>
    </w:p>
    <w:p w14:paraId="2EFEF80A"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Uczestnik odbioru i przekazania do eksploatacji w dniu 15.07.1981 r. Pomnika Poznańskiego Czerwca 1956</w:t>
      </w:r>
    </w:p>
    <w:p w14:paraId="067E578D"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Wraz z P. Janickim R. Matusiak przekazał 25.09.2008 r. dokumentację konstrukcyjną z korektami powykonawczymi Pomnika Poznańskiego Czerwca – Zarządowi NSZZ Solidarność Regionu Wlkp.</w:t>
      </w:r>
    </w:p>
    <w:p w14:paraId="37F16D60"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Uczestnik spisania aktu notarialnego w dniu 17.12.1970 r. w Lesznie przy ul. Dąbrowskiego 2, którym przekazano ZG SIMP Zamek w Rydzynie o kubaturze 49,489 m3 i parku o powierzchni 12,444 ha</w:t>
      </w:r>
    </w:p>
    <w:p w14:paraId="43FDDBB5"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Dyplom Uznania za wybitne Zasługi w działalności PSL na rzecz wspólnego dobra i rozwoju Ojczyzny – przyznane przez ZW PSL 27.06.2006 r. i 27.05.2009 r.</w:t>
      </w:r>
    </w:p>
    <w:p w14:paraId="7CE294CE" w14:textId="77777777" w:rsidR="00924302"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pPr>
      <w:r w:rsidRPr="005C0468">
        <w:rPr>
          <w:rFonts w:asciiTheme="minorHAnsi" w:hAnsiTheme="minorHAnsi" w:cstheme="minorHAnsi"/>
        </w:rPr>
        <w:t>Członek Związku Kombatantów Rzeczypospolitej Polskiej i Byłych Więźniów Politycznych (2021)</w:t>
      </w:r>
    </w:p>
    <w:p w14:paraId="4EEF7F63" w14:textId="77777777" w:rsidR="00FD0EA0" w:rsidRPr="005C0468" w:rsidRDefault="00924302" w:rsidP="001F6BE3">
      <w:pPr>
        <w:pStyle w:val="NormalnyWeb"/>
        <w:numPr>
          <w:ilvl w:val="0"/>
          <w:numId w:val="38"/>
        </w:numPr>
        <w:shd w:val="clear" w:color="auto" w:fill="FFFFFF"/>
        <w:spacing w:before="0" w:beforeAutospacing="0" w:after="0" w:afterAutospacing="0"/>
        <w:rPr>
          <w:rFonts w:asciiTheme="minorHAnsi" w:hAnsiTheme="minorHAnsi" w:cstheme="minorHAnsi"/>
        </w:rPr>
        <w:sectPr w:rsidR="00FD0EA0" w:rsidRPr="005C0468" w:rsidSect="00F72864">
          <w:pgSz w:w="11906" w:h="16838" w:code="9"/>
          <w:pgMar w:top="1417" w:right="1417" w:bottom="1417" w:left="1417" w:header="0" w:footer="0" w:gutter="0"/>
          <w:cols w:space="708"/>
          <w:docGrid w:linePitch="360"/>
        </w:sectPr>
      </w:pPr>
      <w:r w:rsidRPr="005C0468">
        <w:rPr>
          <w:rFonts w:asciiTheme="minorHAnsi" w:hAnsiTheme="minorHAnsi" w:cstheme="minorHAnsi"/>
        </w:rPr>
        <w:t>Srebrny medal „LABOR OMNIA VINCIT” przyznany przez Towarzystwo im. Hipolita Cegielskiego (2022)</w:t>
      </w:r>
    </w:p>
    <w:p w14:paraId="3AC77079" w14:textId="77777777" w:rsidR="00924302" w:rsidRPr="00EC4F25" w:rsidRDefault="00924302" w:rsidP="00FD0EA0">
      <w:pPr>
        <w:pStyle w:val="NormalnyWeb"/>
        <w:shd w:val="clear" w:color="auto" w:fill="FFFFFF"/>
        <w:spacing w:before="0" w:beforeAutospacing="0" w:after="0" w:afterAutospacing="0"/>
        <w:jc w:val="center"/>
        <w:rPr>
          <w:sz w:val="22"/>
          <w:szCs w:val="22"/>
        </w:rPr>
      </w:pPr>
      <w:r w:rsidRPr="00EC4F25">
        <w:rPr>
          <w:noProof/>
          <w:sz w:val="22"/>
          <w:szCs w:val="22"/>
        </w:rPr>
        <w:lastRenderedPageBreak/>
        <w:drawing>
          <wp:inline distT="0" distB="0" distL="0" distR="0" wp14:anchorId="1A15EF4B" wp14:editId="382A3853">
            <wp:extent cx="7480825" cy="10585450"/>
            <wp:effectExtent l="0" t="0" r="6350" b="6350"/>
            <wp:docPr id="1518471233"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7491276" cy="10600238"/>
                    </a:xfrm>
                    <a:prstGeom prst="rect">
                      <a:avLst/>
                    </a:prstGeom>
                    <a:noFill/>
                    <a:ln>
                      <a:noFill/>
                    </a:ln>
                  </pic:spPr>
                </pic:pic>
              </a:graphicData>
            </a:graphic>
          </wp:inline>
        </w:drawing>
      </w:r>
    </w:p>
    <w:p w14:paraId="06067494" w14:textId="77777777" w:rsidR="0012503C" w:rsidRPr="00EC4F25" w:rsidRDefault="0012503C" w:rsidP="00FD0EA0">
      <w:pPr>
        <w:pStyle w:val="NormalnyWeb"/>
        <w:shd w:val="clear" w:color="auto" w:fill="FFFFFF"/>
        <w:spacing w:before="0" w:beforeAutospacing="0" w:after="0" w:afterAutospacing="0"/>
        <w:jc w:val="center"/>
        <w:rPr>
          <w:sz w:val="22"/>
          <w:szCs w:val="22"/>
        </w:rPr>
      </w:pPr>
    </w:p>
    <w:p w14:paraId="2FC2E2DA" w14:textId="77777777" w:rsidR="0012503C" w:rsidRPr="00EC4F25" w:rsidRDefault="0012503C" w:rsidP="00FD0EA0">
      <w:pPr>
        <w:pStyle w:val="NormalnyWeb"/>
        <w:shd w:val="clear" w:color="auto" w:fill="FFFFFF"/>
        <w:spacing w:before="0" w:beforeAutospacing="0" w:after="0" w:afterAutospacing="0"/>
        <w:jc w:val="center"/>
        <w:rPr>
          <w:sz w:val="22"/>
          <w:szCs w:val="22"/>
        </w:rPr>
      </w:pPr>
    </w:p>
    <w:p w14:paraId="1032977E" w14:textId="320BC751" w:rsidR="00924302" w:rsidRPr="00EC4F25" w:rsidRDefault="00924302" w:rsidP="00FD0EA0">
      <w:pPr>
        <w:pStyle w:val="NormalnyWeb"/>
        <w:shd w:val="clear" w:color="auto" w:fill="FFFFFF"/>
        <w:spacing w:before="0" w:beforeAutospacing="0" w:after="0" w:afterAutospacing="0"/>
        <w:jc w:val="center"/>
        <w:rPr>
          <w:sz w:val="22"/>
          <w:szCs w:val="22"/>
        </w:rPr>
      </w:pPr>
      <w:r w:rsidRPr="00EC4F25">
        <w:rPr>
          <w:noProof/>
          <w:sz w:val="22"/>
          <w:szCs w:val="22"/>
        </w:rPr>
        <w:drawing>
          <wp:inline distT="0" distB="0" distL="0" distR="0" wp14:anchorId="7F8AD1D7" wp14:editId="28F94838">
            <wp:extent cx="6591383" cy="9326880"/>
            <wp:effectExtent l="0" t="0" r="0" b="7620"/>
            <wp:docPr id="63457912"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603515" cy="9344047"/>
                    </a:xfrm>
                    <a:prstGeom prst="rect">
                      <a:avLst/>
                    </a:prstGeom>
                    <a:noFill/>
                    <a:ln>
                      <a:noFill/>
                    </a:ln>
                  </pic:spPr>
                </pic:pic>
              </a:graphicData>
            </a:graphic>
          </wp:inline>
        </w:drawing>
      </w:r>
    </w:p>
    <w:p w14:paraId="1DB6E6DA" w14:textId="77777777" w:rsidR="00FD0EA0" w:rsidRPr="00EC4F25" w:rsidRDefault="00FD0EA0" w:rsidP="00924302">
      <w:pPr>
        <w:rPr>
          <w:rFonts w:ascii="Times New Roman" w:eastAsia="Times New Roman" w:hAnsi="Times New Roman" w:cs="Times New Roman"/>
          <w:kern w:val="0"/>
          <w:lang w:eastAsia="pl-PL"/>
          <w14:ligatures w14:val="none"/>
        </w:rPr>
        <w:sectPr w:rsidR="00FD0EA0" w:rsidRPr="00EC4F25" w:rsidSect="00F72864">
          <w:pgSz w:w="11906" w:h="16838" w:code="9"/>
          <w:pgMar w:top="0" w:right="0" w:bottom="0" w:left="0" w:header="0" w:footer="0" w:gutter="0"/>
          <w:cols w:space="708"/>
          <w:docGrid w:linePitch="360"/>
        </w:sectPr>
      </w:pPr>
    </w:p>
    <w:p w14:paraId="68BD0FC8" w14:textId="25BC0A7E" w:rsidR="00924302" w:rsidRPr="00DA698F" w:rsidRDefault="00D8166E" w:rsidP="00BD0DA0">
      <w:pPr>
        <w:spacing w:after="0" w:line="240" w:lineRule="auto"/>
        <w:rPr>
          <w:rStyle w:val="Nagwek3Znak"/>
          <w:b/>
          <w:bCs/>
          <w:sz w:val="30"/>
          <w:szCs w:val="30"/>
        </w:rPr>
      </w:pPr>
      <w:r>
        <w:rPr>
          <w:rStyle w:val="Nagwek3Znak"/>
          <w:rFonts w:asciiTheme="minorHAnsi" w:hAnsiTheme="minorHAnsi" w:cstheme="minorHAnsi"/>
        </w:rPr>
        <w:lastRenderedPageBreak/>
        <w:br/>
      </w:r>
      <w:r w:rsidR="00924302" w:rsidRPr="00DA698F">
        <w:rPr>
          <w:rStyle w:val="Nagwek3Znak"/>
          <w:rFonts w:asciiTheme="minorHAnsi" w:hAnsiTheme="minorHAnsi" w:cstheme="minorHAnsi"/>
          <w:b/>
          <w:bCs/>
          <w:noProof/>
          <w:sz w:val="28"/>
          <w:szCs w:val="28"/>
          <w:lang w:eastAsia="pl-PL"/>
        </w:rPr>
        <w:drawing>
          <wp:anchor distT="0" distB="0" distL="114300" distR="114300" simplePos="0" relativeHeight="252261376" behindDoc="0" locked="0" layoutInCell="1" allowOverlap="1" wp14:anchorId="1F627B14" wp14:editId="661C3D25">
            <wp:simplePos x="0" y="0"/>
            <wp:positionH relativeFrom="column">
              <wp:posOffset>957</wp:posOffset>
            </wp:positionH>
            <wp:positionV relativeFrom="paragraph">
              <wp:posOffset>957</wp:posOffset>
            </wp:positionV>
            <wp:extent cx="1980000" cy="1080000"/>
            <wp:effectExtent l="0" t="0" r="1270" b="6350"/>
            <wp:wrapThrough wrapText="bothSides">
              <wp:wrapPolygon edited="0">
                <wp:start x="0" y="0"/>
                <wp:lineTo x="0" y="21346"/>
                <wp:lineTo x="21406" y="21346"/>
                <wp:lineTo x="21406" y="0"/>
                <wp:lineTo x="0" y="0"/>
              </wp:wrapPolygon>
            </wp:wrapThrough>
            <wp:docPr id="1268124591" name="Obraz 1" descr="Obraz zawierający na wolnym powietrzu, ubrania, osoba, człowiek&#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9815310" name="Obraz 1" descr="Obraz zawierający na wolnym powietrzu, ubrania, osoba, człowiek&#10;&#10;Opis wygenerowany automatycznie"/>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115BF" w14:textId="77777777" w:rsidR="00DA698F" w:rsidRPr="00DA698F" w:rsidRDefault="00DA698F" w:rsidP="00DA698F">
      <w:pPr>
        <w:spacing w:after="0" w:line="240" w:lineRule="auto"/>
        <w:rPr>
          <w:rStyle w:val="Nagwek3Znak"/>
          <w:b/>
          <w:bCs/>
          <w:sz w:val="26"/>
          <w:szCs w:val="26"/>
        </w:rPr>
      </w:pPr>
      <w:bookmarkStart w:id="164" w:name="_Toc170118002"/>
      <w:r w:rsidRPr="00DA698F">
        <w:rPr>
          <w:rStyle w:val="Nagwek3Znak"/>
          <w:rFonts w:asciiTheme="minorHAnsi" w:hAnsiTheme="minorHAnsi" w:cstheme="minorHAnsi"/>
          <w:b/>
          <w:bCs/>
        </w:rPr>
        <w:t>Poszukiwacze skarbów</w:t>
      </w:r>
      <w:bookmarkEnd w:id="164"/>
    </w:p>
    <w:p w14:paraId="77FE9E92" w14:textId="242FE0FB" w:rsidR="00BD0DA0" w:rsidRDefault="00BD0DA0" w:rsidP="00BD0DA0"/>
    <w:p w14:paraId="5BD6C51D" w14:textId="4687213E" w:rsidR="00BD0DA0" w:rsidRDefault="00BD0DA0" w:rsidP="00BD0DA0"/>
    <w:p w14:paraId="49131A8B" w14:textId="1E83DD54" w:rsidR="00BD0DA0" w:rsidRPr="00B27638" w:rsidRDefault="00BD0DA0" w:rsidP="00BD0DA0">
      <w:pPr>
        <w:rPr>
          <w:sz w:val="10"/>
          <w:szCs w:val="10"/>
        </w:rPr>
      </w:pPr>
    </w:p>
    <w:p w14:paraId="29826F43" w14:textId="77777777" w:rsidR="004D64A0" w:rsidRDefault="004D64A0" w:rsidP="00924302">
      <w:pPr>
        <w:rPr>
          <w:rFonts w:cstheme="minorHAnsi"/>
        </w:rPr>
      </w:pPr>
    </w:p>
    <w:p w14:paraId="7BD78CA1" w14:textId="096602B4" w:rsidR="005C0468" w:rsidRDefault="00924302" w:rsidP="00924302">
      <w:pPr>
        <w:rPr>
          <w:rFonts w:cstheme="minorHAnsi"/>
        </w:rPr>
        <w:sectPr w:rsidR="005C0468" w:rsidSect="009412A1">
          <w:pgSz w:w="11906" w:h="16838" w:code="9"/>
          <w:pgMar w:top="1417" w:right="1417" w:bottom="1417" w:left="1417" w:header="0" w:footer="0" w:gutter="0"/>
          <w:cols w:space="708"/>
          <w:docGrid w:linePitch="360"/>
        </w:sectPr>
      </w:pPr>
      <w:r w:rsidRPr="00EC4F25">
        <w:rPr>
          <w:rFonts w:cstheme="minorHAnsi"/>
        </w:rPr>
        <w:br w:type="page"/>
      </w:r>
    </w:p>
    <w:bookmarkEnd w:id="1"/>
    <w:p w14:paraId="017A8E1E" w14:textId="2C2B04DB" w:rsidR="00CB15BC" w:rsidRPr="00215FBB" w:rsidRDefault="005C0468">
      <w:pPr>
        <w:rPr>
          <w:color w:val="E7E6E6" w:themeColor="background2"/>
          <w:sz w:val="44"/>
          <w:szCs w:val="44"/>
        </w:rPr>
      </w:pPr>
      <w:r>
        <w:rPr>
          <w:noProof/>
          <w:color w:val="E7E6E6" w:themeColor="background2"/>
          <w:sz w:val="44"/>
          <w:szCs w:val="44"/>
        </w:rPr>
        <w:lastRenderedPageBreak/>
        <w:drawing>
          <wp:inline distT="0" distB="0" distL="0" distR="0" wp14:anchorId="0392FDDF" wp14:editId="4142D7F8">
            <wp:extent cx="7562215" cy="10697210"/>
            <wp:effectExtent l="0" t="0" r="635" b="8890"/>
            <wp:docPr id="1742676207"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7562215" cy="10697210"/>
                    </a:xfrm>
                    <a:prstGeom prst="rect">
                      <a:avLst/>
                    </a:prstGeom>
                    <a:noFill/>
                    <a:ln>
                      <a:noFill/>
                    </a:ln>
                  </pic:spPr>
                </pic:pic>
              </a:graphicData>
            </a:graphic>
          </wp:inline>
        </w:drawing>
      </w:r>
    </w:p>
    <w:sectPr w:rsidR="00CB15BC" w:rsidRPr="00215FBB" w:rsidSect="005C0468">
      <w:pgSz w:w="11906" w:h="16838" w:code="9"/>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A8F350" w14:textId="77777777" w:rsidR="005F033F" w:rsidRDefault="005F033F" w:rsidP="007F67AC">
      <w:pPr>
        <w:spacing w:after="0" w:line="240" w:lineRule="auto"/>
      </w:pPr>
      <w:r>
        <w:separator/>
      </w:r>
    </w:p>
  </w:endnote>
  <w:endnote w:type="continuationSeparator" w:id="0">
    <w:p w14:paraId="498E950B" w14:textId="77777777" w:rsidR="005F033F" w:rsidRDefault="005F033F" w:rsidP="007F67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Noto Serif">
    <w:charset w:val="00"/>
    <w:family w:val="roman"/>
    <w:pitch w:val="variable"/>
    <w:sig w:usb0="E00002FF" w:usb1="500078FF" w:usb2="00000029" w:usb3="00000000" w:csb0="0000019F" w:csb1="00000000"/>
  </w:font>
  <w:font w:name="Segoe UI">
    <w:panose1 w:val="020B0502040204020203"/>
    <w:charset w:val="EE"/>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IDFont+F1">
    <w:altName w:val="Cambria"/>
    <w:panose1 w:val="00000000000000000000"/>
    <w:charset w:val="00"/>
    <w:family w:val="roman"/>
    <w:notTrueType/>
    <w:pitch w:val="default"/>
  </w:font>
  <w:font w:name="CIDFont+F3">
    <w:altName w:val="Cambria"/>
    <w:panose1 w:val="00000000000000000000"/>
    <w:charset w:val="00"/>
    <w:family w:val="roman"/>
    <w:notTrueType/>
    <w:pitch w:val="default"/>
  </w:font>
  <w:font w:name="Times">
    <w:panose1 w:val="02020603050405020304"/>
    <w:charset w:val="EE"/>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Raleway">
    <w:charset w:val="EE"/>
    <w:family w:val="auto"/>
    <w:pitch w:val="variable"/>
    <w:sig w:usb0="A00002FF" w:usb1="5000205B"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00000003" w:usb1="00000000" w:usb2="00000000" w:usb3="00000000" w:csb0="00000001" w:csb1="00000000"/>
  </w:font>
  <w:font w:name="inherit">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Plain">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9761644"/>
      <w:docPartObj>
        <w:docPartGallery w:val="Page Numbers (Bottom of Page)"/>
        <w:docPartUnique/>
      </w:docPartObj>
    </w:sdtPr>
    <w:sdtEndPr/>
    <w:sdtContent>
      <w:p w14:paraId="6884E448" w14:textId="45D91D76" w:rsidR="00541DD6" w:rsidRDefault="00541DD6">
        <w:pPr>
          <w:pStyle w:val="Stopka"/>
          <w:jc w:val="center"/>
        </w:pPr>
        <w:r>
          <w:t xml:space="preserve">-   </w:t>
        </w:r>
        <w:r>
          <w:fldChar w:fldCharType="begin"/>
        </w:r>
        <w:r>
          <w:instrText>PAGE   \* MERGEFORMAT</w:instrText>
        </w:r>
        <w:r>
          <w:fldChar w:fldCharType="separate"/>
        </w:r>
        <w:r w:rsidR="00653EFB">
          <w:rPr>
            <w:noProof/>
          </w:rPr>
          <w:t>21</w:t>
        </w:r>
        <w:r>
          <w:fldChar w:fldCharType="end"/>
        </w:r>
        <w:r>
          <w:t xml:space="preserve">   -</w:t>
        </w:r>
      </w:p>
    </w:sdtContent>
  </w:sdt>
  <w:p w14:paraId="7B88D387" w14:textId="77777777" w:rsidR="00541DD6" w:rsidRDefault="00541DD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6560812"/>
      <w:docPartObj>
        <w:docPartGallery w:val="Page Numbers (Bottom of Page)"/>
        <w:docPartUnique/>
      </w:docPartObj>
    </w:sdtPr>
    <w:sdtEndPr>
      <w:rPr>
        <w:sz w:val="28"/>
        <w:szCs w:val="28"/>
      </w:rPr>
    </w:sdtEndPr>
    <w:sdtContent>
      <w:p w14:paraId="6FC48203" w14:textId="1614DBB5" w:rsidR="00541DD6" w:rsidRPr="002E5577" w:rsidRDefault="00541DD6">
        <w:pPr>
          <w:pStyle w:val="Stopka"/>
          <w:jc w:val="center"/>
          <w:rPr>
            <w:sz w:val="28"/>
            <w:szCs w:val="28"/>
          </w:rPr>
        </w:pPr>
        <w:r w:rsidRPr="002E5577">
          <w:rPr>
            <w:sz w:val="28"/>
            <w:szCs w:val="28"/>
          </w:rPr>
          <w:t xml:space="preserve">-   </w:t>
        </w:r>
        <w:r w:rsidRPr="002E5577">
          <w:rPr>
            <w:sz w:val="28"/>
            <w:szCs w:val="28"/>
          </w:rPr>
          <w:fldChar w:fldCharType="begin"/>
        </w:r>
        <w:r w:rsidRPr="002E5577">
          <w:rPr>
            <w:sz w:val="28"/>
            <w:szCs w:val="28"/>
          </w:rPr>
          <w:instrText>PAGE   \* MERGEFORMAT</w:instrText>
        </w:r>
        <w:r w:rsidRPr="002E5577">
          <w:rPr>
            <w:sz w:val="28"/>
            <w:szCs w:val="28"/>
          </w:rPr>
          <w:fldChar w:fldCharType="separate"/>
        </w:r>
        <w:r>
          <w:rPr>
            <w:noProof/>
            <w:sz w:val="28"/>
            <w:szCs w:val="28"/>
          </w:rPr>
          <w:t>7</w:t>
        </w:r>
        <w:r w:rsidRPr="002E5577">
          <w:rPr>
            <w:sz w:val="28"/>
            <w:szCs w:val="28"/>
          </w:rPr>
          <w:fldChar w:fldCharType="end"/>
        </w:r>
        <w:r w:rsidRPr="002E5577">
          <w:rPr>
            <w:sz w:val="28"/>
            <w:szCs w:val="28"/>
          </w:rPr>
          <w:t xml:space="preserve">   -</w:t>
        </w:r>
      </w:p>
    </w:sdtContent>
  </w:sdt>
  <w:p w14:paraId="6BBDE9F0" w14:textId="77777777" w:rsidR="00541DD6" w:rsidRDefault="00541DD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42866A" w14:textId="77777777" w:rsidR="005F033F" w:rsidRDefault="005F033F" w:rsidP="007F67AC">
      <w:pPr>
        <w:spacing w:after="0" w:line="240" w:lineRule="auto"/>
      </w:pPr>
      <w:r>
        <w:separator/>
      </w:r>
    </w:p>
  </w:footnote>
  <w:footnote w:type="continuationSeparator" w:id="0">
    <w:p w14:paraId="2EECBFEB" w14:textId="77777777" w:rsidR="005F033F" w:rsidRDefault="005F033F" w:rsidP="007F67AC">
      <w:pPr>
        <w:spacing w:after="0" w:line="240" w:lineRule="auto"/>
      </w:pPr>
      <w:r>
        <w:continuationSeparator/>
      </w:r>
    </w:p>
  </w:footnote>
  <w:footnote w:id="1">
    <w:p w14:paraId="26BF4313" w14:textId="022698A7" w:rsidR="00A05A45" w:rsidRPr="00A05A45" w:rsidRDefault="00A05A45" w:rsidP="00A05A45">
      <w:pPr>
        <w:pStyle w:val="Tekstprzypisudolnego"/>
        <w:ind w:left="284" w:hanging="284"/>
        <w:rPr>
          <w:sz w:val="18"/>
          <w:szCs w:val="18"/>
        </w:rPr>
      </w:pPr>
      <w:r>
        <w:rPr>
          <w:rStyle w:val="Odwoanieprzypisudolnego"/>
        </w:rPr>
        <w:footnoteRef/>
      </w:r>
      <w:r>
        <w:t xml:space="preserve"> </w:t>
      </w:r>
      <w:r>
        <w:tab/>
      </w:r>
      <w:r w:rsidRPr="00A05A45">
        <w:rPr>
          <w:rFonts w:ascii="Liberation Serif" w:eastAsia="SimSun" w:hAnsi="Liberation Serif" w:cs="Mangal"/>
          <w:kern w:val="3"/>
          <w:sz w:val="18"/>
          <w:szCs w:val="18"/>
          <w:lang w:eastAsia="zh-CN" w:bidi="hi-IN"/>
          <w14:ligatures w14:val="none"/>
        </w:rPr>
        <w:t xml:space="preserve">Zasady te określa </w:t>
      </w:r>
      <w:r w:rsidRPr="00A05A45">
        <w:rPr>
          <w:rFonts w:ascii="Liberation Serif" w:eastAsia="SimSun" w:hAnsi="Liberation Serif" w:cs="Mangal"/>
          <w:b/>
          <w:bCs/>
          <w:kern w:val="3"/>
          <w:sz w:val="18"/>
          <w:szCs w:val="18"/>
          <w:lang w:eastAsia="zh-CN" w:bidi="hi-IN"/>
          <w14:ligatures w14:val="none"/>
        </w:rPr>
        <w:t>art. 29 ustawy</w:t>
      </w:r>
      <w:r w:rsidRPr="00A05A45">
        <w:rPr>
          <w:rFonts w:ascii="Liberation Serif" w:eastAsia="SimSun" w:hAnsi="Liberation Serif" w:cs="Mangal"/>
          <w:kern w:val="3"/>
          <w:sz w:val="18"/>
          <w:szCs w:val="18"/>
          <w:lang w:eastAsia="zh-CN" w:bidi="hi-IN"/>
          <w14:ligatures w14:val="none"/>
        </w:rPr>
        <w:t xml:space="preserve"> z dnia 8 sierpnia 1996 r.</w:t>
      </w:r>
      <w:r w:rsidRPr="00A05A45">
        <w:rPr>
          <w:rFonts w:ascii="Liberation Serif" w:eastAsia="SimSun" w:hAnsi="Liberation Serif" w:cs="Mangal"/>
          <w:b/>
          <w:bCs/>
          <w:kern w:val="3"/>
          <w:sz w:val="18"/>
          <w:szCs w:val="18"/>
          <w:lang w:eastAsia="zh-CN" w:bidi="hi-IN"/>
          <w14:ligatures w14:val="none"/>
        </w:rPr>
        <w:t xml:space="preserve"> o Radzie Ministrów </w:t>
      </w:r>
      <w:r w:rsidRPr="00A05A45">
        <w:rPr>
          <w:rFonts w:ascii="Liberation Serif" w:eastAsia="SimSun" w:hAnsi="Liberation Serif" w:cs="Mangal"/>
          <w:kern w:val="3"/>
          <w:sz w:val="18"/>
          <w:szCs w:val="18"/>
          <w:lang w:eastAsia="zh-CN" w:bidi="hi-IN"/>
          <w14:ligatures w14:val="none"/>
        </w:rPr>
        <w:t>(Dz. U.</w:t>
      </w:r>
      <w:r w:rsidRPr="00A05A45">
        <w:rPr>
          <w:rFonts w:ascii="Liberation Serif" w:eastAsia="SimSun" w:hAnsi="Liberation Serif" w:cs="Mangal"/>
          <w:b/>
          <w:bCs/>
          <w:kern w:val="3"/>
          <w:sz w:val="18"/>
          <w:szCs w:val="18"/>
          <w:lang w:eastAsia="zh-CN" w:bidi="hi-IN"/>
          <w14:ligatures w14:val="none"/>
        </w:rPr>
        <w:t xml:space="preserve"> </w:t>
      </w:r>
      <w:r w:rsidRPr="00A05A45">
        <w:rPr>
          <w:rFonts w:ascii="Liberation Serif" w:eastAsia="SimSun" w:hAnsi="Liberation Serif" w:cs="Mangal"/>
          <w:kern w:val="3"/>
          <w:sz w:val="18"/>
          <w:szCs w:val="18"/>
          <w:lang w:eastAsia="zh-CN" w:bidi="hi-IN"/>
          <w14:ligatures w14:val="none"/>
        </w:rPr>
        <w:t>z 2022 r. poz. 1188)</w:t>
      </w:r>
      <w:r w:rsidRPr="00A05A45">
        <w:rPr>
          <w:rFonts w:ascii="Liberation Serif" w:eastAsia="SimSun" w:hAnsi="Liberation Serif" w:cs="Mangal"/>
          <w:b/>
          <w:bCs/>
          <w:kern w:val="3"/>
          <w:sz w:val="18"/>
          <w:szCs w:val="18"/>
          <w:lang w:eastAsia="zh-CN" w:bidi="hi-IN"/>
          <w14:ligatures w14:val="none"/>
        </w:rPr>
        <w:t xml:space="preserve"> </w:t>
      </w:r>
      <w:r w:rsidRPr="00A05A45">
        <w:rPr>
          <w:rFonts w:ascii="Liberation Serif" w:eastAsia="SimSun" w:hAnsi="Liberation Serif" w:cs="Mangal"/>
          <w:kern w:val="3"/>
          <w:sz w:val="18"/>
          <w:szCs w:val="18"/>
          <w:lang w:eastAsia="zh-CN" w:bidi="hi-IN"/>
          <w14:ligatures w14:val="none"/>
        </w:rPr>
        <w:t xml:space="preserve">oraz </w:t>
      </w:r>
      <w:r w:rsidRPr="00A05A45">
        <w:rPr>
          <w:rFonts w:ascii="Liberation Serif" w:eastAsia="SimSun" w:hAnsi="Liberation Serif" w:cs="Mangal"/>
          <w:b/>
          <w:bCs/>
          <w:kern w:val="3"/>
          <w:sz w:val="18"/>
          <w:szCs w:val="18"/>
          <w:lang w:eastAsia="zh-CN" w:bidi="hi-IN"/>
          <w14:ligatures w14:val="none"/>
        </w:rPr>
        <w:t>obwieszczeni</w:t>
      </w:r>
      <w:r>
        <w:rPr>
          <w:rFonts w:ascii="Liberation Serif" w:eastAsia="SimSun" w:hAnsi="Liberation Serif" w:cs="Mangal"/>
          <w:b/>
          <w:bCs/>
          <w:kern w:val="3"/>
          <w:sz w:val="18"/>
          <w:szCs w:val="18"/>
          <w:lang w:eastAsia="zh-CN" w:bidi="hi-IN"/>
          <w14:ligatures w14:val="none"/>
        </w:rPr>
        <w:t>e</w:t>
      </w:r>
      <w:r w:rsidRPr="00A05A45">
        <w:rPr>
          <w:rFonts w:ascii="Liberation Serif" w:eastAsia="SimSun" w:hAnsi="Liberation Serif" w:cs="Mangal"/>
          <w:kern w:val="3"/>
          <w:sz w:val="18"/>
          <w:szCs w:val="18"/>
          <w:lang w:eastAsia="zh-CN" w:bidi="hi-IN"/>
          <w14:ligatures w14:val="none"/>
        </w:rPr>
        <w:t xml:space="preserve"> Rady Ministrów z dnia 14 ma</w:t>
      </w:r>
      <w:r w:rsidR="00E82AFE">
        <w:rPr>
          <w:rFonts w:ascii="Liberation Serif" w:eastAsia="SimSun" w:hAnsi="Liberation Serif" w:cs="Mangal"/>
          <w:kern w:val="3"/>
          <w:sz w:val="18"/>
          <w:szCs w:val="18"/>
          <w:lang w:eastAsia="zh-CN" w:bidi="hi-IN"/>
          <w14:ligatures w14:val="none"/>
        </w:rPr>
        <w:t>r</w:t>
      </w:r>
      <w:r w:rsidRPr="00A05A45">
        <w:rPr>
          <w:rFonts w:ascii="Liberation Serif" w:eastAsia="SimSun" w:hAnsi="Liberation Serif" w:cs="Mangal"/>
          <w:kern w:val="3"/>
          <w:sz w:val="18"/>
          <w:szCs w:val="18"/>
          <w:lang w:eastAsia="zh-CN" w:bidi="hi-IN"/>
          <w14:ligatures w14:val="none"/>
        </w:rPr>
        <w:t xml:space="preserve">ca 2022 r. w sprawie ogłoszenia jednolitego tekstu uchwały Rady Ministrów - </w:t>
      </w:r>
      <w:r w:rsidRPr="00A05A45">
        <w:rPr>
          <w:rFonts w:ascii="Liberation Serif" w:eastAsia="SimSun" w:hAnsi="Liberation Serif" w:cs="Mangal"/>
          <w:b/>
          <w:bCs/>
          <w:kern w:val="3"/>
          <w:sz w:val="18"/>
          <w:szCs w:val="18"/>
          <w:lang w:eastAsia="zh-CN" w:bidi="hi-IN"/>
          <w14:ligatures w14:val="none"/>
        </w:rPr>
        <w:t>Regulamin pracy Rady Ministrów</w:t>
      </w:r>
      <w:r w:rsidRPr="00A05A45">
        <w:rPr>
          <w:rFonts w:ascii="Liberation Serif" w:eastAsia="SimSun" w:hAnsi="Liberation Serif" w:cs="Mangal"/>
          <w:kern w:val="3"/>
          <w:sz w:val="18"/>
          <w:szCs w:val="18"/>
          <w:lang w:eastAsia="zh-CN" w:bidi="hi-IN"/>
          <w14:ligatures w14:val="none"/>
        </w:rPr>
        <w:t xml:space="preserve"> (M.P. poz. 348)</w:t>
      </w:r>
      <w:r w:rsidRPr="00A05A45">
        <w:rPr>
          <w:sz w:val="18"/>
          <w:szCs w:val="18"/>
        </w:rPr>
        <w:t>.</w:t>
      </w:r>
    </w:p>
  </w:footnote>
  <w:footnote w:id="2">
    <w:p w14:paraId="5CAFD135" w14:textId="1340E47A" w:rsidR="00541DD6" w:rsidRPr="00D355D1" w:rsidRDefault="00541DD6" w:rsidP="00B87D77">
      <w:pPr>
        <w:pStyle w:val="Tekstprzypisudolnego"/>
      </w:pPr>
      <w:r>
        <w:rPr>
          <w:rStyle w:val="Odwoanieprzypisudolnego"/>
        </w:rPr>
        <w:footnoteRef/>
      </w:r>
      <w:r>
        <w:t xml:space="preserve"> Jan Makowski, </w:t>
      </w:r>
      <w:r>
        <w:rPr>
          <w:i/>
          <w:iCs/>
        </w:rPr>
        <w:t xml:space="preserve">Poszukiwacze skarbów, </w:t>
      </w:r>
      <w:r>
        <w:t xml:space="preserve">„Sztandar Młodych”, 1977, nr </w:t>
      </w:r>
      <w:r w:rsidRPr="00E51386">
        <w:t>68</w:t>
      </w:r>
    </w:p>
  </w:footnote>
  <w:footnote w:id="3">
    <w:p w14:paraId="5FF9C701" w14:textId="77777777" w:rsidR="00541DD6" w:rsidRPr="00E64C1A" w:rsidRDefault="00541DD6" w:rsidP="00B87D77">
      <w:pPr>
        <w:pStyle w:val="Tekstprzypisudolnego"/>
        <w:rPr>
          <w:rFonts w:cstheme="minorHAnsi"/>
        </w:rPr>
      </w:pPr>
      <w:r w:rsidRPr="00E64C1A">
        <w:rPr>
          <w:rStyle w:val="Odwoanieprzypisudolnego"/>
          <w:rFonts w:cstheme="minorHAnsi"/>
        </w:rPr>
        <w:footnoteRef/>
      </w:r>
      <w:r w:rsidRPr="00E64C1A">
        <w:rPr>
          <w:rFonts w:cstheme="minorHAnsi"/>
        </w:rPr>
        <w:t xml:space="preserve"> Instytut Studiów ekonomicznych, </w:t>
      </w:r>
      <w:r w:rsidRPr="00E64C1A">
        <w:rPr>
          <w:rFonts w:cstheme="minorHAnsi"/>
          <w:color w:val="212121"/>
          <w:shd w:val="clear" w:color="auto" w:fill="FFFFFF"/>
        </w:rPr>
        <w:t>"</w:t>
      </w:r>
      <w:r w:rsidRPr="00E64C1A">
        <w:rPr>
          <w:rFonts w:cstheme="minorHAnsi"/>
          <w:i/>
          <w:iCs/>
          <w:color w:val="212121"/>
          <w:shd w:val="clear" w:color="auto" w:fill="FFFFFF"/>
        </w:rPr>
        <w:t>W poszukiwaniu zaginionej innowacyjności. Potencjał i sektorowa specyfika innowacyjności w polskim przemyśle</w:t>
      </w:r>
      <w:r w:rsidRPr="00E64C1A">
        <w:rPr>
          <w:rFonts w:cstheme="minorHAnsi"/>
          <w:b/>
          <w:bCs/>
          <w:i/>
          <w:iCs/>
          <w:color w:val="212121"/>
          <w:shd w:val="clear" w:color="auto" w:fill="FFFFFF"/>
        </w:rPr>
        <w:t xml:space="preserve">", </w:t>
      </w:r>
      <w:r w:rsidRPr="00E64C1A">
        <w:rPr>
          <w:rFonts w:cstheme="minorHAnsi"/>
          <w:color w:val="212121"/>
          <w:shd w:val="clear" w:color="auto" w:fill="FFFFFF"/>
        </w:rPr>
        <w:t>Warszawa 2015 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576C90E"/>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A67C7812"/>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00000002"/>
    <w:multiLevelType w:val="singleLevel"/>
    <w:tmpl w:val="00000002"/>
    <w:name w:val="WW8Num2"/>
    <w:lvl w:ilvl="0">
      <w:start w:val="1"/>
      <w:numFmt w:val="decimal"/>
      <w:lvlText w:val="%1."/>
      <w:lvlJc w:val="left"/>
      <w:pPr>
        <w:tabs>
          <w:tab w:val="num" w:pos="0"/>
        </w:tabs>
        <w:ind w:left="731" w:hanging="360"/>
      </w:pPr>
      <w:rPr>
        <w:b/>
      </w:rPr>
    </w:lvl>
  </w:abstractNum>
  <w:abstractNum w:abstractNumId="3" w15:restartNumberingAfterBreak="0">
    <w:nsid w:val="00000004"/>
    <w:multiLevelType w:val="singleLevel"/>
    <w:tmpl w:val="6BF8A2FA"/>
    <w:name w:val="WW8Num5"/>
    <w:lvl w:ilvl="0">
      <w:start w:val="1"/>
      <w:numFmt w:val="decimal"/>
      <w:lvlText w:val="%1."/>
      <w:lvlJc w:val="left"/>
      <w:pPr>
        <w:tabs>
          <w:tab w:val="num" w:pos="0"/>
        </w:tabs>
        <w:ind w:left="411" w:hanging="360"/>
      </w:pPr>
      <w:rPr>
        <w:rFonts w:hint="default"/>
        <w:b/>
        <w:color w:val="000000"/>
        <w:w w:val="103"/>
        <w:sz w:val="24"/>
        <w:szCs w:val="24"/>
      </w:rPr>
    </w:lvl>
  </w:abstractNum>
  <w:abstractNum w:abstractNumId="4" w15:restartNumberingAfterBreak="0">
    <w:nsid w:val="00000005"/>
    <w:multiLevelType w:val="singleLevel"/>
    <w:tmpl w:val="2DCC39B8"/>
    <w:name w:val="WW8Num6"/>
    <w:lvl w:ilvl="0">
      <w:start w:val="1"/>
      <w:numFmt w:val="decimal"/>
      <w:lvlText w:val="%1."/>
      <w:lvlJc w:val="left"/>
      <w:pPr>
        <w:tabs>
          <w:tab w:val="num" w:pos="0"/>
        </w:tabs>
        <w:ind w:left="403" w:hanging="360"/>
      </w:pPr>
      <w:rPr>
        <w:rFonts w:hint="default"/>
        <w:b/>
        <w:color w:val="000000"/>
        <w:w w:val="103"/>
        <w:sz w:val="24"/>
        <w:szCs w:val="24"/>
      </w:rPr>
    </w:lvl>
  </w:abstractNum>
  <w:abstractNum w:abstractNumId="5" w15:restartNumberingAfterBreak="0">
    <w:nsid w:val="00000006"/>
    <w:multiLevelType w:val="singleLevel"/>
    <w:tmpl w:val="9DE037B8"/>
    <w:name w:val="WW8Num8"/>
    <w:lvl w:ilvl="0">
      <w:start w:val="1"/>
      <w:numFmt w:val="decimal"/>
      <w:lvlText w:val="%1."/>
      <w:lvlJc w:val="left"/>
      <w:pPr>
        <w:tabs>
          <w:tab w:val="num" w:pos="0"/>
        </w:tabs>
        <w:ind w:left="644" w:hanging="360"/>
      </w:pPr>
      <w:rPr>
        <w:rFonts w:hint="default"/>
        <w:b/>
        <w:sz w:val="24"/>
        <w:szCs w:val="24"/>
      </w:rPr>
    </w:lvl>
  </w:abstractNum>
  <w:abstractNum w:abstractNumId="6" w15:restartNumberingAfterBreak="0">
    <w:nsid w:val="00000007"/>
    <w:multiLevelType w:val="singleLevel"/>
    <w:tmpl w:val="00000007"/>
    <w:name w:val="WW8Num10"/>
    <w:lvl w:ilvl="0">
      <w:start w:val="1"/>
      <w:numFmt w:val="lowerLetter"/>
      <w:lvlText w:val="%1)"/>
      <w:lvlJc w:val="left"/>
      <w:pPr>
        <w:tabs>
          <w:tab w:val="num" w:pos="720"/>
        </w:tabs>
        <w:ind w:left="830" w:hanging="360"/>
      </w:pPr>
      <w:rPr>
        <w:rFonts w:ascii="Times New Roman" w:eastAsia="Times New Roman" w:hAnsi="Times New Roman" w:cs="Courier New"/>
        <w:b/>
        <w:color w:val="000000"/>
        <w:w w:val="101"/>
        <w:sz w:val="24"/>
      </w:rPr>
    </w:lvl>
  </w:abstractNum>
  <w:abstractNum w:abstractNumId="7" w15:restartNumberingAfterBreak="0">
    <w:nsid w:val="00000008"/>
    <w:multiLevelType w:val="singleLevel"/>
    <w:tmpl w:val="57608400"/>
    <w:name w:val="WW8Num11"/>
    <w:lvl w:ilvl="0">
      <w:start w:val="1"/>
      <w:numFmt w:val="decimal"/>
      <w:lvlText w:val="%1."/>
      <w:lvlJc w:val="left"/>
      <w:pPr>
        <w:tabs>
          <w:tab w:val="num" w:pos="0"/>
        </w:tabs>
        <w:ind w:left="384" w:hanging="360"/>
      </w:pPr>
      <w:rPr>
        <w:rFonts w:hint="default"/>
        <w:b/>
        <w:strike w:val="0"/>
        <w:color w:val="000000"/>
        <w:sz w:val="24"/>
        <w:szCs w:val="24"/>
      </w:rPr>
    </w:lvl>
  </w:abstractNum>
  <w:abstractNum w:abstractNumId="8" w15:restartNumberingAfterBreak="0">
    <w:nsid w:val="0000000D"/>
    <w:multiLevelType w:val="singleLevel"/>
    <w:tmpl w:val="0000000D"/>
    <w:name w:val="WW8Num17"/>
    <w:lvl w:ilvl="0">
      <w:start w:val="1"/>
      <w:numFmt w:val="lowerLetter"/>
      <w:lvlText w:val="%1)"/>
      <w:lvlJc w:val="left"/>
      <w:pPr>
        <w:tabs>
          <w:tab w:val="num" w:pos="0"/>
        </w:tabs>
        <w:ind w:left="1079" w:hanging="360"/>
      </w:pPr>
      <w:rPr>
        <w:rFonts w:hint="default"/>
        <w:b/>
        <w:color w:val="000000"/>
      </w:rPr>
    </w:lvl>
  </w:abstractNum>
  <w:abstractNum w:abstractNumId="9" w15:restartNumberingAfterBreak="0">
    <w:nsid w:val="00000011"/>
    <w:multiLevelType w:val="singleLevel"/>
    <w:tmpl w:val="00000011"/>
    <w:name w:val="WW8Num24"/>
    <w:lvl w:ilvl="0">
      <w:start w:val="1"/>
      <w:numFmt w:val="decimal"/>
      <w:lvlText w:val="%1."/>
      <w:lvlJc w:val="left"/>
      <w:pPr>
        <w:tabs>
          <w:tab w:val="num" w:pos="0"/>
        </w:tabs>
        <w:ind w:left="377" w:hanging="360"/>
      </w:pPr>
      <w:rPr>
        <w:rFonts w:hint="default"/>
        <w:b/>
        <w:color w:val="000000"/>
        <w:w w:val="101"/>
      </w:rPr>
    </w:lvl>
  </w:abstractNum>
  <w:abstractNum w:abstractNumId="10" w15:restartNumberingAfterBreak="0">
    <w:nsid w:val="00000012"/>
    <w:multiLevelType w:val="singleLevel"/>
    <w:tmpl w:val="00000012"/>
    <w:name w:val="WW8Num27"/>
    <w:lvl w:ilvl="0">
      <w:start w:val="1"/>
      <w:numFmt w:val="bullet"/>
      <w:lvlText w:val=""/>
      <w:lvlJc w:val="left"/>
      <w:pPr>
        <w:tabs>
          <w:tab w:val="num" w:pos="720"/>
        </w:tabs>
        <w:ind w:left="1506" w:hanging="360"/>
      </w:pPr>
      <w:rPr>
        <w:rFonts w:ascii="Symbol" w:hAnsi="Symbol" w:cs="Symbol" w:hint="default"/>
      </w:rPr>
    </w:lvl>
  </w:abstractNum>
  <w:abstractNum w:abstractNumId="11" w15:restartNumberingAfterBreak="0">
    <w:nsid w:val="00000013"/>
    <w:multiLevelType w:val="singleLevel"/>
    <w:tmpl w:val="00000013"/>
    <w:name w:val="WW8Num29"/>
    <w:lvl w:ilvl="0">
      <w:start w:val="1"/>
      <w:numFmt w:val="lowerLetter"/>
      <w:lvlText w:val="%1)"/>
      <w:lvlJc w:val="left"/>
      <w:pPr>
        <w:tabs>
          <w:tab w:val="num" w:pos="720"/>
        </w:tabs>
        <w:ind w:left="830" w:hanging="360"/>
      </w:pPr>
      <w:rPr>
        <w:rFonts w:ascii="Times New Roman" w:eastAsia="Times New Roman" w:hAnsi="Times New Roman" w:cs="Courier New"/>
        <w:b/>
        <w:color w:val="000000"/>
        <w:sz w:val="24"/>
      </w:rPr>
    </w:lvl>
  </w:abstractNum>
  <w:abstractNum w:abstractNumId="12" w15:restartNumberingAfterBreak="0">
    <w:nsid w:val="00000015"/>
    <w:multiLevelType w:val="singleLevel"/>
    <w:tmpl w:val="97A2A58E"/>
    <w:name w:val="WW8Num32"/>
    <w:lvl w:ilvl="0">
      <w:start w:val="1"/>
      <w:numFmt w:val="decimal"/>
      <w:lvlText w:val="%1."/>
      <w:lvlJc w:val="left"/>
      <w:pPr>
        <w:tabs>
          <w:tab w:val="num" w:pos="644"/>
        </w:tabs>
        <w:ind w:left="644" w:hanging="360"/>
      </w:pPr>
      <w:rPr>
        <w:rFonts w:ascii="Times New Roman" w:eastAsia="Times New Roman" w:hAnsi="Times New Roman" w:cs="Courier New"/>
        <w:b/>
        <w:strike w:val="0"/>
        <w:color w:val="auto"/>
        <w:sz w:val="24"/>
        <w:szCs w:val="24"/>
      </w:rPr>
    </w:lvl>
  </w:abstractNum>
  <w:abstractNum w:abstractNumId="13" w15:restartNumberingAfterBreak="0">
    <w:nsid w:val="00000019"/>
    <w:multiLevelType w:val="singleLevel"/>
    <w:tmpl w:val="00000019"/>
    <w:name w:val="WW8Num37"/>
    <w:lvl w:ilvl="0">
      <w:start w:val="1"/>
      <w:numFmt w:val="decimal"/>
      <w:lvlText w:val="%1."/>
      <w:lvlJc w:val="left"/>
      <w:pPr>
        <w:tabs>
          <w:tab w:val="num" w:pos="0"/>
        </w:tabs>
        <w:ind w:left="644" w:hanging="360"/>
      </w:pPr>
      <w:rPr>
        <w:rFonts w:cs="Times New Roman" w:hint="default"/>
        <w:b/>
        <w:color w:val="333333"/>
      </w:rPr>
    </w:lvl>
  </w:abstractNum>
  <w:abstractNum w:abstractNumId="14" w15:restartNumberingAfterBreak="0">
    <w:nsid w:val="0000001F"/>
    <w:multiLevelType w:val="singleLevel"/>
    <w:tmpl w:val="C33E9DBC"/>
    <w:name w:val="WW8Num44"/>
    <w:lvl w:ilvl="0">
      <w:start w:val="1"/>
      <w:numFmt w:val="decimal"/>
      <w:lvlText w:val="%1."/>
      <w:lvlJc w:val="left"/>
      <w:pPr>
        <w:tabs>
          <w:tab w:val="num" w:pos="0"/>
        </w:tabs>
        <w:ind w:left="720" w:hanging="360"/>
      </w:pPr>
      <w:rPr>
        <w:rFonts w:hint="default"/>
        <w:b/>
        <w:color w:val="000000"/>
        <w:sz w:val="24"/>
        <w:szCs w:val="24"/>
      </w:rPr>
    </w:lvl>
  </w:abstractNum>
  <w:abstractNum w:abstractNumId="15" w15:restartNumberingAfterBreak="0">
    <w:nsid w:val="00000020"/>
    <w:multiLevelType w:val="singleLevel"/>
    <w:tmpl w:val="36F81B7A"/>
    <w:name w:val="WW8Num45"/>
    <w:lvl w:ilvl="0">
      <w:start w:val="1"/>
      <w:numFmt w:val="decimal"/>
      <w:lvlText w:val="%1."/>
      <w:lvlJc w:val="left"/>
      <w:pPr>
        <w:tabs>
          <w:tab w:val="num" w:pos="0"/>
        </w:tabs>
        <w:ind w:left="413" w:hanging="360"/>
      </w:pPr>
      <w:rPr>
        <w:rFonts w:hint="default"/>
        <w:b/>
        <w:color w:val="000000"/>
        <w:sz w:val="24"/>
        <w:szCs w:val="24"/>
      </w:rPr>
    </w:lvl>
  </w:abstractNum>
  <w:abstractNum w:abstractNumId="16" w15:restartNumberingAfterBreak="0">
    <w:nsid w:val="00000022"/>
    <w:multiLevelType w:val="singleLevel"/>
    <w:tmpl w:val="00000022"/>
    <w:name w:val="WW8Num48"/>
    <w:lvl w:ilvl="0">
      <w:start w:val="1"/>
      <w:numFmt w:val="decimal"/>
      <w:lvlText w:val="%1."/>
      <w:lvlJc w:val="left"/>
      <w:pPr>
        <w:tabs>
          <w:tab w:val="num" w:pos="0"/>
        </w:tabs>
        <w:ind w:left="384" w:hanging="360"/>
      </w:pPr>
      <w:rPr>
        <w:rFonts w:hint="default"/>
        <w:b/>
        <w:color w:val="000000"/>
      </w:rPr>
    </w:lvl>
  </w:abstractNum>
  <w:abstractNum w:abstractNumId="17" w15:restartNumberingAfterBreak="0">
    <w:nsid w:val="00000023"/>
    <w:multiLevelType w:val="singleLevel"/>
    <w:tmpl w:val="0016B93C"/>
    <w:name w:val="WW8Num49"/>
    <w:lvl w:ilvl="0">
      <w:start w:val="1"/>
      <w:numFmt w:val="lowerLetter"/>
      <w:lvlText w:val="%1)"/>
      <w:lvlJc w:val="left"/>
      <w:pPr>
        <w:tabs>
          <w:tab w:val="num" w:pos="720"/>
        </w:tabs>
        <w:ind w:left="720" w:hanging="360"/>
      </w:pPr>
      <w:rPr>
        <w:rFonts w:ascii="Times New Roman" w:eastAsia="Times New Roman" w:hAnsi="Times New Roman" w:cs="Courier New"/>
        <w:b/>
        <w:i w:val="0"/>
        <w:iCs w:val="0"/>
        <w:strike w:val="0"/>
        <w:color w:val="000000"/>
      </w:rPr>
    </w:lvl>
  </w:abstractNum>
  <w:abstractNum w:abstractNumId="18" w15:restartNumberingAfterBreak="0">
    <w:nsid w:val="00000025"/>
    <w:multiLevelType w:val="singleLevel"/>
    <w:tmpl w:val="A4D61C44"/>
    <w:name w:val="WW8Num51"/>
    <w:lvl w:ilvl="0">
      <w:start w:val="1"/>
      <w:numFmt w:val="bullet"/>
      <w:lvlText w:val=""/>
      <w:lvlJc w:val="left"/>
      <w:pPr>
        <w:tabs>
          <w:tab w:val="num" w:pos="0"/>
        </w:tabs>
        <w:ind w:left="1347" w:hanging="360"/>
      </w:pPr>
      <w:rPr>
        <w:rFonts w:ascii="Symbol" w:hAnsi="Symbol" w:cs="Symbol" w:hint="default"/>
        <w:b w:val="0"/>
        <w:bCs w:val="0"/>
      </w:rPr>
    </w:lvl>
  </w:abstractNum>
  <w:abstractNum w:abstractNumId="19" w15:restartNumberingAfterBreak="0">
    <w:nsid w:val="00000027"/>
    <w:multiLevelType w:val="singleLevel"/>
    <w:tmpl w:val="00000027"/>
    <w:name w:val="WW8Num53"/>
    <w:lvl w:ilvl="0">
      <w:start w:val="1"/>
      <w:numFmt w:val="bullet"/>
      <w:lvlText w:val="-"/>
      <w:lvlJc w:val="left"/>
      <w:pPr>
        <w:tabs>
          <w:tab w:val="num" w:pos="0"/>
        </w:tabs>
        <w:ind w:left="786" w:hanging="360"/>
      </w:pPr>
      <w:rPr>
        <w:rFonts w:ascii="Times New Roman" w:hAnsi="Times New Roman" w:cs="Times New Roman" w:hint="default"/>
        <w:color w:val="000000"/>
        <w:w w:val="101"/>
      </w:rPr>
    </w:lvl>
  </w:abstractNum>
  <w:abstractNum w:abstractNumId="20" w15:restartNumberingAfterBreak="0">
    <w:nsid w:val="00BE39FA"/>
    <w:multiLevelType w:val="hybridMultilevel"/>
    <w:tmpl w:val="7DC8BFBE"/>
    <w:lvl w:ilvl="0" w:tplc="A7A4B5A4">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 w15:restartNumberingAfterBreak="0">
    <w:nsid w:val="01F8306F"/>
    <w:multiLevelType w:val="hybridMultilevel"/>
    <w:tmpl w:val="9A4A90FE"/>
    <w:lvl w:ilvl="0" w:tplc="1B96AAF2">
      <w:numFmt w:val="bullet"/>
      <w:lvlText w:val="—"/>
      <w:lvlJc w:val="left"/>
      <w:pPr>
        <w:ind w:left="410" w:hanging="360"/>
      </w:pPr>
      <w:rPr>
        <w:rFonts w:ascii="Calibri" w:eastAsiaTheme="minorHAnsi" w:hAnsi="Calibri" w:cs="Calibri" w:hint="default"/>
      </w:rPr>
    </w:lvl>
    <w:lvl w:ilvl="1" w:tplc="04150003" w:tentative="1">
      <w:start w:val="1"/>
      <w:numFmt w:val="bullet"/>
      <w:lvlText w:val="o"/>
      <w:lvlJc w:val="left"/>
      <w:pPr>
        <w:ind w:left="1130" w:hanging="360"/>
      </w:pPr>
      <w:rPr>
        <w:rFonts w:ascii="Courier New" w:hAnsi="Courier New" w:cs="Courier New" w:hint="default"/>
      </w:rPr>
    </w:lvl>
    <w:lvl w:ilvl="2" w:tplc="04150005" w:tentative="1">
      <w:start w:val="1"/>
      <w:numFmt w:val="bullet"/>
      <w:lvlText w:val=""/>
      <w:lvlJc w:val="left"/>
      <w:pPr>
        <w:ind w:left="1850" w:hanging="360"/>
      </w:pPr>
      <w:rPr>
        <w:rFonts w:ascii="Wingdings" w:hAnsi="Wingdings" w:hint="default"/>
      </w:rPr>
    </w:lvl>
    <w:lvl w:ilvl="3" w:tplc="04150001" w:tentative="1">
      <w:start w:val="1"/>
      <w:numFmt w:val="bullet"/>
      <w:lvlText w:val=""/>
      <w:lvlJc w:val="left"/>
      <w:pPr>
        <w:ind w:left="2570" w:hanging="360"/>
      </w:pPr>
      <w:rPr>
        <w:rFonts w:ascii="Symbol" w:hAnsi="Symbol" w:hint="default"/>
      </w:rPr>
    </w:lvl>
    <w:lvl w:ilvl="4" w:tplc="04150003" w:tentative="1">
      <w:start w:val="1"/>
      <w:numFmt w:val="bullet"/>
      <w:lvlText w:val="o"/>
      <w:lvlJc w:val="left"/>
      <w:pPr>
        <w:ind w:left="3290" w:hanging="360"/>
      </w:pPr>
      <w:rPr>
        <w:rFonts w:ascii="Courier New" w:hAnsi="Courier New" w:cs="Courier New" w:hint="default"/>
      </w:rPr>
    </w:lvl>
    <w:lvl w:ilvl="5" w:tplc="04150005" w:tentative="1">
      <w:start w:val="1"/>
      <w:numFmt w:val="bullet"/>
      <w:lvlText w:val=""/>
      <w:lvlJc w:val="left"/>
      <w:pPr>
        <w:ind w:left="4010" w:hanging="360"/>
      </w:pPr>
      <w:rPr>
        <w:rFonts w:ascii="Wingdings" w:hAnsi="Wingdings" w:hint="default"/>
      </w:rPr>
    </w:lvl>
    <w:lvl w:ilvl="6" w:tplc="04150001" w:tentative="1">
      <w:start w:val="1"/>
      <w:numFmt w:val="bullet"/>
      <w:lvlText w:val=""/>
      <w:lvlJc w:val="left"/>
      <w:pPr>
        <w:ind w:left="4730" w:hanging="360"/>
      </w:pPr>
      <w:rPr>
        <w:rFonts w:ascii="Symbol" w:hAnsi="Symbol" w:hint="default"/>
      </w:rPr>
    </w:lvl>
    <w:lvl w:ilvl="7" w:tplc="04150003" w:tentative="1">
      <w:start w:val="1"/>
      <w:numFmt w:val="bullet"/>
      <w:lvlText w:val="o"/>
      <w:lvlJc w:val="left"/>
      <w:pPr>
        <w:ind w:left="5450" w:hanging="360"/>
      </w:pPr>
      <w:rPr>
        <w:rFonts w:ascii="Courier New" w:hAnsi="Courier New" w:cs="Courier New" w:hint="default"/>
      </w:rPr>
    </w:lvl>
    <w:lvl w:ilvl="8" w:tplc="04150005" w:tentative="1">
      <w:start w:val="1"/>
      <w:numFmt w:val="bullet"/>
      <w:lvlText w:val=""/>
      <w:lvlJc w:val="left"/>
      <w:pPr>
        <w:ind w:left="6170" w:hanging="360"/>
      </w:pPr>
      <w:rPr>
        <w:rFonts w:ascii="Wingdings" w:hAnsi="Wingdings" w:hint="default"/>
      </w:rPr>
    </w:lvl>
  </w:abstractNum>
  <w:abstractNum w:abstractNumId="22" w15:restartNumberingAfterBreak="0">
    <w:nsid w:val="05D729F0"/>
    <w:multiLevelType w:val="hybridMultilevel"/>
    <w:tmpl w:val="AD0AFA46"/>
    <w:lvl w:ilvl="0" w:tplc="0415000F">
      <w:start w:val="1"/>
      <w:numFmt w:val="decimal"/>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82A6CD8"/>
    <w:multiLevelType w:val="multilevel"/>
    <w:tmpl w:val="EBAE0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8F8312B"/>
    <w:multiLevelType w:val="hybridMultilevel"/>
    <w:tmpl w:val="8262850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C0E1587"/>
    <w:multiLevelType w:val="hybridMultilevel"/>
    <w:tmpl w:val="DC10F46A"/>
    <w:lvl w:ilvl="0" w:tplc="09BE413A">
      <w:start w:val="1"/>
      <w:numFmt w:val="decimal"/>
      <w:lvlText w:val="%1."/>
      <w:lvlJc w:val="left"/>
      <w:pPr>
        <w:ind w:left="720" w:hanging="360"/>
      </w:pPr>
      <w:rPr>
        <w:rFonts w:hint="default"/>
        <w:i w:val="0"/>
        <w:iCs w:val="0"/>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6" w15:restartNumberingAfterBreak="0">
    <w:nsid w:val="0C2931E3"/>
    <w:multiLevelType w:val="hybridMultilevel"/>
    <w:tmpl w:val="251AA382"/>
    <w:lvl w:ilvl="0" w:tplc="46048E7C">
      <w:start w:val="1"/>
      <w:numFmt w:val="decimal"/>
      <w:lvlText w:val="%1."/>
      <w:lvlJc w:val="left"/>
      <w:pPr>
        <w:ind w:left="1430" w:hanging="360"/>
      </w:pPr>
      <w:rPr>
        <w:rFonts w:hint="default"/>
        <w:b/>
        <w:bCs w:val="0"/>
      </w:rPr>
    </w:lvl>
    <w:lvl w:ilvl="1" w:tplc="FFFFFFFF" w:tentative="1">
      <w:start w:val="1"/>
      <w:numFmt w:val="lowerLetter"/>
      <w:lvlText w:val="%2."/>
      <w:lvlJc w:val="left"/>
      <w:pPr>
        <w:ind w:left="2150" w:hanging="360"/>
      </w:pPr>
    </w:lvl>
    <w:lvl w:ilvl="2" w:tplc="FFFFFFFF" w:tentative="1">
      <w:start w:val="1"/>
      <w:numFmt w:val="lowerRoman"/>
      <w:lvlText w:val="%3."/>
      <w:lvlJc w:val="right"/>
      <w:pPr>
        <w:ind w:left="2870" w:hanging="180"/>
      </w:pPr>
    </w:lvl>
    <w:lvl w:ilvl="3" w:tplc="FFFFFFFF" w:tentative="1">
      <w:start w:val="1"/>
      <w:numFmt w:val="decimal"/>
      <w:lvlText w:val="%4."/>
      <w:lvlJc w:val="left"/>
      <w:pPr>
        <w:ind w:left="3590" w:hanging="360"/>
      </w:pPr>
    </w:lvl>
    <w:lvl w:ilvl="4" w:tplc="FFFFFFFF" w:tentative="1">
      <w:start w:val="1"/>
      <w:numFmt w:val="lowerLetter"/>
      <w:lvlText w:val="%5."/>
      <w:lvlJc w:val="left"/>
      <w:pPr>
        <w:ind w:left="4310" w:hanging="360"/>
      </w:pPr>
    </w:lvl>
    <w:lvl w:ilvl="5" w:tplc="FFFFFFFF" w:tentative="1">
      <w:start w:val="1"/>
      <w:numFmt w:val="lowerRoman"/>
      <w:lvlText w:val="%6."/>
      <w:lvlJc w:val="right"/>
      <w:pPr>
        <w:ind w:left="5030" w:hanging="180"/>
      </w:pPr>
    </w:lvl>
    <w:lvl w:ilvl="6" w:tplc="FFFFFFFF" w:tentative="1">
      <w:start w:val="1"/>
      <w:numFmt w:val="decimal"/>
      <w:lvlText w:val="%7."/>
      <w:lvlJc w:val="left"/>
      <w:pPr>
        <w:ind w:left="5750" w:hanging="360"/>
      </w:pPr>
    </w:lvl>
    <w:lvl w:ilvl="7" w:tplc="FFFFFFFF" w:tentative="1">
      <w:start w:val="1"/>
      <w:numFmt w:val="lowerLetter"/>
      <w:lvlText w:val="%8."/>
      <w:lvlJc w:val="left"/>
      <w:pPr>
        <w:ind w:left="6470" w:hanging="360"/>
      </w:pPr>
    </w:lvl>
    <w:lvl w:ilvl="8" w:tplc="FFFFFFFF" w:tentative="1">
      <w:start w:val="1"/>
      <w:numFmt w:val="lowerRoman"/>
      <w:lvlText w:val="%9."/>
      <w:lvlJc w:val="right"/>
      <w:pPr>
        <w:ind w:left="7190" w:hanging="180"/>
      </w:pPr>
    </w:lvl>
  </w:abstractNum>
  <w:abstractNum w:abstractNumId="27" w15:restartNumberingAfterBreak="0">
    <w:nsid w:val="0C7775D1"/>
    <w:multiLevelType w:val="hybridMultilevel"/>
    <w:tmpl w:val="7F5C78EC"/>
    <w:lvl w:ilvl="0" w:tplc="0EA8854A">
      <w:start w:val="1"/>
      <w:numFmt w:val="bullet"/>
      <w:lvlText w:val=""/>
      <w:lvlJc w:val="left"/>
      <w:pPr>
        <w:ind w:left="1290" w:hanging="360"/>
      </w:pPr>
      <w:rPr>
        <w:rFonts w:ascii="Symbol" w:hAnsi="Symbol" w:hint="default"/>
      </w:rPr>
    </w:lvl>
    <w:lvl w:ilvl="1" w:tplc="04150003" w:tentative="1">
      <w:start w:val="1"/>
      <w:numFmt w:val="bullet"/>
      <w:lvlText w:val="o"/>
      <w:lvlJc w:val="left"/>
      <w:pPr>
        <w:ind w:left="2010" w:hanging="360"/>
      </w:pPr>
      <w:rPr>
        <w:rFonts w:ascii="Courier New" w:hAnsi="Courier New" w:cs="Courier New" w:hint="default"/>
      </w:rPr>
    </w:lvl>
    <w:lvl w:ilvl="2" w:tplc="04150005" w:tentative="1">
      <w:start w:val="1"/>
      <w:numFmt w:val="bullet"/>
      <w:lvlText w:val=""/>
      <w:lvlJc w:val="left"/>
      <w:pPr>
        <w:ind w:left="2730" w:hanging="360"/>
      </w:pPr>
      <w:rPr>
        <w:rFonts w:ascii="Wingdings" w:hAnsi="Wingdings" w:hint="default"/>
      </w:rPr>
    </w:lvl>
    <w:lvl w:ilvl="3" w:tplc="04150001" w:tentative="1">
      <w:start w:val="1"/>
      <w:numFmt w:val="bullet"/>
      <w:lvlText w:val=""/>
      <w:lvlJc w:val="left"/>
      <w:pPr>
        <w:ind w:left="3450" w:hanging="360"/>
      </w:pPr>
      <w:rPr>
        <w:rFonts w:ascii="Symbol" w:hAnsi="Symbol" w:hint="default"/>
      </w:rPr>
    </w:lvl>
    <w:lvl w:ilvl="4" w:tplc="04150003" w:tentative="1">
      <w:start w:val="1"/>
      <w:numFmt w:val="bullet"/>
      <w:lvlText w:val="o"/>
      <w:lvlJc w:val="left"/>
      <w:pPr>
        <w:ind w:left="4170" w:hanging="360"/>
      </w:pPr>
      <w:rPr>
        <w:rFonts w:ascii="Courier New" w:hAnsi="Courier New" w:cs="Courier New" w:hint="default"/>
      </w:rPr>
    </w:lvl>
    <w:lvl w:ilvl="5" w:tplc="04150005" w:tentative="1">
      <w:start w:val="1"/>
      <w:numFmt w:val="bullet"/>
      <w:lvlText w:val=""/>
      <w:lvlJc w:val="left"/>
      <w:pPr>
        <w:ind w:left="4890" w:hanging="360"/>
      </w:pPr>
      <w:rPr>
        <w:rFonts w:ascii="Wingdings" w:hAnsi="Wingdings" w:hint="default"/>
      </w:rPr>
    </w:lvl>
    <w:lvl w:ilvl="6" w:tplc="04150001" w:tentative="1">
      <w:start w:val="1"/>
      <w:numFmt w:val="bullet"/>
      <w:lvlText w:val=""/>
      <w:lvlJc w:val="left"/>
      <w:pPr>
        <w:ind w:left="5610" w:hanging="360"/>
      </w:pPr>
      <w:rPr>
        <w:rFonts w:ascii="Symbol" w:hAnsi="Symbol" w:hint="default"/>
      </w:rPr>
    </w:lvl>
    <w:lvl w:ilvl="7" w:tplc="04150003" w:tentative="1">
      <w:start w:val="1"/>
      <w:numFmt w:val="bullet"/>
      <w:lvlText w:val="o"/>
      <w:lvlJc w:val="left"/>
      <w:pPr>
        <w:ind w:left="6330" w:hanging="360"/>
      </w:pPr>
      <w:rPr>
        <w:rFonts w:ascii="Courier New" w:hAnsi="Courier New" w:cs="Courier New" w:hint="default"/>
      </w:rPr>
    </w:lvl>
    <w:lvl w:ilvl="8" w:tplc="04150005" w:tentative="1">
      <w:start w:val="1"/>
      <w:numFmt w:val="bullet"/>
      <w:lvlText w:val=""/>
      <w:lvlJc w:val="left"/>
      <w:pPr>
        <w:ind w:left="7050" w:hanging="360"/>
      </w:pPr>
      <w:rPr>
        <w:rFonts w:ascii="Wingdings" w:hAnsi="Wingdings" w:hint="default"/>
      </w:rPr>
    </w:lvl>
  </w:abstractNum>
  <w:abstractNum w:abstractNumId="28" w15:restartNumberingAfterBreak="0">
    <w:nsid w:val="0EFE5940"/>
    <w:multiLevelType w:val="multilevel"/>
    <w:tmpl w:val="DD28ECB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24E7BE0"/>
    <w:multiLevelType w:val="hybridMultilevel"/>
    <w:tmpl w:val="0C2C4D80"/>
    <w:lvl w:ilvl="0" w:tplc="A7A4B5A4">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 w15:restartNumberingAfterBreak="0">
    <w:nsid w:val="12B30480"/>
    <w:multiLevelType w:val="hybridMultilevel"/>
    <w:tmpl w:val="C64AA4F2"/>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3357DC3"/>
    <w:multiLevelType w:val="multilevel"/>
    <w:tmpl w:val="0106A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3572A84"/>
    <w:multiLevelType w:val="hybridMultilevel"/>
    <w:tmpl w:val="A8682A48"/>
    <w:lvl w:ilvl="0" w:tplc="A7A4B5A4">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3" w15:restartNumberingAfterBreak="0">
    <w:nsid w:val="13927109"/>
    <w:multiLevelType w:val="hybridMultilevel"/>
    <w:tmpl w:val="8BACE34C"/>
    <w:lvl w:ilvl="0" w:tplc="09DA5766">
      <w:start w:val="5"/>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8B455F1"/>
    <w:multiLevelType w:val="hybridMultilevel"/>
    <w:tmpl w:val="4C48F8EC"/>
    <w:lvl w:ilvl="0" w:tplc="0415000B">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5" w15:restartNumberingAfterBreak="0">
    <w:nsid w:val="19BD2820"/>
    <w:multiLevelType w:val="hybridMultilevel"/>
    <w:tmpl w:val="0916D43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CA94421"/>
    <w:multiLevelType w:val="hybridMultilevel"/>
    <w:tmpl w:val="5C42A67E"/>
    <w:lvl w:ilvl="0" w:tplc="D01650EC">
      <w:start w:val="1"/>
      <w:numFmt w:val="upperRoman"/>
      <w:lvlText w:val="%1."/>
      <w:lvlJc w:val="left"/>
      <w:pPr>
        <w:ind w:left="3981" w:hanging="72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1D307542"/>
    <w:multiLevelType w:val="hybridMultilevel"/>
    <w:tmpl w:val="8E34C87C"/>
    <w:lvl w:ilvl="0" w:tplc="A7A4B5A4">
      <w:start w:val="1"/>
      <w:numFmt w:val="bullet"/>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D7077CB"/>
    <w:multiLevelType w:val="hybridMultilevel"/>
    <w:tmpl w:val="02F60DCE"/>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796321"/>
    <w:multiLevelType w:val="multilevel"/>
    <w:tmpl w:val="57C0D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DAA3CA0"/>
    <w:multiLevelType w:val="hybridMultilevel"/>
    <w:tmpl w:val="E61E92C2"/>
    <w:lvl w:ilvl="0" w:tplc="970E948C">
      <w:start w:val="1"/>
      <w:numFmt w:val="decimal"/>
      <w:lvlText w:val="%1."/>
      <w:lvlJc w:val="left"/>
      <w:pPr>
        <w:ind w:left="1430" w:hanging="360"/>
      </w:pPr>
      <w:rPr>
        <w:rFonts w:hint="default"/>
        <w:b/>
        <w:bCs w:val="0"/>
      </w:rPr>
    </w:lvl>
    <w:lvl w:ilvl="1" w:tplc="FFFFFFFF" w:tentative="1">
      <w:start w:val="1"/>
      <w:numFmt w:val="lowerLetter"/>
      <w:lvlText w:val="%2."/>
      <w:lvlJc w:val="left"/>
      <w:pPr>
        <w:ind w:left="2150" w:hanging="360"/>
      </w:pPr>
    </w:lvl>
    <w:lvl w:ilvl="2" w:tplc="FFFFFFFF" w:tentative="1">
      <w:start w:val="1"/>
      <w:numFmt w:val="lowerRoman"/>
      <w:lvlText w:val="%3."/>
      <w:lvlJc w:val="right"/>
      <w:pPr>
        <w:ind w:left="2870" w:hanging="180"/>
      </w:pPr>
    </w:lvl>
    <w:lvl w:ilvl="3" w:tplc="FFFFFFFF" w:tentative="1">
      <w:start w:val="1"/>
      <w:numFmt w:val="decimal"/>
      <w:lvlText w:val="%4."/>
      <w:lvlJc w:val="left"/>
      <w:pPr>
        <w:ind w:left="3590" w:hanging="360"/>
      </w:pPr>
    </w:lvl>
    <w:lvl w:ilvl="4" w:tplc="FFFFFFFF" w:tentative="1">
      <w:start w:val="1"/>
      <w:numFmt w:val="lowerLetter"/>
      <w:lvlText w:val="%5."/>
      <w:lvlJc w:val="left"/>
      <w:pPr>
        <w:ind w:left="4310" w:hanging="360"/>
      </w:pPr>
    </w:lvl>
    <w:lvl w:ilvl="5" w:tplc="FFFFFFFF" w:tentative="1">
      <w:start w:val="1"/>
      <w:numFmt w:val="lowerRoman"/>
      <w:lvlText w:val="%6."/>
      <w:lvlJc w:val="right"/>
      <w:pPr>
        <w:ind w:left="5030" w:hanging="180"/>
      </w:pPr>
    </w:lvl>
    <w:lvl w:ilvl="6" w:tplc="FFFFFFFF" w:tentative="1">
      <w:start w:val="1"/>
      <w:numFmt w:val="decimal"/>
      <w:lvlText w:val="%7."/>
      <w:lvlJc w:val="left"/>
      <w:pPr>
        <w:ind w:left="5750" w:hanging="360"/>
      </w:pPr>
    </w:lvl>
    <w:lvl w:ilvl="7" w:tplc="FFFFFFFF" w:tentative="1">
      <w:start w:val="1"/>
      <w:numFmt w:val="lowerLetter"/>
      <w:lvlText w:val="%8."/>
      <w:lvlJc w:val="left"/>
      <w:pPr>
        <w:ind w:left="6470" w:hanging="360"/>
      </w:pPr>
    </w:lvl>
    <w:lvl w:ilvl="8" w:tplc="FFFFFFFF" w:tentative="1">
      <w:start w:val="1"/>
      <w:numFmt w:val="lowerRoman"/>
      <w:lvlText w:val="%9."/>
      <w:lvlJc w:val="right"/>
      <w:pPr>
        <w:ind w:left="7190" w:hanging="180"/>
      </w:pPr>
    </w:lvl>
  </w:abstractNum>
  <w:abstractNum w:abstractNumId="41" w15:restartNumberingAfterBreak="0">
    <w:nsid w:val="1F111171"/>
    <w:multiLevelType w:val="multilevel"/>
    <w:tmpl w:val="9252F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0AA4069"/>
    <w:multiLevelType w:val="hybridMultilevel"/>
    <w:tmpl w:val="94B0AED8"/>
    <w:lvl w:ilvl="0" w:tplc="D64A6E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10863D6"/>
    <w:multiLevelType w:val="hybridMultilevel"/>
    <w:tmpl w:val="B06240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22990259"/>
    <w:multiLevelType w:val="multilevel"/>
    <w:tmpl w:val="72FA4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3EB1865"/>
    <w:multiLevelType w:val="multilevel"/>
    <w:tmpl w:val="F29AC2DE"/>
    <w:lvl w:ilvl="0">
      <w:start w:val="1"/>
      <w:numFmt w:val="decimal"/>
      <w:lvlText w:val="%1."/>
      <w:lvlJc w:val="left"/>
      <w:pPr>
        <w:tabs>
          <w:tab w:val="num" w:pos="720"/>
        </w:tabs>
        <w:ind w:left="720" w:hanging="360"/>
      </w:pPr>
    </w:lvl>
    <w:lvl w:ilvl="1">
      <w:start w:val="3"/>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27B32864"/>
    <w:multiLevelType w:val="hybridMultilevel"/>
    <w:tmpl w:val="79260500"/>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1111AAB"/>
    <w:multiLevelType w:val="hybridMultilevel"/>
    <w:tmpl w:val="75F4758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4DB7F6B"/>
    <w:multiLevelType w:val="hybridMultilevel"/>
    <w:tmpl w:val="157E027C"/>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7433BBF"/>
    <w:multiLevelType w:val="multilevel"/>
    <w:tmpl w:val="8B9A2474"/>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o"/>
      <w:lvlJc w:val="left"/>
      <w:pPr>
        <w:tabs>
          <w:tab w:val="num" w:pos="1506"/>
        </w:tabs>
        <w:ind w:left="1506" w:hanging="360"/>
      </w:pPr>
      <w:rPr>
        <w:rFonts w:ascii="Courier New" w:hAnsi="Courier New" w:hint="default"/>
        <w:sz w:val="20"/>
      </w:rPr>
    </w:lvl>
    <w:lvl w:ilvl="2" w:tentative="1">
      <w:start w:val="1"/>
      <w:numFmt w:val="bullet"/>
      <w:lvlText w:val=""/>
      <w:lvlJc w:val="left"/>
      <w:pPr>
        <w:tabs>
          <w:tab w:val="num" w:pos="2226"/>
        </w:tabs>
        <w:ind w:left="2226" w:hanging="360"/>
      </w:pPr>
      <w:rPr>
        <w:rFonts w:ascii="Wingdings" w:hAnsi="Wingdings" w:hint="default"/>
        <w:sz w:val="20"/>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50" w15:restartNumberingAfterBreak="0">
    <w:nsid w:val="37F14B04"/>
    <w:multiLevelType w:val="hybridMultilevel"/>
    <w:tmpl w:val="409C0EE0"/>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8804189"/>
    <w:multiLevelType w:val="hybridMultilevel"/>
    <w:tmpl w:val="BFF21718"/>
    <w:lvl w:ilvl="0" w:tplc="4A56551E">
      <w:start w:val="1"/>
      <w:numFmt w:val="lowerLetter"/>
      <w:lvlText w:val="%1)"/>
      <w:lvlJc w:val="left"/>
      <w:pPr>
        <w:ind w:left="955" w:hanging="360"/>
      </w:pPr>
      <w:rPr>
        <w:rFonts w:hint="default"/>
      </w:rPr>
    </w:lvl>
    <w:lvl w:ilvl="1" w:tplc="04150019" w:tentative="1">
      <w:start w:val="1"/>
      <w:numFmt w:val="lowerLetter"/>
      <w:lvlText w:val="%2."/>
      <w:lvlJc w:val="left"/>
      <w:pPr>
        <w:ind w:left="1675" w:hanging="360"/>
      </w:pPr>
    </w:lvl>
    <w:lvl w:ilvl="2" w:tplc="0415001B" w:tentative="1">
      <w:start w:val="1"/>
      <w:numFmt w:val="lowerRoman"/>
      <w:lvlText w:val="%3."/>
      <w:lvlJc w:val="right"/>
      <w:pPr>
        <w:ind w:left="2395" w:hanging="180"/>
      </w:pPr>
    </w:lvl>
    <w:lvl w:ilvl="3" w:tplc="0415000F" w:tentative="1">
      <w:start w:val="1"/>
      <w:numFmt w:val="decimal"/>
      <w:lvlText w:val="%4."/>
      <w:lvlJc w:val="left"/>
      <w:pPr>
        <w:ind w:left="3115" w:hanging="360"/>
      </w:pPr>
    </w:lvl>
    <w:lvl w:ilvl="4" w:tplc="04150019" w:tentative="1">
      <w:start w:val="1"/>
      <w:numFmt w:val="lowerLetter"/>
      <w:lvlText w:val="%5."/>
      <w:lvlJc w:val="left"/>
      <w:pPr>
        <w:ind w:left="3835" w:hanging="360"/>
      </w:pPr>
    </w:lvl>
    <w:lvl w:ilvl="5" w:tplc="0415001B" w:tentative="1">
      <w:start w:val="1"/>
      <w:numFmt w:val="lowerRoman"/>
      <w:lvlText w:val="%6."/>
      <w:lvlJc w:val="right"/>
      <w:pPr>
        <w:ind w:left="4555" w:hanging="180"/>
      </w:pPr>
    </w:lvl>
    <w:lvl w:ilvl="6" w:tplc="0415000F" w:tentative="1">
      <w:start w:val="1"/>
      <w:numFmt w:val="decimal"/>
      <w:lvlText w:val="%7."/>
      <w:lvlJc w:val="left"/>
      <w:pPr>
        <w:ind w:left="5275" w:hanging="360"/>
      </w:pPr>
    </w:lvl>
    <w:lvl w:ilvl="7" w:tplc="04150019" w:tentative="1">
      <w:start w:val="1"/>
      <w:numFmt w:val="lowerLetter"/>
      <w:lvlText w:val="%8."/>
      <w:lvlJc w:val="left"/>
      <w:pPr>
        <w:ind w:left="5995" w:hanging="360"/>
      </w:pPr>
    </w:lvl>
    <w:lvl w:ilvl="8" w:tplc="0415001B" w:tentative="1">
      <w:start w:val="1"/>
      <w:numFmt w:val="lowerRoman"/>
      <w:lvlText w:val="%9."/>
      <w:lvlJc w:val="right"/>
      <w:pPr>
        <w:ind w:left="6715" w:hanging="180"/>
      </w:pPr>
    </w:lvl>
  </w:abstractNum>
  <w:abstractNum w:abstractNumId="52" w15:restartNumberingAfterBreak="0">
    <w:nsid w:val="39F069E4"/>
    <w:multiLevelType w:val="hybridMultilevel"/>
    <w:tmpl w:val="3BA4604C"/>
    <w:lvl w:ilvl="0" w:tplc="A7A4B5A4">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3" w15:restartNumberingAfterBreak="0">
    <w:nsid w:val="3A674818"/>
    <w:multiLevelType w:val="hybridMultilevel"/>
    <w:tmpl w:val="EA5A44EC"/>
    <w:lvl w:ilvl="0" w:tplc="04150003">
      <w:start w:val="1"/>
      <w:numFmt w:val="bullet"/>
      <w:lvlText w:val="o"/>
      <w:lvlJc w:val="left"/>
      <w:pPr>
        <w:ind w:left="1428" w:hanging="360"/>
      </w:pPr>
      <w:rPr>
        <w:rFonts w:ascii="Courier New" w:hAnsi="Courier New" w:cs="Courier New"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3B8D3F39"/>
    <w:multiLevelType w:val="hybridMultilevel"/>
    <w:tmpl w:val="64185CBA"/>
    <w:lvl w:ilvl="0" w:tplc="E1646CA6">
      <w:start w:val="1"/>
      <w:numFmt w:val="decimal"/>
      <w:pStyle w:val="Spistreci2"/>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3CA13B3D"/>
    <w:multiLevelType w:val="hybridMultilevel"/>
    <w:tmpl w:val="ABCA0C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3DB46022"/>
    <w:multiLevelType w:val="hybridMultilevel"/>
    <w:tmpl w:val="A238CC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0681817"/>
    <w:multiLevelType w:val="hybridMultilevel"/>
    <w:tmpl w:val="37DC47E0"/>
    <w:lvl w:ilvl="0" w:tplc="E8F23D6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6"/>
        <w:szCs w:val="26"/>
        <w:u w:val="none" w:color="000000"/>
        <w:bdr w:val="none" w:sz="0" w:space="0" w:color="auto"/>
        <w:shd w:val="clear" w:color="auto" w:fill="auto"/>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1BA2D0A"/>
    <w:multiLevelType w:val="hybridMultilevel"/>
    <w:tmpl w:val="0BF874D6"/>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1C56E87"/>
    <w:multiLevelType w:val="hybridMultilevel"/>
    <w:tmpl w:val="E2BAA2A4"/>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257540E"/>
    <w:multiLevelType w:val="multilevel"/>
    <w:tmpl w:val="C60C5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39621FB"/>
    <w:multiLevelType w:val="hybridMultilevel"/>
    <w:tmpl w:val="7F92756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7D325B4"/>
    <w:multiLevelType w:val="hybridMultilevel"/>
    <w:tmpl w:val="84F8AD7A"/>
    <w:lvl w:ilvl="0" w:tplc="0415000F">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63" w15:restartNumberingAfterBreak="0">
    <w:nsid w:val="498D71DF"/>
    <w:multiLevelType w:val="hybridMultilevel"/>
    <w:tmpl w:val="7B3AC37C"/>
    <w:lvl w:ilvl="0" w:tplc="A7A4B5A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4DC71725"/>
    <w:multiLevelType w:val="hybridMultilevel"/>
    <w:tmpl w:val="5C70A04C"/>
    <w:lvl w:ilvl="0" w:tplc="D64A6E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F0D6624"/>
    <w:multiLevelType w:val="multilevel"/>
    <w:tmpl w:val="A74EC6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FA66030"/>
    <w:multiLevelType w:val="hybridMultilevel"/>
    <w:tmpl w:val="D2A46858"/>
    <w:lvl w:ilvl="0" w:tplc="A7A4B5A4">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0ED5CE6"/>
    <w:multiLevelType w:val="hybridMultilevel"/>
    <w:tmpl w:val="3B269C0C"/>
    <w:lvl w:ilvl="0" w:tplc="0415000F">
      <w:start w:val="1"/>
      <w:numFmt w:val="decimal"/>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4E0517B"/>
    <w:multiLevelType w:val="hybridMultilevel"/>
    <w:tmpl w:val="5AB0890C"/>
    <w:lvl w:ilvl="0" w:tplc="1A42C518">
      <w:start w:val="1"/>
      <w:numFmt w:val="lowerLetter"/>
      <w:lvlText w:val="%1)"/>
      <w:lvlJc w:val="left"/>
      <w:pPr>
        <w:ind w:left="720" w:hanging="360"/>
      </w:pPr>
      <w:rPr>
        <w:rFonts w:hint="default"/>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563A35C7"/>
    <w:multiLevelType w:val="hybridMultilevel"/>
    <w:tmpl w:val="2A1A72E6"/>
    <w:lvl w:ilvl="0" w:tplc="61F09438">
      <w:start w:val="1"/>
      <w:numFmt w:val="decimal"/>
      <w:pStyle w:val="nrbrzegowy2"/>
      <w:lvlText w:val="[%1]"/>
      <w:lvlJc w:val="left"/>
      <w:pPr>
        <w:ind w:left="502" w:hanging="360"/>
      </w:pPr>
      <w:rPr>
        <w:b w:val="0"/>
        <w:bCs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5CE513AC"/>
    <w:multiLevelType w:val="hybridMultilevel"/>
    <w:tmpl w:val="E8A482D8"/>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CF02795"/>
    <w:multiLevelType w:val="hybridMultilevel"/>
    <w:tmpl w:val="01DEF08E"/>
    <w:lvl w:ilvl="0" w:tplc="D64A6E3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2" w15:restartNumberingAfterBreak="0">
    <w:nsid w:val="5D221FEE"/>
    <w:multiLevelType w:val="hybridMultilevel"/>
    <w:tmpl w:val="3392BD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D572CDE"/>
    <w:multiLevelType w:val="hybridMultilevel"/>
    <w:tmpl w:val="E350F646"/>
    <w:lvl w:ilvl="0" w:tplc="0415000F">
      <w:start w:val="1"/>
      <w:numFmt w:val="decimal"/>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F5513BE"/>
    <w:multiLevelType w:val="hybridMultilevel"/>
    <w:tmpl w:val="42645476"/>
    <w:lvl w:ilvl="0" w:tplc="1F72CE28">
      <w:start w:val="1"/>
      <w:numFmt w:val="decimal"/>
      <w:lvlText w:val="[%1]"/>
      <w:lvlJc w:val="left"/>
      <w:pPr>
        <w:ind w:left="1287" w:hanging="360"/>
      </w:pPr>
      <w:rPr>
        <w:rFonts w:hint="default"/>
        <w:b w:val="0"/>
        <w:bCs w:val="0"/>
        <w:i w:val="0"/>
        <w:iCs w:val="0"/>
        <w:color w:val="auto"/>
        <w:sz w:val="24"/>
        <w:szCs w:val="24"/>
      </w:rPr>
    </w:lvl>
    <w:lvl w:ilvl="1" w:tplc="04150019">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75" w15:restartNumberingAfterBreak="0">
    <w:nsid w:val="63977569"/>
    <w:multiLevelType w:val="multilevel"/>
    <w:tmpl w:val="1CA65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88D4620"/>
    <w:multiLevelType w:val="hybridMultilevel"/>
    <w:tmpl w:val="101C6FAC"/>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A9C35AA"/>
    <w:multiLevelType w:val="hybridMultilevel"/>
    <w:tmpl w:val="DB443DB0"/>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D1216C4"/>
    <w:multiLevelType w:val="hybridMultilevel"/>
    <w:tmpl w:val="21788020"/>
    <w:lvl w:ilvl="0" w:tplc="0EA8854A">
      <w:start w:val="1"/>
      <w:numFmt w:val="bullet"/>
      <w:lvlText w:val=""/>
      <w:lvlJc w:val="left"/>
      <w:pPr>
        <w:ind w:left="502"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9" w15:restartNumberingAfterBreak="0">
    <w:nsid w:val="706069E2"/>
    <w:multiLevelType w:val="hybridMultilevel"/>
    <w:tmpl w:val="4C942146"/>
    <w:lvl w:ilvl="0" w:tplc="FFFFFFFF">
      <w:start w:val="1"/>
      <w:numFmt w:val="bullet"/>
      <w:lvlText w:val=""/>
      <w:lvlJc w:val="left"/>
      <w:pPr>
        <w:ind w:left="1287" w:hanging="360"/>
      </w:pPr>
      <w:rPr>
        <w:rFonts w:ascii="Symbol" w:hAnsi="Symbol" w:hint="default"/>
      </w:rPr>
    </w:lvl>
    <w:lvl w:ilvl="1" w:tplc="A7A4B5A4">
      <w:start w:val="1"/>
      <w:numFmt w:val="bullet"/>
      <w:lvlText w:val=""/>
      <w:lvlJc w:val="left"/>
      <w:pPr>
        <w:ind w:left="2007" w:hanging="360"/>
      </w:pPr>
      <w:rPr>
        <w:rFonts w:ascii="Symbol" w:hAnsi="Symbol"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0" w15:restartNumberingAfterBreak="0">
    <w:nsid w:val="70C51346"/>
    <w:multiLevelType w:val="hybridMultilevel"/>
    <w:tmpl w:val="3F3C52FA"/>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7247713"/>
    <w:multiLevelType w:val="hybridMultilevel"/>
    <w:tmpl w:val="BBECBC46"/>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72E60E5"/>
    <w:multiLevelType w:val="multilevel"/>
    <w:tmpl w:val="B2D65E1C"/>
    <w:lvl w:ilvl="0">
      <w:start w:val="1"/>
      <w:numFmt w:val="bullet"/>
      <w:lvlText w:val=""/>
      <w:lvlJc w:val="left"/>
      <w:pPr>
        <w:ind w:left="862" w:hanging="360"/>
      </w:pPr>
      <w:rPr>
        <w:rFonts w:ascii="Symbol" w:hAnsi="Symbol" w:hint="default"/>
      </w:rPr>
    </w:lvl>
    <w:lvl w:ilvl="1">
      <w:numFmt w:val="bullet"/>
      <w:lvlText w:val="o"/>
      <w:lvlJc w:val="left"/>
      <w:pPr>
        <w:ind w:left="1582" w:hanging="360"/>
      </w:pPr>
      <w:rPr>
        <w:rFonts w:ascii="Courier New" w:hAnsi="Courier New" w:cs="Courier New"/>
      </w:rPr>
    </w:lvl>
    <w:lvl w:ilvl="2">
      <w:numFmt w:val="bullet"/>
      <w:lvlText w:val=""/>
      <w:lvlJc w:val="left"/>
      <w:pPr>
        <w:ind w:left="2302" w:hanging="360"/>
      </w:pPr>
      <w:rPr>
        <w:rFonts w:ascii="Wingdings" w:hAnsi="Wingdings"/>
      </w:rPr>
    </w:lvl>
    <w:lvl w:ilvl="3">
      <w:numFmt w:val="bullet"/>
      <w:lvlText w:val=""/>
      <w:lvlJc w:val="left"/>
      <w:pPr>
        <w:ind w:left="3022" w:hanging="360"/>
      </w:pPr>
      <w:rPr>
        <w:rFonts w:ascii="Symbol" w:hAnsi="Symbol"/>
      </w:rPr>
    </w:lvl>
    <w:lvl w:ilvl="4">
      <w:numFmt w:val="bullet"/>
      <w:lvlText w:val="o"/>
      <w:lvlJc w:val="left"/>
      <w:pPr>
        <w:ind w:left="3742" w:hanging="360"/>
      </w:pPr>
      <w:rPr>
        <w:rFonts w:ascii="Courier New" w:hAnsi="Courier New" w:cs="Courier New"/>
      </w:rPr>
    </w:lvl>
    <w:lvl w:ilvl="5">
      <w:numFmt w:val="bullet"/>
      <w:lvlText w:val=""/>
      <w:lvlJc w:val="left"/>
      <w:pPr>
        <w:ind w:left="4462" w:hanging="360"/>
      </w:pPr>
      <w:rPr>
        <w:rFonts w:ascii="Wingdings" w:hAnsi="Wingdings"/>
      </w:rPr>
    </w:lvl>
    <w:lvl w:ilvl="6">
      <w:numFmt w:val="bullet"/>
      <w:lvlText w:val=""/>
      <w:lvlJc w:val="left"/>
      <w:pPr>
        <w:ind w:left="5182" w:hanging="360"/>
      </w:pPr>
      <w:rPr>
        <w:rFonts w:ascii="Symbol" w:hAnsi="Symbol"/>
      </w:rPr>
    </w:lvl>
    <w:lvl w:ilvl="7">
      <w:numFmt w:val="bullet"/>
      <w:lvlText w:val="o"/>
      <w:lvlJc w:val="left"/>
      <w:pPr>
        <w:ind w:left="5902" w:hanging="360"/>
      </w:pPr>
      <w:rPr>
        <w:rFonts w:ascii="Courier New" w:hAnsi="Courier New" w:cs="Courier New"/>
      </w:rPr>
    </w:lvl>
    <w:lvl w:ilvl="8">
      <w:numFmt w:val="bullet"/>
      <w:lvlText w:val=""/>
      <w:lvlJc w:val="left"/>
      <w:pPr>
        <w:ind w:left="6622" w:hanging="360"/>
      </w:pPr>
      <w:rPr>
        <w:rFonts w:ascii="Wingdings" w:hAnsi="Wingdings"/>
      </w:rPr>
    </w:lvl>
  </w:abstractNum>
  <w:abstractNum w:abstractNumId="83" w15:restartNumberingAfterBreak="0">
    <w:nsid w:val="78801D54"/>
    <w:multiLevelType w:val="hybridMultilevel"/>
    <w:tmpl w:val="939C568A"/>
    <w:lvl w:ilvl="0" w:tplc="0415000F">
      <w:start w:val="1"/>
      <w:numFmt w:val="decimal"/>
      <w:lvlText w:val="%1."/>
      <w:lvlJc w:val="left"/>
      <w:pPr>
        <w:ind w:left="107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9DB1E00"/>
    <w:multiLevelType w:val="multilevel"/>
    <w:tmpl w:val="4BBE0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A1841BE"/>
    <w:multiLevelType w:val="hybridMultilevel"/>
    <w:tmpl w:val="64B01CCA"/>
    <w:lvl w:ilvl="0" w:tplc="0415000F">
      <w:start w:val="1"/>
      <w:numFmt w:val="decimal"/>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AB12C43"/>
    <w:multiLevelType w:val="hybridMultilevel"/>
    <w:tmpl w:val="93C6959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7AB71ECC"/>
    <w:multiLevelType w:val="hybridMultilevel"/>
    <w:tmpl w:val="787EE2F0"/>
    <w:lvl w:ilvl="0" w:tplc="A7A4B5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FC579CF"/>
    <w:multiLevelType w:val="hybridMultilevel"/>
    <w:tmpl w:val="9B28F4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666855666">
    <w:abstractNumId w:val="39"/>
  </w:num>
  <w:num w:numId="2" w16cid:durableId="283846854">
    <w:abstractNumId w:val="75"/>
  </w:num>
  <w:num w:numId="3" w16cid:durableId="256669655">
    <w:abstractNumId w:val="28"/>
    <w:lvlOverride w:ilvl="0">
      <w:startOverride w:val="2"/>
    </w:lvlOverride>
  </w:num>
  <w:num w:numId="4" w16cid:durableId="1578203147">
    <w:abstractNumId w:val="41"/>
    <w:lvlOverride w:ilvl="0">
      <w:startOverride w:val="3"/>
    </w:lvlOverride>
  </w:num>
  <w:num w:numId="5" w16cid:durableId="62722144">
    <w:abstractNumId w:val="84"/>
  </w:num>
  <w:num w:numId="6" w16cid:durableId="450783931">
    <w:abstractNumId w:val="49"/>
  </w:num>
  <w:num w:numId="7" w16cid:durableId="2053457007">
    <w:abstractNumId w:val="23"/>
  </w:num>
  <w:num w:numId="8" w16cid:durableId="398403553">
    <w:abstractNumId w:val="60"/>
  </w:num>
  <w:num w:numId="9" w16cid:durableId="268778039">
    <w:abstractNumId w:val="65"/>
  </w:num>
  <w:num w:numId="10" w16cid:durableId="982077511">
    <w:abstractNumId w:val="31"/>
  </w:num>
  <w:num w:numId="11" w16cid:durableId="1750541623">
    <w:abstractNumId w:val="45"/>
    <w:lvlOverride w:ilvl="0">
      <w:startOverride w:val="2"/>
    </w:lvlOverride>
  </w:num>
  <w:num w:numId="12" w16cid:durableId="1506897098">
    <w:abstractNumId w:val="44"/>
    <w:lvlOverride w:ilvl="0">
      <w:startOverride w:val="3"/>
    </w:lvlOverride>
  </w:num>
  <w:num w:numId="13" w16cid:durableId="933636012">
    <w:abstractNumId w:val="55"/>
  </w:num>
  <w:num w:numId="14" w16cid:durableId="1145505939">
    <w:abstractNumId w:val="21"/>
  </w:num>
  <w:num w:numId="15" w16cid:durableId="524100147">
    <w:abstractNumId w:val="32"/>
  </w:num>
  <w:num w:numId="16" w16cid:durableId="1567455816">
    <w:abstractNumId w:val="33"/>
  </w:num>
  <w:num w:numId="17" w16cid:durableId="778186667">
    <w:abstractNumId w:val="50"/>
  </w:num>
  <w:num w:numId="18" w16cid:durableId="825243300">
    <w:abstractNumId w:val="63"/>
  </w:num>
  <w:num w:numId="19" w16cid:durableId="1582371361">
    <w:abstractNumId w:val="29"/>
  </w:num>
  <w:num w:numId="20" w16cid:durableId="790246873">
    <w:abstractNumId w:val="68"/>
  </w:num>
  <w:num w:numId="21" w16cid:durableId="569464429">
    <w:abstractNumId w:val="52"/>
  </w:num>
  <w:num w:numId="22" w16cid:durableId="699861831">
    <w:abstractNumId w:val="37"/>
  </w:num>
  <w:num w:numId="23" w16cid:durableId="1403336555">
    <w:abstractNumId w:val="20"/>
  </w:num>
  <w:num w:numId="24" w16cid:durableId="654528972">
    <w:abstractNumId w:val="79"/>
  </w:num>
  <w:num w:numId="25" w16cid:durableId="129060518">
    <w:abstractNumId w:val="35"/>
  </w:num>
  <w:num w:numId="26" w16cid:durableId="184297613">
    <w:abstractNumId w:val="36"/>
  </w:num>
  <w:num w:numId="27" w16cid:durableId="1621260173">
    <w:abstractNumId w:val="57"/>
  </w:num>
  <w:num w:numId="28" w16cid:durableId="561869755">
    <w:abstractNumId w:val="27"/>
  </w:num>
  <w:num w:numId="29" w16cid:durableId="840241516">
    <w:abstractNumId w:val="64"/>
  </w:num>
  <w:num w:numId="30" w16cid:durableId="620379648">
    <w:abstractNumId w:val="51"/>
  </w:num>
  <w:num w:numId="31" w16cid:durableId="781455410">
    <w:abstractNumId w:val="71"/>
  </w:num>
  <w:num w:numId="32" w16cid:durableId="593322477">
    <w:abstractNumId w:val="42"/>
  </w:num>
  <w:num w:numId="33" w16cid:durableId="519976187">
    <w:abstractNumId w:val="78"/>
  </w:num>
  <w:num w:numId="34" w16cid:durableId="175118546">
    <w:abstractNumId w:val="72"/>
  </w:num>
  <w:num w:numId="35" w16cid:durableId="1736389714">
    <w:abstractNumId w:val="56"/>
  </w:num>
  <w:num w:numId="36" w16cid:durableId="195702332">
    <w:abstractNumId w:val="61"/>
  </w:num>
  <w:num w:numId="37" w16cid:durableId="1185747177">
    <w:abstractNumId w:val="88"/>
  </w:num>
  <w:num w:numId="38" w16cid:durableId="206647763">
    <w:abstractNumId w:val="24"/>
  </w:num>
  <w:num w:numId="39" w16cid:durableId="1734541665">
    <w:abstractNumId w:val="53"/>
  </w:num>
  <w:num w:numId="40" w16cid:durableId="1754158499">
    <w:abstractNumId w:val="86"/>
  </w:num>
  <w:num w:numId="41" w16cid:durableId="164789296">
    <w:abstractNumId w:val="62"/>
  </w:num>
  <w:num w:numId="42" w16cid:durableId="809785960">
    <w:abstractNumId w:val="43"/>
  </w:num>
  <w:num w:numId="43" w16cid:durableId="1801993131">
    <w:abstractNumId w:val="77"/>
  </w:num>
  <w:num w:numId="44" w16cid:durableId="1369914509">
    <w:abstractNumId w:val="76"/>
  </w:num>
  <w:num w:numId="45" w16cid:durableId="1623145569">
    <w:abstractNumId w:val="66"/>
  </w:num>
  <w:num w:numId="46" w16cid:durableId="1284337720">
    <w:abstractNumId w:val="80"/>
  </w:num>
  <w:num w:numId="47" w16cid:durableId="525028094">
    <w:abstractNumId w:val="48"/>
  </w:num>
  <w:num w:numId="48" w16cid:durableId="1229656705">
    <w:abstractNumId w:val="38"/>
  </w:num>
  <w:num w:numId="49" w16cid:durableId="2000186410">
    <w:abstractNumId w:val="87"/>
  </w:num>
  <w:num w:numId="50" w16cid:durableId="472522898">
    <w:abstractNumId w:val="81"/>
  </w:num>
  <w:num w:numId="51" w16cid:durableId="2004383764">
    <w:abstractNumId w:val="82"/>
  </w:num>
  <w:num w:numId="52" w16cid:durableId="1325162092">
    <w:abstractNumId w:val="34"/>
  </w:num>
  <w:num w:numId="53" w16cid:durableId="884486061">
    <w:abstractNumId w:val="47"/>
  </w:num>
  <w:num w:numId="54" w16cid:durableId="1589654164">
    <w:abstractNumId w:val="30"/>
  </w:num>
  <w:num w:numId="55" w16cid:durableId="757482184">
    <w:abstractNumId w:val="59"/>
  </w:num>
  <w:num w:numId="56" w16cid:durableId="2037845671">
    <w:abstractNumId w:val="70"/>
  </w:num>
  <w:num w:numId="57" w16cid:durableId="1092118625">
    <w:abstractNumId w:val="46"/>
  </w:num>
  <w:num w:numId="58" w16cid:durableId="2019114799">
    <w:abstractNumId w:val="58"/>
  </w:num>
  <w:num w:numId="59" w16cid:durableId="248272713">
    <w:abstractNumId w:val="74"/>
  </w:num>
  <w:num w:numId="60" w16cid:durableId="1446264654">
    <w:abstractNumId w:val="83"/>
  </w:num>
  <w:num w:numId="61" w16cid:durableId="2041780251">
    <w:abstractNumId w:val="40"/>
  </w:num>
  <w:num w:numId="62" w16cid:durableId="336273075">
    <w:abstractNumId w:val="26"/>
  </w:num>
  <w:num w:numId="63" w16cid:durableId="1296594693">
    <w:abstractNumId w:val="54"/>
  </w:num>
  <w:num w:numId="64" w16cid:durableId="1244797187">
    <w:abstractNumId w:val="85"/>
  </w:num>
  <w:num w:numId="65" w16cid:durableId="2104183411">
    <w:abstractNumId w:val="69"/>
  </w:num>
  <w:num w:numId="66" w16cid:durableId="1402362864">
    <w:abstractNumId w:val="69"/>
    <w:lvlOverride w:ilvl="0">
      <w:startOverride w:val="1"/>
    </w:lvlOverride>
  </w:num>
  <w:num w:numId="67" w16cid:durableId="545482781">
    <w:abstractNumId w:val="69"/>
    <w:lvlOverride w:ilvl="0">
      <w:startOverride w:val="1"/>
    </w:lvlOverride>
  </w:num>
  <w:num w:numId="68" w16cid:durableId="58870893">
    <w:abstractNumId w:val="69"/>
    <w:lvlOverride w:ilvl="0">
      <w:startOverride w:val="1"/>
    </w:lvlOverride>
  </w:num>
  <w:num w:numId="69" w16cid:durableId="507674106">
    <w:abstractNumId w:val="69"/>
    <w:lvlOverride w:ilvl="0">
      <w:startOverride w:val="1"/>
    </w:lvlOverride>
  </w:num>
  <w:num w:numId="70" w16cid:durableId="467892846">
    <w:abstractNumId w:val="69"/>
    <w:lvlOverride w:ilvl="0">
      <w:startOverride w:val="1"/>
    </w:lvlOverride>
  </w:num>
  <w:num w:numId="71" w16cid:durableId="348603796">
    <w:abstractNumId w:val="69"/>
    <w:lvlOverride w:ilvl="0">
      <w:startOverride w:val="1"/>
    </w:lvlOverride>
  </w:num>
  <w:num w:numId="72" w16cid:durableId="2127649465">
    <w:abstractNumId w:val="69"/>
    <w:lvlOverride w:ilvl="0">
      <w:startOverride w:val="1"/>
    </w:lvlOverride>
  </w:num>
  <w:num w:numId="73" w16cid:durableId="658727767">
    <w:abstractNumId w:val="69"/>
    <w:lvlOverride w:ilvl="0">
      <w:startOverride w:val="1"/>
    </w:lvlOverride>
  </w:num>
  <w:num w:numId="74" w16cid:durableId="865827466">
    <w:abstractNumId w:val="69"/>
    <w:lvlOverride w:ilvl="0">
      <w:startOverride w:val="1"/>
    </w:lvlOverride>
  </w:num>
  <w:num w:numId="75" w16cid:durableId="1085028911">
    <w:abstractNumId w:val="1"/>
  </w:num>
  <w:num w:numId="76" w16cid:durableId="399328349">
    <w:abstractNumId w:val="0"/>
  </w:num>
  <w:num w:numId="77" w16cid:durableId="480804386">
    <w:abstractNumId w:val="69"/>
    <w:lvlOverride w:ilvl="0">
      <w:startOverride w:val="1"/>
    </w:lvlOverride>
  </w:num>
  <w:num w:numId="78" w16cid:durableId="1855800597">
    <w:abstractNumId w:val="69"/>
    <w:lvlOverride w:ilvl="0">
      <w:startOverride w:val="1"/>
    </w:lvlOverride>
  </w:num>
  <w:num w:numId="79" w16cid:durableId="117339906">
    <w:abstractNumId w:val="25"/>
  </w:num>
  <w:num w:numId="80" w16cid:durableId="825557888">
    <w:abstractNumId w:val="69"/>
    <w:lvlOverride w:ilvl="0">
      <w:startOverride w:val="1"/>
    </w:lvlOverride>
  </w:num>
  <w:num w:numId="81" w16cid:durableId="1434788960">
    <w:abstractNumId w:val="69"/>
    <w:lvlOverride w:ilvl="0">
      <w:startOverride w:val="1"/>
    </w:lvlOverride>
  </w:num>
  <w:num w:numId="82" w16cid:durableId="663777615">
    <w:abstractNumId w:val="69"/>
    <w:lvlOverride w:ilvl="0">
      <w:startOverride w:val="1"/>
    </w:lvlOverride>
  </w:num>
  <w:num w:numId="83" w16cid:durableId="730157809">
    <w:abstractNumId w:val="67"/>
  </w:num>
  <w:num w:numId="84" w16cid:durableId="674694386">
    <w:abstractNumId w:val="22"/>
  </w:num>
  <w:num w:numId="85" w16cid:durableId="45376411">
    <w:abstractNumId w:val="73"/>
  </w:num>
  <w:num w:numId="86" w16cid:durableId="1865047208">
    <w:abstractNumId w:val="54"/>
    <w:lvlOverride w:ilvl="0">
      <w:startOverride w:val="1"/>
    </w:lvlOverride>
  </w:num>
  <w:num w:numId="87" w16cid:durableId="797458970">
    <w:abstractNumId w:val="69"/>
    <w:lvlOverride w:ilvl="0">
      <w:startOverride w:val="1"/>
    </w:lvlOverride>
  </w:num>
  <w:num w:numId="88" w16cid:durableId="1917592126">
    <w:abstractNumId w:val="69"/>
    <w:lvlOverride w:ilvl="0">
      <w:startOverride w:val="1"/>
    </w:lvlOverride>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revisionView w:inkAnnotations="0"/>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4D24"/>
    <w:rsid w:val="00000DF5"/>
    <w:rsid w:val="00001849"/>
    <w:rsid w:val="00001D60"/>
    <w:rsid w:val="00003CF0"/>
    <w:rsid w:val="00004768"/>
    <w:rsid w:val="000058B7"/>
    <w:rsid w:val="00005F37"/>
    <w:rsid w:val="00006F09"/>
    <w:rsid w:val="0000767F"/>
    <w:rsid w:val="0001114C"/>
    <w:rsid w:val="00012820"/>
    <w:rsid w:val="000138E9"/>
    <w:rsid w:val="00013FC0"/>
    <w:rsid w:val="00015241"/>
    <w:rsid w:val="000152F3"/>
    <w:rsid w:val="00015937"/>
    <w:rsid w:val="00015944"/>
    <w:rsid w:val="00016645"/>
    <w:rsid w:val="00016B51"/>
    <w:rsid w:val="00017505"/>
    <w:rsid w:val="00017FFD"/>
    <w:rsid w:val="0002226E"/>
    <w:rsid w:val="0002238F"/>
    <w:rsid w:val="000234F2"/>
    <w:rsid w:val="0002376D"/>
    <w:rsid w:val="00024C56"/>
    <w:rsid w:val="00025523"/>
    <w:rsid w:val="00026AEC"/>
    <w:rsid w:val="00027FC3"/>
    <w:rsid w:val="0003017D"/>
    <w:rsid w:val="00030DA1"/>
    <w:rsid w:val="00031150"/>
    <w:rsid w:val="00031194"/>
    <w:rsid w:val="00031E0F"/>
    <w:rsid w:val="00032084"/>
    <w:rsid w:val="000320B4"/>
    <w:rsid w:val="00032142"/>
    <w:rsid w:val="00033A4F"/>
    <w:rsid w:val="00034183"/>
    <w:rsid w:val="00034E45"/>
    <w:rsid w:val="000362CA"/>
    <w:rsid w:val="00036433"/>
    <w:rsid w:val="00036554"/>
    <w:rsid w:val="00037B05"/>
    <w:rsid w:val="00037E71"/>
    <w:rsid w:val="000412CD"/>
    <w:rsid w:val="000420EF"/>
    <w:rsid w:val="0004390F"/>
    <w:rsid w:val="00044ACB"/>
    <w:rsid w:val="00046454"/>
    <w:rsid w:val="000479F6"/>
    <w:rsid w:val="00047B58"/>
    <w:rsid w:val="00047B69"/>
    <w:rsid w:val="00050522"/>
    <w:rsid w:val="00052DD5"/>
    <w:rsid w:val="00057681"/>
    <w:rsid w:val="0006067F"/>
    <w:rsid w:val="00060D64"/>
    <w:rsid w:val="00061346"/>
    <w:rsid w:val="00062189"/>
    <w:rsid w:val="00062821"/>
    <w:rsid w:val="000628B5"/>
    <w:rsid w:val="00063733"/>
    <w:rsid w:val="0006397A"/>
    <w:rsid w:val="000659F4"/>
    <w:rsid w:val="000667A5"/>
    <w:rsid w:val="00067175"/>
    <w:rsid w:val="000673F3"/>
    <w:rsid w:val="00070E92"/>
    <w:rsid w:val="000710AC"/>
    <w:rsid w:val="000733E0"/>
    <w:rsid w:val="0007485A"/>
    <w:rsid w:val="00074F1D"/>
    <w:rsid w:val="000752E6"/>
    <w:rsid w:val="00075650"/>
    <w:rsid w:val="000762A2"/>
    <w:rsid w:val="000764CE"/>
    <w:rsid w:val="00076DC8"/>
    <w:rsid w:val="0007708C"/>
    <w:rsid w:val="000778B6"/>
    <w:rsid w:val="00080A49"/>
    <w:rsid w:val="0008267F"/>
    <w:rsid w:val="0008367B"/>
    <w:rsid w:val="000847B9"/>
    <w:rsid w:val="00084C77"/>
    <w:rsid w:val="000862B5"/>
    <w:rsid w:val="00086625"/>
    <w:rsid w:val="00086D01"/>
    <w:rsid w:val="000914AC"/>
    <w:rsid w:val="00092841"/>
    <w:rsid w:val="00092C57"/>
    <w:rsid w:val="00094E32"/>
    <w:rsid w:val="0009556F"/>
    <w:rsid w:val="00096F6A"/>
    <w:rsid w:val="00097102"/>
    <w:rsid w:val="000973CA"/>
    <w:rsid w:val="00097459"/>
    <w:rsid w:val="00097A26"/>
    <w:rsid w:val="00097D07"/>
    <w:rsid w:val="000A08D7"/>
    <w:rsid w:val="000A0D13"/>
    <w:rsid w:val="000A1B61"/>
    <w:rsid w:val="000A3E1B"/>
    <w:rsid w:val="000A4E67"/>
    <w:rsid w:val="000A5C18"/>
    <w:rsid w:val="000A6E7F"/>
    <w:rsid w:val="000A7372"/>
    <w:rsid w:val="000B2CE0"/>
    <w:rsid w:val="000B381E"/>
    <w:rsid w:val="000B5D6A"/>
    <w:rsid w:val="000B73D3"/>
    <w:rsid w:val="000B7731"/>
    <w:rsid w:val="000C02DE"/>
    <w:rsid w:val="000C0985"/>
    <w:rsid w:val="000C1CF6"/>
    <w:rsid w:val="000C1ED2"/>
    <w:rsid w:val="000C2997"/>
    <w:rsid w:val="000C7A55"/>
    <w:rsid w:val="000D3717"/>
    <w:rsid w:val="000D5DFC"/>
    <w:rsid w:val="000D7590"/>
    <w:rsid w:val="000E0357"/>
    <w:rsid w:val="000E0473"/>
    <w:rsid w:val="000E11BB"/>
    <w:rsid w:val="000E2462"/>
    <w:rsid w:val="000E41F9"/>
    <w:rsid w:val="000E493F"/>
    <w:rsid w:val="000E4975"/>
    <w:rsid w:val="000E4A08"/>
    <w:rsid w:val="000E66E9"/>
    <w:rsid w:val="000E695F"/>
    <w:rsid w:val="000F017A"/>
    <w:rsid w:val="000F129A"/>
    <w:rsid w:val="000F1BA9"/>
    <w:rsid w:val="000F34C7"/>
    <w:rsid w:val="000F4CDA"/>
    <w:rsid w:val="000F501F"/>
    <w:rsid w:val="000F60A2"/>
    <w:rsid w:val="00101557"/>
    <w:rsid w:val="00101D7A"/>
    <w:rsid w:val="00104FED"/>
    <w:rsid w:val="00106BBD"/>
    <w:rsid w:val="0010735E"/>
    <w:rsid w:val="0011095B"/>
    <w:rsid w:val="00110D84"/>
    <w:rsid w:val="00110D8A"/>
    <w:rsid w:val="00112162"/>
    <w:rsid w:val="001121F0"/>
    <w:rsid w:val="00115C68"/>
    <w:rsid w:val="0011619A"/>
    <w:rsid w:val="0011619F"/>
    <w:rsid w:val="00116E29"/>
    <w:rsid w:val="00117859"/>
    <w:rsid w:val="00117C42"/>
    <w:rsid w:val="00117F64"/>
    <w:rsid w:val="00120FD4"/>
    <w:rsid w:val="001232DF"/>
    <w:rsid w:val="00123357"/>
    <w:rsid w:val="001237AA"/>
    <w:rsid w:val="00124340"/>
    <w:rsid w:val="0012493D"/>
    <w:rsid w:val="0012503C"/>
    <w:rsid w:val="0012786A"/>
    <w:rsid w:val="00127B0A"/>
    <w:rsid w:val="001303E5"/>
    <w:rsid w:val="00131A2D"/>
    <w:rsid w:val="00131C23"/>
    <w:rsid w:val="00132048"/>
    <w:rsid w:val="001322B9"/>
    <w:rsid w:val="001329C1"/>
    <w:rsid w:val="00133268"/>
    <w:rsid w:val="001336CC"/>
    <w:rsid w:val="001352A5"/>
    <w:rsid w:val="001354DC"/>
    <w:rsid w:val="0013598E"/>
    <w:rsid w:val="00137264"/>
    <w:rsid w:val="00137F80"/>
    <w:rsid w:val="001411E9"/>
    <w:rsid w:val="00142014"/>
    <w:rsid w:val="001421F8"/>
    <w:rsid w:val="00142F30"/>
    <w:rsid w:val="00142F5E"/>
    <w:rsid w:val="00145BFD"/>
    <w:rsid w:val="0014783E"/>
    <w:rsid w:val="001479D2"/>
    <w:rsid w:val="001525E3"/>
    <w:rsid w:val="00153D21"/>
    <w:rsid w:val="00154241"/>
    <w:rsid w:val="00154429"/>
    <w:rsid w:val="00154941"/>
    <w:rsid w:val="00155700"/>
    <w:rsid w:val="00155C90"/>
    <w:rsid w:val="00156AF9"/>
    <w:rsid w:val="00161B68"/>
    <w:rsid w:val="00161B96"/>
    <w:rsid w:val="001620B3"/>
    <w:rsid w:val="00162CBD"/>
    <w:rsid w:val="001634E6"/>
    <w:rsid w:val="00163E85"/>
    <w:rsid w:val="0017071E"/>
    <w:rsid w:val="00171978"/>
    <w:rsid w:val="00173786"/>
    <w:rsid w:val="001739C3"/>
    <w:rsid w:val="00173B7C"/>
    <w:rsid w:val="00174410"/>
    <w:rsid w:val="00174837"/>
    <w:rsid w:val="00175A0E"/>
    <w:rsid w:val="00177175"/>
    <w:rsid w:val="00177406"/>
    <w:rsid w:val="00177F51"/>
    <w:rsid w:val="00180318"/>
    <w:rsid w:val="001809E5"/>
    <w:rsid w:val="00181B40"/>
    <w:rsid w:val="00182484"/>
    <w:rsid w:val="00183315"/>
    <w:rsid w:val="00183F36"/>
    <w:rsid w:val="001841DA"/>
    <w:rsid w:val="0018524E"/>
    <w:rsid w:val="0018644C"/>
    <w:rsid w:val="00186799"/>
    <w:rsid w:val="00190B43"/>
    <w:rsid w:val="00190F71"/>
    <w:rsid w:val="00191C25"/>
    <w:rsid w:val="00193A63"/>
    <w:rsid w:val="00193A8A"/>
    <w:rsid w:val="001A02C5"/>
    <w:rsid w:val="001A186E"/>
    <w:rsid w:val="001A1ED4"/>
    <w:rsid w:val="001A237C"/>
    <w:rsid w:val="001A3E17"/>
    <w:rsid w:val="001A4EAB"/>
    <w:rsid w:val="001A5E8A"/>
    <w:rsid w:val="001A6614"/>
    <w:rsid w:val="001A6C0D"/>
    <w:rsid w:val="001A7755"/>
    <w:rsid w:val="001B07A5"/>
    <w:rsid w:val="001B0D91"/>
    <w:rsid w:val="001B1544"/>
    <w:rsid w:val="001B2732"/>
    <w:rsid w:val="001B307B"/>
    <w:rsid w:val="001B3EC2"/>
    <w:rsid w:val="001B469B"/>
    <w:rsid w:val="001B5832"/>
    <w:rsid w:val="001B58F3"/>
    <w:rsid w:val="001B5FA2"/>
    <w:rsid w:val="001B664E"/>
    <w:rsid w:val="001B6816"/>
    <w:rsid w:val="001B6920"/>
    <w:rsid w:val="001B6BED"/>
    <w:rsid w:val="001B6FC4"/>
    <w:rsid w:val="001B7C90"/>
    <w:rsid w:val="001C3185"/>
    <w:rsid w:val="001C3AB3"/>
    <w:rsid w:val="001C3D3E"/>
    <w:rsid w:val="001C4D99"/>
    <w:rsid w:val="001C50D6"/>
    <w:rsid w:val="001C51B8"/>
    <w:rsid w:val="001C55E4"/>
    <w:rsid w:val="001C726E"/>
    <w:rsid w:val="001C734B"/>
    <w:rsid w:val="001C7814"/>
    <w:rsid w:val="001D050B"/>
    <w:rsid w:val="001D0B45"/>
    <w:rsid w:val="001D148C"/>
    <w:rsid w:val="001D1988"/>
    <w:rsid w:val="001D7639"/>
    <w:rsid w:val="001D7FF6"/>
    <w:rsid w:val="001E22D6"/>
    <w:rsid w:val="001E25CE"/>
    <w:rsid w:val="001E2CEA"/>
    <w:rsid w:val="001E4572"/>
    <w:rsid w:val="001E465D"/>
    <w:rsid w:val="001E4A62"/>
    <w:rsid w:val="001E4AE0"/>
    <w:rsid w:val="001E4CF6"/>
    <w:rsid w:val="001E573D"/>
    <w:rsid w:val="001E6999"/>
    <w:rsid w:val="001F2370"/>
    <w:rsid w:val="001F4A3A"/>
    <w:rsid w:val="001F61C2"/>
    <w:rsid w:val="001F6319"/>
    <w:rsid w:val="001F6BE3"/>
    <w:rsid w:val="001F6E7F"/>
    <w:rsid w:val="001F747E"/>
    <w:rsid w:val="001F760C"/>
    <w:rsid w:val="001F7A1E"/>
    <w:rsid w:val="002014B5"/>
    <w:rsid w:val="00201593"/>
    <w:rsid w:val="002050BE"/>
    <w:rsid w:val="0020574F"/>
    <w:rsid w:val="00205BFF"/>
    <w:rsid w:val="002065F8"/>
    <w:rsid w:val="00210532"/>
    <w:rsid w:val="0021150F"/>
    <w:rsid w:val="002126C9"/>
    <w:rsid w:val="0021549F"/>
    <w:rsid w:val="00215FBB"/>
    <w:rsid w:val="002165EF"/>
    <w:rsid w:val="002169D5"/>
    <w:rsid w:val="00216E5B"/>
    <w:rsid w:val="0021749E"/>
    <w:rsid w:val="00220A33"/>
    <w:rsid w:val="00220DF2"/>
    <w:rsid w:val="00221F63"/>
    <w:rsid w:val="00221F8A"/>
    <w:rsid w:val="00223761"/>
    <w:rsid w:val="00223E8D"/>
    <w:rsid w:val="002245F0"/>
    <w:rsid w:val="00224932"/>
    <w:rsid w:val="002257BB"/>
    <w:rsid w:val="00225D95"/>
    <w:rsid w:val="002270CC"/>
    <w:rsid w:val="002277C1"/>
    <w:rsid w:val="00233165"/>
    <w:rsid w:val="002337B1"/>
    <w:rsid w:val="00233C06"/>
    <w:rsid w:val="002346FE"/>
    <w:rsid w:val="00234B4E"/>
    <w:rsid w:val="0023607A"/>
    <w:rsid w:val="00236AC8"/>
    <w:rsid w:val="00237159"/>
    <w:rsid w:val="002428B7"/>
    <w:rsid w:val="00243739"/>
    <w:rsid w:val="00244F3C"/>
    <w:rsid w:val="00246246"/>
    <w:rsid w:val="002469EE"/>
    <w:rsid w:val="00246BF0"/>
    <w:rsid w:val="00246C48"/>
    <w:rsid w:val="00246DC3"/>
    <w:rsid w:val="00246EF7"/>
    <w:rsid w:val="002473A7"/>
    <w:rsid w:val="00250389"/>
    <w:rsid w:val="0025110F"/>
    <w:rsid w:val="0025202E"/>
    <w:rsid w:val="00252AD8"/>
    <w:rsid w:val="00252DC6"/>
    <w:rsid w:val="002538A4"/>
    <w:rsid w:val="002557FF"/>
    <w:rsid w:val="002560E0"/>
    <w:rsid w:val="00256467"/>
    <w:rsid w:val="00256F54"/>
    <w:rsid w:val="0025715A"/>
    <w:rsid w:val="00260E45"/>
    <w:rsid w:val="0026196B"/>
    <w:rsid w:val="00263A24"/>
    <w:rsid w:val="002650BF"/>
    <w:rsid w:val="00265D28"/>
    <w:rsid w:val="00265EA8"/>
    <w:rsid w:val="00266B16"/>
    <w:rsid w:val="00266BE2"/>
    <w:rsid w:val="002717C6"/>
    <w:rsid w:val="0027237E"/>
    <w:rsid w:val="00272456"/>
    <w:rsid w:val="00272FE0"/>
    <w:rsid w:val="002730A4"/>
    <w:rsid w:val="002749BD"/>
    <w:rsid w:val="00275C80"/>
    <w:rsid w:val="00276C31"/>
    <w:rsid w:val="00276E59"/>
    <w:rsid w:val="00276FD7"/>
    <w:rsid w:val="0027777E"/>
    <w:rsid w:val="002803E3"/>
    <w:rsid w:val="00280D03"/>
    <w:rsid w:val="00282375"/>
    <w:rsid w:val="00284DD2"/>
    <w:rsid w:val="00285290"/>
    <w:rsid w:val="00285F36"/>
    <w:rsid w:val="00286A42"/>
    <w:rsid w:val="002874CA"/>
    <w:rsid w:val="00290550"/>
    <w:rsid w:val="00290D09"/>
    <w:rsid w:val="00291FE4"/>
    <w:rsid w:val="00293074"/>
    <w:rsid w:val="00294E0D"/>
    <w:rsid w:val="00294EA5"/>
    <w:rsid w:val="002950AF"/>
    <w:rsid w:val="002969DE"/>
    <w:rsid w:val="00296EA0"/>
    <w:rsid w:val="002971A8"/>
    <w:rsid w:val="002976DB"/>
    <w:rsid w:val="00297B2A"/>
    <w:rsid w:val="002A43F7"/>
    <w:rsid w:val="002A48F9"/>
    <w:rsid w:val="002A49E2"/>
    <w:rsid w:val="002A4D6B"/>
    <w:rsid w:val="002A50FF"/>
    <w:rsid w:val="002A7218"/>
    <w:rsid w:val="002A78B0"/>
    <w:rsid w:val="002A7EFF"/>
    <w:rsid w:val="002B0DDD"/>
    <w:rsid w:val="002B0E85"/>
    <w:rsid w:val="002B1DF7"/>
    <w:rsid w:val="002B1E08"/>
    <w:rsid w:val="002B2932"/>
    <w:rsid w:val="002B528D"/>
    <w:rsid w:val="002B62F0"/>
    <w:rsid w:val="002B651C"/>
    <w:rsid w:val="002B69EC"/>
    <w:rsid w:val="002B6DA8"/>
    <w:rsid w:val="002C0501"/>
    <w:rsid w:val="002C12AF"/>
    <w:rsid w:val="002C1A7E"/>
    <w:rsid w:val="002C2466"/>
    <w:rsid w:val="002C291D"/>
    <w:rsid w:val="002C313A"/>
    <w:rsid w:val="002C4D9A"/>
    <w:rsid w:val="002C563A"/>
    <w:rsid w:val="002C631E"/>
    <w:rsid w:val="002C66BD"/>
    <w:rsid w:val="002C6FCB"/>
    <w:rsid w:val="002C70A7"/>
    <w:rsid w:val="002C746C"/>
    <w:rsid w:val="002D02C0"/>
    <w:rsid w:val="002D0939"/>
    <w:rsid w:val="002D0CD5"/>
    <w:rsid w:val="002D3F15"/>
    <w:rsid w:val="002D498F"/>
    <w:rsid w:val="002D585B"/>
    <w:rsid w:val="002D6A2A"/>
    <w:rsid w:val="002D7609"/>
    <w:rsid w:val="002D7DE5"/>
    <w:rsid w:val="002D7F0E"/>
    <w:rsid w:val="002E0811"/>
    <w:rsid w:val="002E0BDC"/>
    <w:rsid w:val="002E1062"/>
    <w:rsid w:val="002E1D6D"/>
    <w:rsid w:val="002E31BA"/>
    <w:rsid w:val="002E484E"/>
    <w:rsid w:val="002E5526"/>
    <w:rsid w:val="002E5577"/>
    <w:rsid w:val="002E56BB"/>
    <w:rsid w:val="002E60F7"/>
    <w:rsid w:val="002E6282"/>
    <w:rsid w:val="002F235A"/>
    <w:rsid w:val="002F27E5"/>
    <w:rsid w:val="002F2A80"/>
    <w:rsid w:val="002F2E31"/>
    <w:rsid w:val="002F5108"/>
    <w:rsid w:val="002F7C83"/>
    <w:rsid w:val="002F7E5D"/>
    <w:rsid w:val="003001B3"/>
    <w:rsid w:val="00301686"/>
    <w:rsid w:val="00301B78"/>
    <w:rsid w:val="00301DB5"/>
    <w:rsid w:val="00301ED5"/>
    <w:rsid w:val="0030205A"/>
    <w:rsid w:val="003025B1"/>
    <w:rsid w:val="00302F44"/>
    <w:rsid w:val="00303A2D"/>
    <w:rsid w:val="0030504A"/>
    <w:rsid w:val="00305CC1"/>
    <w:rsid w:val="00306835"/>
    <w:rsid w:val="0030769E"/>
    <w:rsid w:val="0031114D"/>
    <w:rsid w:val="00311C30"/>
    <w:rsid w:val="0031255B"/>
    <w:rsid w:val="00312AD3"/>
    <w:rsid w:val="00313173"/>
    <w:rsid w:val="00314190"/>
    <w:rsid w:val="00316A10"/>
    <w:rsid w:val="003174D3"/>
    <w:rsid w:val="00320EA0"/>
    <w:rsid w:val="00322C8E"/>
    <w:rsid w:val="00330163"/>
    <w:rsid w:val="0033040A"/>
    <w:rsid w:val="003306D9"/>
    <w:rsid w:val="00330A23"/>
    <w:rsid w:val="003316F0"/>
    <w:rsid w:val="00332797"/>
    <w:rsid w:val="00332F15"/>
    <w:rsid w:val="00333A66"/>
    <w:rsid w:val="00333BCD"/>
    <w:rsid w:val="003358DE"/>
    <w:rsid w:val="00336007"/>
    <w:rsid w:val="00337D55"/>
    <w:rsid w:val="003413BD"/>
    <w:rsid w:val="0034246D"/>
    <w:rsid w:val="0034262F"/>
    <w:rsid w:val="0034493A"/>
    <w:rsid w:val="003457E4"/>
    <w:rsid w:val="00345CDA"/>
    <w:rsid w:val="0034607D"/>
    <w:rsid w:val="003460B7"/>
    <w:rsid w:val="00346120"/>
    <w:rsid w:val="00347961"/>
    <w:rsid w:val="00347967"/>
    <w:rsid w:val="0035196C"/>
    <w:rsid w:val="00351F21"/>
    <w:rsid w:val="00352C79"/>
    <w:rsid w:val="00353BC6"/>
    <w:rsid w:val="00353DD9"/>
    <w:rsid w:val="00354398"/>
    <w:rsid w:val="003544C6"/>
    <w:rsid w:val="00354DE6"/>
    <w:rsid w:val="003550E8"/>
    <w:rsid w:val="00355D81"/>
    <w:rsid w:val="0036143E"/>
    <w:rsid w:val="00361D89"/>
    <w:rsid w:val="003621BC"/>
    <w:rsid w:val="00366432"/>
    <w:rsid w:val="00367A6C"/>
    <w:rsid w:val="003715BC"/>
    <w:rsid w:val="0037279A"/>
    <w:rsid w:val="00372FC9"/>
    <w:rsid w:val="0037305F"/>
    <w:rsid w:val="00373DB4"/>
    <w:rsid w:val="00374049"/>
    <w:rsid w:val="0037432C"/>
    <w:rsid w:val="00375E11"/>
    <w:rsid w:val="00376859"/>
    <w:rsid w:val="00376D89"/>
    <w:rsid w:val="00377391"/>
    <w:rsid w:val="00377709"/>
    <w:rsid w:val="00377E49"/>
    <w:rsid w:val="0038160C"/>
    <w:rsid w:val="00381A04"/>
    <w:rsid w:val="003848E6"/>
    <w:rsid w:val="00384ACE"/>
    <w:rsid w:val="00384B85"/>
    <w:rsid w:val="00385188"/>
    <w:rsid w:val="00386FE4"/>
    <w:rsid w:val="003873B4"/>
    <w:rsid w:val="00387B02"/>
    <w:rsid w:val="003921D5"/>
    <w:rsid w:val="003921DB"/>
    <w:rsid w:val="0039256E"/>
    <w:rsid w:val="00392C98"/>
    <w:rsid w:val="00394519"/>
    <w:rsid w:val="00394EC2"/>
    <w:rsid w:val="00395997"/>
    <w:rsid w:val="00396797"/>
    <w:rsid w:val="00397201"/>
    <w:rsid w:val="00397283"/>
    <w:rsid w:val="00397CF8"/>
    <w:rsid w:val="00397E68"/>
    <w:rsid w:val="003A1108"/>
    <w:rsid w:val="003A15CD"/>
    <w:rsid w:val="003A208A"/>
    <w:rsid w:val="003A39A9"/>
    <w:rsid w:val="003A5974"/>
    <w:rsid w:val="003A6D3D"/>
    <w:rsid w:val="003A717C"/>
    <w:rsid w:val="003A75DE"/>
    <w:rsid w:val="003A7DBB"/>
    <w:rsid w:val="003A7FBC"/>
    <w:rsid w:val="003B051B"/>
    <w:rsid w:val="003B1673"/>
    <w:rsid w:val="003B2E98"/>
    <w:rsid w:val="003B3C2E"/>
    <w:rsid w:val="003B4D24"/>
    <w:rsid w:val="003B5083"/>
    <w:rsid w:val="003C031A"/>
    <w:rsid w:val="003C32B3"/>
    <w:rsid w:val="003C4BC6"/>
    <w:rsid w:val="003C5CD8"/>
    <w:rsid w:val="003C7D13"/>
    <w:rsid w:val="003D0A3F"/>
    <w:rsid w:val="003D0F75"/>
    <w:rsid w:val="003D137F"/>
    <w:rsid w:val="003D51D3"/>
    <w:rsid w:val="003D739F"/>
    <w:rsid w:val="003E221E"/>
    <w:rsid w:val="003E2AE9"/>
    <w:rsid w:val="003E2E3E"/>
    <w:rsid w:val="003E3385"/>
    <w:rsid w:val="003E35D1"/>
    <w:rsid w:val="003E5F1E"/>
    <w:rsid w:val="003E653E"/>
    <w:rsid w:val="003E6B41"/>
    <w:rsid w:val="003E6BD6"/>
    <w:rsid w:val="003F02D6"/>
    <w:rsid w:val="003F2CF7"/>
    <w:rsid w:val="003F439A"/>
    <w:rsid w:val="003F4407"/>
    <w:rsid w:val="003F5DA8"/>
    <w:rsid w:val="003F6CA0"/>
    <w:rsid w:val="004050BE"/>
    <w:rsid w:val="00405205"/>
    <w:rsid w:val="004077B1"/>
    <w:rsid w:val="004101F2"/>
    <w:rsid w:val="00411EAA"/>
    <w:rsid w:val="0041309B"/>
    <w:rsid w:val="00413BB4"/>
    <w:rsid w:val="00413C9E"/>
    <w:rsid w:val="00414EDA"/>
    <w:rsid w:val="00415C3E"/>
    <w:rsid w:val="004162DB"/>
    <w:rsid w:val="004163F3"/>
    <w:rsid w:val="004166EB"/>
    <w:rsid w:val="00416CDC"/>
    <w:rsid w:val="00416F86"/>
    <w:rsid w:val="0042124F"/>
    <w:rsid w:val="0042367F"/>
    <w:rsid w:val="00423A34"/>
    <w:rsid w:val="00423E54"/>
    <w:rsid w:val="004262EA"/>
    <w:rsid w:val="004273DF"/>
    <w:rsid w:val="004278A1"/>
    <w:rsid w:val="00427C41"/>
    <w:rsid w:val="004314C4"/>
    <w:rsid w:val="00432957"/>
    <w:rsid w:val="00433DC3"/>
    <w:rsid w:val="00435011"/>
    <w:rsid w:val="004352BC"/>
    <w:rsid w:val="0043661C"/>
    <w:rsid w:val="004370BE"/>
    <w:rsid w:val="004377C7"/>
    <w:rsid w:val="00437A77"/>
    <w:rsid w:val="00437D99"/>
    <w:rsid w:val="00440A6C"/>
    <w:rsid w:val="00442A01"/>
    <w:rsid w:val="00442BCE"/>
    <w:rsid w:val="00443644"/>
    <w:rsid w:val="0044469A"/>
    <w:rsid w:val="0044524F"/>
    <w:rsid w:val="00445C02"/>
    <w:rsid w:val="00446265"/>
    <w:rsid w:val="00446558"/>
    <w:rsid w:val="00446AB9"/>
    <w:rsid w:val="00450B3C"/>
    <w:rsid w:val="00451024"/>
    <w:rsid w:val="00451063"/>
    <w:rsid w:val="00453D21"/>
    <w:rsid w:val="00454693"/>
    <w:rsid w:val="00454DEF"/>
    <w:rsid w:val="00455663"/>
    <w:rsid w:val="004564D3"/>
    <w:rsid w:val="004569D1"/>
    <w:rsid w:val="00456D32"/>
    <w:rsid w:val="00457098"/>
    <w:rsid w:val="00457543"/>
    <w:rsid w:val="00460776"/>
    <w:rsid w:val="004607DA"/>
    <w:rsid w:val="0046138F"/>
    <w:rsid w:val="004630D1"/>
    <w:rsid w:val="00464B48"/>
    <w:rsid w:val="004659A1"/>
    <w:rsid w:val="0046622C"/>
    <w:rsid w:val="004663C2"/>
    <w:rsid w:val="00466849"/>
    <w:rsid w:val="004700E9"/>
    <w:rsid w:val="00470281"/>
    <w:rsid w:val="0047056D"/>
    <w:rsid w:val="00470B8B"/>
    <w:rsid w:val="00470BE0"/>
    <w:rsid w:val="0047143F"/>
    <w:rsid w:val="00473B37"/>
    <w:rsid w:val="00473FD1"/>
    <w:rsid w:val="00474707"/>
    <w:rsid w:val="0047547E"/>
    <w:rsid w:val="00475F53"/>
    <w:rsid w:val="00476064"/>
    <w:rsid w:val="00476CB1"/>
    <w:rsid w:val="00477BEE"/>
    <w:rsid w:val="004809E4"/>
    <w:rsid w:val="004810B8"/>
    <w:rsid w:val="00482889"/>
    <w:rsid w:val="0048303D"/>
    <w:rsid w:val="004831B3"/>
    <w:rsid w:val="00483E8F"/>
    <w:rsid w:val="00484B4E"/>
    <w:rsid w:val="00486931"/>
    <w:rsid w:val="00487053"/>
    <w:rsid w:val="00490157"/>
    <w:rsid w:val="00490A68"/>
    <w:rsid w:val="00490D2B"/>
    <w:rsid w:val="00491ADF"/>
    <w:rsid w:val="00491B5A"/>
    <w:rsid w:val="00493188"/>
    <w:rsid w:val="00493334"/>
    <w:rsid w:val="00493D49"/>
    <w:rsid w:val="00493E95"/>
    <w:rsid w:val="004975D3"/>
    <w:rsid w:val="0049767B"/>
    <w:rsid w:val="00497973"/>
    <w:rsid w:val="004A15ED"/>
    <w:rsid w:val="004A32D3"/>
    <w:rsid w:val="004A5F6A"/>
    <w:rsid w:val="004A7A82"/>
    <w:rsid w:val="004A7BB2"/>
    <w:rsid w:val="004B1153"/>
    <w:rsid w:val="004B2085"/>
    <w:rsid w:val="004B2AFD"/>
    <w:rsid w:val="004B2EC9"/>
    <w:rsid w:val="004B308F"/>
    <w:rsid w:val="004B32C1"/>
    <w:rsid w:val="004B36FD"/>
    <w:rsid w:val="004B3C1E"/>
    <w:rsid w:val="004B3EEE"/>
    <w:rsid w:val="004B66F3"/>
    <w:rsid w:val="004B7AEC"/>
    <w:rsid w:val="004B7E4A"/>
    <w:rsid w:val="004C137A"/>
    <w:rsid w:val="004C18A9"/>
    <w:rsid w:val="004C3760"/>
    <w:rsid w:val="004C3C6C"/>
    <w:rsid w:val="004C4B7E"/>
    <w:rsid w:val="004C4D78"/>
    <w:rsid w:val="004C5ABF"/>
    <w:rsid w:val="004C7D5A"/>
    <w:rsid w:val="004D1B53"/>
    <w:rsid w:val="004D4C7E"/>
    <w:rsid w:val="004D564B"/>
    <w:rsid w:val="004D64A0"/>
    <w:rsid w:val="004E0029"/>
    <w:rsid w:val="004E0A81"/>
    <w:rsid w:val="004E0F2E"/>
    <w:rsid w:val="004E20BB"/>
    <w:rsid w:val="004E2948"/>
    <w:rsid w:val="004E2DA6"/>
    <w:rsid w:val="004E3261"/>
    <w:rsid w:val="004E4A98"/>
    <w:rsid w:val="004E4A9E"/>
    <w:rsid w:val="004E5533"/>
    <w:rsid w:val="004E5E01"/>
    <w:rsid w:val="004F05DD"/>
    <w:rsid w:val="004F0C06"/>
    <w:rsid w:val="004F219F"/>
    <w:rsid w:val="004F40E9"/>
    <w:rsid w:val="004F498F"/>
    <w:rsid w:val="004F4BDA"/>
    <w:rsid w:val="004F519E"/>
    <w:rsid w:val="004F521B"/>
    <w:rsid w:val="004F740D"/>
    <w:rsid w:val="004F7B5E"/>
    <w:rsid w:val="00502671"/>
    <w:rsid w:val="005036C1"/>
    <w:rsid w:val="00504511"/>
    <w:rsid w:val="00504C11"/>
    <w:rsid w:val="00504F71"/>
    <w:rsid w:val="00505431"/>
    <w:rsid w:val="00505C05"/>
    <w:rsid w:val="005064A8"/>
    <w:rsid w:val="00506A79"/>
    <w:rsid w:val="005076A6"/>
    <w:rsid w:val="00507A7C"/>
    <w:rsid w:val="0051049D"/>
    <w:rsid w:val="00513EF4"/>
    <w:rsid w:val="005145DF"/>
    <w:rsid w:val="00515DA3"/>
    <w:rsid w:val="005161BA"/>
    <w:rsid w:val="00520E16"/>
    <w:rsid w:val="00522334"/>
    <w:rsid w:val="00522489"/>
    <w:rsid w:val="005225F2"/>
    <w:rsid w:val="005229A0"/>
    <w:rsid w:val="0052303B"/>
    <w:rsid w:val="00524F06"/>
    <w:rsid w:val="0052501D"/>
    <w:rsid w:val="00525768"/>
    <w:rsid w:val="00525D4A"/>
    <w:rsid w:val="00525E59"/>
    <w:rsid w:val="00526844"/>
    <w:rsid w:val="005303E0"/>
    <w:rsid w:val="005307FD"/>
    <w:rsid w:val="00530B0C"/>
    <w:rsid w:val="00531F93"/>
    <w:rsid w:val="00532BE5"/>
    <w:rsid w:val="00534A8A"/>
    <w:rsid w:val="0053564C"/>
    <w:rsid w:val="005364D3"/>
    <w:rsid w:val="00536820"/>
    <w:rsid w:val="005406BA"/>
    <w:rsid w:val="00540D36"/>
    <w:rsid w:val="00541C23"/>
    <w:rsid w:val="00541DD6"/>
    <w:rsid w:val="00543131"/>
    <w:rsid w:val="00544286"/>
    <w:rsid w:val="00544C08"/>
    <w:rsid w:val="00544E3C"/>
    <w:rsid w:val="00545B86"/>
    <w:rsid w:val="00547CEC"/>
    <w:rsid w:val="005510D9"/>
    <w:rsid w:val="005512FE"/>
    <w:rsid w:val="005513F7"/>
    <w:rsid w:val="0055477F"/>
    <w:rsid w:val="005548A2"/>
    <w:rsid w:val="005548B3"/>
    <w:rsid w:val="00554B9A"/>
    <w:rsid w:val="00556400"/>
    <w:rsid w:val="00556D9F"/>
    <w:rsid w:val="00557A40"/>
    <w:rsid w:val="00560353"/>
    <w:rsid w:val="00560DBE"/>
    <w:rsid w:val="0056100A"/>
    <w:rsid w:val="005619BA"/>
    <w:rsid w:val="00561E86"/>
    <w:rsid w:val="00561E9D"/>
    <w:rsid w:val="00561F7A"/>
    <w:rsid w:val="005637A3"/>
    <w:rsid w:val="0056524D"/>
    <w:rsid w:val="00565789"/>
    <w:rsid w:val="00566305"/>
    <w:rsid w:val="00570538"/>
    <w:rsid w:val="00572CD9"/>
    <w:rsid w:val="0057337E"/>
    <w:rsid w:val="00574D8C"/>
    <w:rsid w:val="00575AB1"/>
    <w:rsid w:val="00586016"/>
    <w:rsid w:val="00586A31"/>
    <w:rsid w:val="00590016"/>
    <w:rsid w:val="00592E51"/>
    <w:rsid w:val="00593886"/>
    <w:rsid w:val="00596D2A"/>
    <w:rsid w:val="005A06D1"/>
    <w:rsid w:val="005A1833"/>
    <w:rsid w:val="005A25AA"/>
    <w:rsid w:val="005A27C0"/>
    <w:rsid w:val="005A2B42"/>
    <w:rsid w:val="005A3FE9"/>
    <w:rsid w:val="005A60DD"/>
    <w:rsid w:val="005A70A7"/>
    <w:rsid w:val="005B0CD2"/>
    <w:rsid w:val="005B1FA8"/>
    <w:rsid w:val="005B3B10"/>
    <w:rsid w:val="005B559B"/>
    <w:rsid w:val="005B6202"/>
    <w:rsid w:val="005B77A2"/>
    <w:rsid w:val="005B7B4F"/>
    <w:rsid w:val="005C0468"/>
    <w:rsid w:val="005C2B55"/>
    <w:rsid w:val="005C363F"/>
    <w:rsid w:val="005C3F38"/>
    <w:rsid w:val="005C4681"/>
    <w:rsid w:val="005C52F6"/>
    <w:rsid w:val="005C745D"/>
    <w:rsid w:val="005C7C8D"/>
    <w:rsid w:val="005D0438"/>
    <w:rsid w:val="005D14C4"/>
    <w:rsid w:val="005D171D"/>
    <w:rsid w:val="005D35E3"/>
    <w:rsid w:val="005D3C19"/>
    <w:rsid w:val="005D45F2"/>
    <w:rsid w:val="005D5AFB"/>
    <w:rsid w:val="005D5BDC"/>
    <w:rsid w:val="005D5C3D"/>
    <w:rsid w:val="005D5C88"/>
    <w:rsid w:val="005D61EC"/>
    <w:rsid w:val="005D69C5"/>
    <w:rsid w:val="005D6DF2"/>
    <w:rsid w:val="005E0071"/>
    <w:rsid w:val="005E12FC"/>
    <w:rsid w:val="005E16E2"/>
    <w:rsid w:val="005E25DC"/>
    <w:rsid w:val="005E29F8"/>
    <w:rsid w:val="005E4AD3"/>
    <w:rsid w:val="005E7D3A"/>
    <w:rsid w:val="005F033F"/>
    <w:rsid w:val="005F0586"/>
    <w:rsid w:val="005F1728"/>
    <w:rsid w:val="005F3768"/>
    <w:rsid w:val="005F3936"/>
    <w:rsid w:val="005F4727"/>
    <w:rsid w:val="005F57B3"/>
    <w:rsid w:val="005F601A"/>
    <w:rsid w:val="005F695A"/>
    <w:rsid w:val="005F70B5"/>
    <w:rsid w:val="005F7EAC"/>
    <w:rsid w:val="00600C69"/>
    <w:rsid w:val="00601BC4"/>
    <w:rsid w:val="0060307E"/>
    <w:rsid w:val="006035D1"/>
    <w:rsid w:val="006042C8"/>
    <w:rsid w:val="00604582"/>
    <w:rsid w:val="00604CDD"/>
    <w:rsid w:val="00606766"/>
    <w:rsid w:val="006102C5"/>
    <w:rsid w:val="0061040B"/>
    <w:rsid w:val="0061062E"/>
    <w:rsid w:val="00610C80"/>
    <w:rsid w:val="006117A6"/>
    <w:rsid w:val="0061397C"/>
    <w:rsid w:val="00613CBC"/>
    <w:rsid w:val="00614607"/>
    <w:rsid w:val="00614FAB"/>
    <w:rsid w:val="00615B08"/>
    <w:rsid w:val="00617C7D"/>
    <w:rsid w:val="006206C7"/>
    <w:rsid w:val="00620DE0"/>
    <w:rsid w:val="00621878"/>
    <w:rsid w:val="0062212E"/>
    <w:rsid w:val="006230BE"/>
    <w:rsid w:val="00624431"/>
    <w:rsid w:val="006256D0"/>
    <w:rsid w:val="00626093"/>
    <w:rsid w:val="0062632D"/>
    <w:rsid w:val="00626EE1"/>
    <w:rsid w:val="00630084"/>
    <w:rsid w:val="00631EDC"/>
    <w:rsid w:val="00633144"/>
    <w:rsid w:val="006334C2"/>
    <w:rsid w:val="00634B53"/>
    <w:rsid w:val="00634E2A"/>
    <w:rsid w:val="00635403"/>
    <w:rsid w:val="00635BD3"/>
    <w:rsid w:val="00635E07"/>
    <w:rsid w:val="00636484"/>
    <w:rsid w:val="006365F0"/>
    <w:rsid w:val="00636601"/>
    <w:rsid w:val="00640327"/>
    <w:rsid w:val="00641090"/>
    <w:rsid w:val="0064358B"/>
    <w:rsid w:val="0064426C"/>
    <w:rsid w:val="006445A2"/>
    <w:rsid w:val="006452AC"/>
    <w:rsid w:val="006459FA"/>
    <w:rsid w:val="0064620B"/>
    <w:rsid w:val="006463B3"/>
    <w:rsid w:val="0065104C"/>
    <w:rsid w:val="006521F9"/>
    <w:rsid w:val="006528D4"/>
    <w:rsid w:val="006532CA"/>
    <w:rsid w:val="00653EFB"/>
    <w:rsid w:val="00654EEA"/>
    <w:rsid w:val="00655349"/>
    <w:rsid w:val="00655990"/>
    <w:rsid w:val="006606D1"/>
    <w:rsid w:val="006614B8"/>
    <w:rsid w:val="0066155A"/>
    <w:rsid w:val="00662805"/>
    <w:rsid w:val="0066289A"/>
    <w:rsid w:val="00664AFD"/>
    <w:rsid w:val="006657C9"/>
    <w:rsid w:val="00665D25"/>
    <w:rsid w:val="006662AB"/>
    <w:rsid w:val="006668FC"/>
    <w:rsid w:val="00666E0A"/>
    <w:rsid w:val="00667083"/>
    <w:rsid w:val="00667D6B"/>
    <w:rsid w:val="00670256"/>
    <w:rsid w:val="006702F6"/>
    <w:rsid w:val="00672DC0"/>
    <w:rsid w:val="006736C0"/>
    <w:rsid w:val="00674600"/>
    <w:rsid w:val="0067499E"/>
    <w:rsid w:val="0067579B"/>
    <w:rsid w:val="0067669D"/>
    <w:rsid w:val="006779E4"/>
    <w:rsid w:val="00680CC3"/>
    <w:rsid w:val="00680E04"/>
    <w:rsid w:val="00680E5F"/>
    <w:rsid w:val="0068732E"/>
    <w:rsid w:val="006914FA"/>
    <w:rsid w:val="006918A4"/>
    <w:rsid w:val="00692B2E"/>
    <w:rsid w:val="00694753"/>
    <w:rsid w:val="00695214"/>
    <w:rsid w:val="00695889"/>
    <w:rsid w:val="006960BF"/>
    <w:rsid w:val="00696840"/>
    <w:rsid w:val="00697764"/>
    <w:rsid w:val="006978BC"/>
    <w:rsid w:val="006A0922"/>
    <w:rsid w:val="006A0C86"/>
    <w:rsid w:val="006A1234"/>
    <w:rsid w:val="006A26ED"/>
    <w:rsid w:val="006A2AA3"/>
    <w:rsid w:val="006A345C"/>
    <w:rsid w:val="006A3C17"/>
    <w:rsid w:val="006A4556"/>
    <w:rsid w:val="006A4B87"/>
    <w:rsid w:val="006A5190"/>
    <w:rsid w:val="006A683A"/>
    <w:rsid w:val="006A6C81"/>
    <w:rsid w:val="006A6D76"/>
    <w:rsid w:val="006A7D8D"/>
    <w:rsid w:val="006B0813"/>
    <w:rsid w:val="006B2C52"/>
    <w:rsid w:val="006B3023"/>
    <w:rsid w:val="006B335E"/>
    <w:rsid w:val="006B452E"/>
    <w:rsid w:val="006B55A2"/>
    <w:rsid w:val="006B5A36"/>
    <w:rsid w:val="006B6418"/>
    <w:rsid w:val="006B7541"/>
    <w:rsid w:val="006B7F91"/>
    <w:rsid w:val="006C2869"/>
    <w:rsid w:val="006C32A1"/>
    <w:rsid w:val="006C3C92"/>
    <w:rsid w:val="006C41FC"/>
    <w:rsid w:val="006C498B"/>
    <w:rsid w:val="006C4E75"/>
    <w:rsid w:val="006C4E7A"/>
    <w:rsid w:val="006C53F1"/>
    <w:rsid w:val="006C58CE"/>
    <w:rsid w:val="006C5C4E"/>
    <w:rsid w:val="006C64C8"/>
    <w:rsid w:val="006C6918"/>
    <w:rsid w:val="006C6B56"/>
    <w:rsid w:val="006C6CFB"/>
    <w:rsid w:val="006C6FC4"/>
    <w:rsid w:val="006C7E6C"/>
    <w:rsid w:val="006D078B"/>
    <w:rsid w:val="006D335B"/>
    <w:rsid w:val="006D3E13"/>
    <w:rsid w:val="006D4B6A"/>
    <w:rsid w:val="006D5D9B"/>
    <w:rsid w:val="006D7843"/>
    <w:rsid w:val="006E059D"/>
    <w:rsid w:val="006E1762"/>
    <w:rsid w:val="006E2F4F"/>
    <w:rsid w:val="006E3B32"/>
    <w:rsid w:val="006E55A5"/>
    <w:rsid w:val="006E77FD"/>
    <w:rsid w:val="006F0110"/>
    <w:rsid w:val="006F0FB8"/>
    <w:rsid w:val="006F361F"/>
    <w:rsid w:val="006F4A6D"/>
    <w:rsid w:val="006F516B"/>
    <w:rsid w:val="006F6A54"/>
    <w:rsid w:val="006F7A47"/>
    <w:rsid w:val="007004CE"/>
    <w:rsid w:val="007009EA"/>
    <w:rsid w:val="00704D66"/>
    <w:rsid w:val="00710980"/>
    <w:rsid w:val="00710DC7"/>
    <w:rsid w:val="007120E1"/>
    <w:rsid w:val="00712C1E"/>
    <w:rsid w:val="00713886"/>
    <w:rsid w:val="0071542A"/>
    <w:rsid w:val="00715C79"/>
    <w:rsid w:val="0071632A"/>
    <w:rsid w:val="007168A6"/>
    <w:rsid w:val="00720642"/>
    <w:rsid w:val="00721FAD"/>
    <w:rsid w:val="00722E98"/>
    <w:rsid w:val="007245E7"/>
    <w:rsid w:val="007308B0"/>
    <w:rsid w:val="007312B5"/>
    <w:rsid w:val="007330B7"/>
    <w:rsid w:val="00734FCC"/>
    <w:rsid w:val="007359F4"/>
    <w:rsid w:val="007368B6"/>
    <w:rsid w:val="007401BD"/>
    <w:rsid w:val="00740AA2"/>
    <w:rsid w:val="007446C3"/>
    <w:rsid w:val="00746B75"/>
    <w:rsid w:val="00750F8F"/>
    <w:rsid w:val="00752A05"/>
    <w:rsid w:val="007533E3"/>
    <w:rsid w:val="007536CB"/>
    <w:rsid w:val="007544FD"/>
    <w:rsid w:val="00755069"/>
    <w:rsid w:val="00755095"/>
    <w:rsid w:val="00755F82"/>
    <w:rsid w:val="007618F7"/>
    <w:rsid w:val="00762ADD"/>
    <w:rsid w:val="007633ED"/>
    <w:rsid w:val="007639AC"/>
    <w:rsid w:val="00763AC2"/>
    <w:rsid w:val="00764949"/>
    <w:rsid w:val="0076577E"/>
    <w:rsid w:val="00765A57"/>
    <w:rsid w:val="0076613E"/>
    <w:rsid w:val="007672ED"/>
    <w:rsid w:val="00770C0A"/>
    <w:rsid w:val="00771DB4"/>
    <w:rsid w:val="00772359"/>
    <w:rsid w:val="00772431"/>
    <w:rsid w:val="00772D6F"/>
    <w:rsid w:val="0077460B"/>
    <w:rsid w:val="00774ED9"/>
    <w:rsid w:val="00774FAE"/>
    <w:rsid w:val="00775A10"/>
    <w:rsid w:val="00775FC5"/>
    <w:rsid w:val="0077740B"/>
    <w:rsid w:val="00777ECE"/>
    <w:rsid w:val="00783434"/>
    <w:rsid w:val="00783C8B"/>
    <w:rsid w:val="007840AC"/>
    <w:rsid w:val="00784B97"/>
    <w:rsid w:val="007851FE"/>
    <w:rsid w:val="00785516"/>
    <w:rsid w:val="00787A60"/>
    <w:rsid w:val="0079044E"/>
    <w:rsid w:val="00791F3F"/>
    <w:rsid w:val="00792825"/>
    <w:rsid w:val="00792DD3"/>
    <w:rsid w:val="00794805"/>
    <w:rsid w:val="00795865"/>
    <w:rsid w:val="00795E6C"/>
    <w:rsid w:val="007963DB"/>
    <w:rsid w:val="00797577"/>
    <w:rsid w:val="007A2296"/>
    <w:rsid w:val="007A30D3"/>
    <w:rsid w:val="007A4ECB"/>
    <w:rsid w:val="007A4F6B"/>
    <w:rsid w:val="007A5198"/>
    <w:rsid w:val="007A7549"/>
    <w:rsid w:val="007A77E2"/>
    <w:rsid w:val="007B0082"/>
    <w:rsid w:val="007B083A"/>
    <w:rsid w:val="007B1BEF"/>
    <w:rsid w:val="007B236D"/>
    <w:rsid w:val="007B31C8"/>
    <w:rsid w:val="007B40A5"/>
    <w:rsid w:val="007B46C9"/>
    <w:rsid w:val="007B551E"/>
    <w:rsid w:val="007B57E0"/>
    <w:rsid w:val="007B63E4"/>
    <w:rsid w:val="007C0DDA"/>
    <w:rsid w:val="007C2001"/>
    <w:rsid w:val="007C27C6"/>
    <w:rsid w:val="007C375C"/>
    <w:rsid w:val="007C53D0"/>
    <w:rsid w:val="007C5A3D"/>
    <w:rsid w:val="007D01E0"/>
    <w:rsid w:val="007D0BD3"/>
    <w:rsid w:val="007D11E5"/>
    <w:rsid w:val="007D18F3"/>
    <w:rsid w:val="007D1904"/>
    <w:rsid w:val="007D2684"/>
    <w:rsid w:val="007D3065"/>
    <w:rsid w:val="007D361E"/>
    <w:rsid w:val="007D6C6B"/>
    <w:rsid w:val="007E1363"/>
    <w:rsid w:val="007E1938"/>
    <w:rsid w:val="007E2EB8"/>
    <w:rsid w:val="007E2FBC"/>
    <w:rsid w:val="007E3AD1"/>
    <w:rsid w:val="007E3DBF"/>
    <w:rsid w:val="007F0098"/>
    <w:rsid w:val="007F115D"/>
    <w:rsid w:val="007F12E1"/>
    <w:rsid w:val="007F1A13"/>
    <w:rsid w:val="007F4111"/>
    <w:rsid w:val="007F41F6"/>
    <w:rsid w:val="007F5863"/>
    <w:rsid w:val="007F67AC"/>
    <w:rsid w:val="007F6D75"/>
    <w:rsid w:val="007F7D00"/>
    <w:rsid w:val="008001A0"/>
    <w:rsid w:val="008003BA"/>
    <w:rsid w:val="008038B3"/>
    <w:rsid w:val="00803B21"/>
    <w:rsid w:val="0080404A"/>
    <w:rsid w:val="00804214"/>
    <w:rsid w:val="00806A4D"/>
    <w:rsid w:val="00806BDA"/>
    <w:rsid w:val="00806EA4"/>
    <w:rsid w:val="008075F4"/>
    <w:rsid w:val="008101C7"/>
    <w:rsid w:val="00811620"/>
    <w:rsid w:val="008119ED"/>
    <w:rsid w:val="00812440"/>
    <w:rsid w:val="00812BDF"/>
    <w:rsid w:val="00813684"/>
    <w:rsid w:val="00813C7E"/>
    <w:rsid w:val="00815EAB"/>
    <w:rsid w:val="00817F87"/>
    <w:rsid w:val="00817FE1"/>
    <w:rsid w:val="00821E4C"/>
    <w:rsid w:val="00822936"/>
    <w:rsid w:val="00823AEA"/>
    <w:rsid w:val="0082440E"/>
    <w:rsid w:val="00824491"/>
    <w:rsid w:val="00825D3F"/>
    <w:rsid w:val="008267B9"/>
    <w:rsid w:val="0082700E"/>
    <w:rsid w:val="00827519"/>
    <w:rsid w:val="00827635"/>
    <w:rsid w:val="00830239"/>
    <w:rsid w:val="00830CCD"/>
    <w:rsid w:val="008311D2"/>
    <w:rsid w:val="00831D80"/>
    <w:rsid w:val="00832274"/>
    <w:rsid w:val="008338A3"/>
    <w:rsid w:val="00834AB3"/>
    <w:rsid w:val="008352DB"/>
    <w:rsid w:val="00836F08"/>
    <w:rsid w:val="0083768E"/>
    <w:rsid w:val="0084018E"/>
    <w:rsid w:val="00840731"/>
    <w:rsid w:val="00840914"/>
    <w:rsid w:val="0084277F"/>
    <w:rsid w:val="00842AE7"/>
    <w:rsid w:val="0084346D"/>
    <w:rsid w:val="00843AFA"/>
    <w:rsid w:val="00843C8F"/>
    <w:rsid w:val="00844A71"/>
    <w:rsid w:val="00844E1B"/>
    <w:rsid w:val="00844E46"/>
    <w:rsid w:val="00845B1F"/>
    <w:rsid w:val="008469C5"/>
    <w:rsid w:val="00851985"/>
    <w:rsid w:val="00851E3A"/>
    <w:rsid w:val="00851F7B"/>
    <w:rsid w:val="008545F0"/>
    <w:rsid w:val="00854688"/>
    <w:rsid w:val="0085476F"/>
    <w:rsid w:val="00855196"/>
    <w:rsid w:val="00856036"/>
    <w:rsid w:val="00857274"/>
    <w:rsid w:val="00860052"/>
    <w:rsid w:val="008601AC"/>
    <w:rsid w:val="00861B6D"/>
    <w:rsid w:val="00861F21"/>
    <w:rsid w:val="008623CC"/>
    <w:rsid w:val="0086390B"/>
    <w:rsid w:val="00865DD7"/>
    <w:rsid w:val="0086648C"/>
    <w:rsid w:val="00866F83"/>
    <w:rsid w:val="00866FA5"/>
    <w:rsid w:val="00872B5A"/>
    <w:rsid w:val="0087361B"/>
    <w:rsid w:val="00874015"/>
    <w:rsid w:val="00874B83"/>
    <w:rsid w:val="008763AA"/>
    <w:rsid w:val="00876F8B"/>
    <w:rsid w:val="00877843"/>
    <w:rsid w:val="00880C96"/>
    <w:rsid w:val="00881347"/>
    <w:rsid w:val="00882209"/>
    <w:rsid w:val="008832BC"/>
    <w:rsid w:val="00884018"/>
    <w:rsid w:val="0088474B"/>
    <w:rsid w:val="0088505D"/>
    <w:rsid w:val="008854F2"/>
    <w:rsid w:val="0088576B"/>
    <w:rsid w:val="00886C10"/>
    <w:rsid w:val="00887931"/>
    <w:rsid w:val="00892DCD"/>
    <w:rsid w:val="00894027"/>
    <w:rsid w:val="00894287"/>
    <w:rsid w:val="008942B6"/>
    <w:rsid w:val="0089442B"/>
    <w:rsid w:val="00894660"/>
    <w:rsid w:val="008954FD"/>
    <w:rsid w:val="00897506"/>
    <w:rsid w:val="008A0624"/>
    <w:rsid w:val="008A1429"/>
    <w:rsid w:val="008A2265"/>
    <w:rsid w:val="008A2E68"/>
    <w:rsid w:val="008A4D52"/>
    <w:rsid w:val="008A60C4"/>
    <w:rsid w:val="008A618F"/>
    <w:rsid w:val="008A6EFB"/>
    <w:rsid w:val="008A72FF"/>
    <w:rsid w:val="008B0C9B"/>
    <w:rsid w:val="008B1193"/>
    <w:rsid w:val="008B1391"/>
    <w:rsid w:val="008B575F"/>
    <w:rsid w:val="008B5A97"/>
    <w:rsid w:val="008B712B"/>
    <w:rsid w:val="008B720C"/>
    <w:rsid w:val="008C06AD"/>
    <w:rsid w:val="008C09D5"/>
    <w:rsid w:val="008C11D0"/>
    <w:rsid w:val="008C1ED5"/>
    <w:rsid w:val="008C1FA5"/>
    <w:rsid w:val="008C27B3"/>
    <w:rsid w:val="008C36D0"/>
    <w:rsid w:val="008C3E59"/>
    <w:rsid w:val="008C450F"/>
    <w:rsid w:val="008C5AE3"/>
    <w:rsid w:val="008C6840"/>
    <w:rsid w:val="008D0AB8"/>
    <w:rsid w:val="008D0B4E"/>
    <w:rsid w:val="008D10B6"/>
    <w:rsid w:val="008D3B33"/>
    <w:rsid w:val="008D3D93"/>
    <w:rsid w:val="008D400F"/>
    <w:rsid w:val="008D56A9"/>
    <w:rsid w:val="008D5C35"/>
    <w:rsid w:val="008D67EE"/>
    <w:rsid w:val="008D7A6D"/>
    <w:rsid w:val="008E0F60"/>
    <w:rsid w:val="008E1134"/>
    <w:rsid w:val="008E14CE"/>
    <w:rsid w:val="008E206D"/>
    <w:rsid w:val="008E3551"/>
    <w:rsid w:val="008E3670"/>
    <w:rsid w:val="008E377B"/>
    <w:rsid w:val="008E40E1"/>
    <w:rsid w:val="008E4310"/>
    <w:rsid w:val="008E4727"/>
    <w:rsid w:val="008E60DA"/>
    <w:rsid w:val="008E6BDF"/>
    <w:rsid w:val="008F0780"/>
    <w:rsid w:val="008F0C4F"/>
    <w:rsid w:val="008F22CC"/>
    <w:rsid w:val="008F32DB"/>
    <w:rsid w:val="008F3813"/>
    <w:rsid w:val="008F4A98"/>
    <w:rsid w:val="008F68C9"/>
    <w:rsid w:val="008F6C20"/>
    <w:rsid w:val="008F77EF"/>
    <w:rsid w:val="009001B7"/>
    <w:rsid w:val="00901A89"/>
    <w:rsid w:val="0090252A"/>
    <w:rsid w:val="00903633"/>
    <w:rsid w:val="009036BE"/>
    <w:rsid w:val="00904172"/>
    <w:rsid w:val="00904E4E"/>
    <w:rsid w:val="00905921"/>
    <w:rsid w:val="00906FFA"/>
    <w:rsid w:val="009101ED"/>
    <w:rsid w:val="009107B7"/>
    <w:rsid w:val="00910B0E"/>
    <w:rsid w:val="00911AD9"/>
    <w:rsid w:val="00911B15"/>
    <w:rsid w:val="00913081"/>
    <w:rsid w:val="00914E02"/>
    <w:rsid w:val="0091670F"/>
    <w:rsid w:val="00916CF4"/>
    <w:rsid w:val="00920286"/>
    <w:rsid w:val="009204E2"/>
    <w:rsid w:val="00921A15"/>
    <w:rsid w:val="00922554"/>
    <w:rsid w:val="00922824"/>
    <w:rsid w:val="009234DE"/>
    <w:rsid w:val="00924302"/>
    <w:rsid w:val="00924443"/>
    <w:rsid w:val="00924E7C"/>
    <w:rsid w:val="009265CF"/>
    <w:rsid w:val="009271BB"/>
    <w:rsid w:val="009271FD"/>
    <w:rsid w:val="00930392"/>
    <w:rsid w:val="009306C5"/>
    <w:rsid w:val="00931469"/>
    <w:rsid w:val="0093275A"/>
    <w:rsid w:val="00932A09"/>
    <w:rsid w:val="009331F8"/>
    <w:rsid w:val="009412A1"/>
    <w:rsid w:val="009419B5"/>
    <w:rsid w:val="00941FB6"/>
    <w:rsid w:val="00943200"/>
    <w:rsid w:val="00943B78"/>
    <w:rsid w:val="00945257"/>
    <w:rsid w:val="009452F0"/>
    <w:rsid w:val="009454D6"/>
    <w:rsid w:val="00945ADF"/>
    <w:rsid w:val="009469F7"/>
    <w:rsid w:val="00950937"/>
    <w:rsid w:val="009514A7"/>
    <w:rsid w:val="009519C7"/>
    <w:rsid w:val="009553D1"/>
    <w:rsid w:val="009564A6"/>
    <w:rsid w:val="00956505"/>
    <w:rsid w:val="0096070D"/>
    <w:rsid w:val="00961623"/>
    <w:rsid w:val="009617B4"/>
    <w:rsid w:val="00962717"/>
    <w:rsid w:val="00962BD6"/>
    <w:rsid w:val="009662B8"/>
    <w:rsid w:val="00966CED"/>
    <w:rsid w:val="0097082A"/>
    <w:rsid w:val="00970C39"/>
    <w:rsid w:val="009719DA"/>
    <w:rsid w:val="00972F3D"/>
    <w:rsid w:val="00973451"/>
    <w:rsid w:val="009766C6"/>
    <w:rsid w:val="0097691E"/>
    <w:rsid w:val="00977386"/>
    <w:rsid w:val="00977AD3"/>
    <w:rsid w:val="00977BF9"/>
    <w:rsid w:val="009814F9"/>
    <w:rsid w:val="00983091"/>
    <w:rsid w:val="00983406"/>
    <w:rsid w:val="00984A3A"/>
    <w:rsid w:val="00985559"/>
    <w:rsid w:val="0098587E"/>
    <w:rsid w:val="00985EE2"/>
    <w:rsid w:val="00986FF7"/>
    <w:rsid w:val="00991301"/>
    <w:rsid w:val="00994071"/>
    <w:rsid w:val="00994270"/>
    <w:rsid w:val="009970E0"/>
    <w:rsid w:val="00997A6B"/>
    <w:rsid w:val="009A21A3"/>
    <w:rsid w:val="009A400F"/>
    <w:rsid w:val="009A438E"/>
    <w:rsid w:val="009A5766"/>
    <w:rsid w:val="009A6920"/>
    <w:rsid w:val="009A6D9E"/>
    <w:rsid w:val="009A7351"/>
    <w:rsid w:val="009A7FC7"/>
    <w:rsid w:val="009B051C"/>
    <w:rsid w:val="009B073F"/>
    <w:rsid w:val="009B3398"/>
    <w:rsid w:val="009B35AF"/>
    <w:rsid w:val="009B3D0A"/>
    <w:rsid w:val="009B5563"/>
    <w:rsid w:val="009B6B85"/>
    <w:rsid w:val="009B7041"/>
    <w:rsid w:val="009B7268"/>
    <w:rsid w:val="009C137D"/>
    <w:rsid w:val="009C2254"/>
    <w:rsid w:val="009C2DA3"/>
    <w:rsid w:val="009C564A"/>
    <w:rsid w:val="009C5A93"/>
    <w:rsid w:val="009C6B83"/>
    <w:rsid w:val="009C6F72"/>
    <w:rsid w:val="009C7555"/>
    <w:rsid w:val="009D0AF0"/>
    <w:rsid w:val="009D178E"/>
    <w:rsid w:val="009D21B7"/>
    <w:rsid w:val="009D26CF"/>
    <w:rsid w:val="009D2ED8"/>
    <w:rsid w:val="009D4B90"/>
    <w:rsid w:val="009D60F9"/>
    <w:rsid w:val="009D6D0C"/>
    <w:rsid w:val="009E4827"/>
    <w:rsid w:val="009E4997"/>
    <w:rsid w:val="009E65A1"/>
    <w:rsid w:val="009E6B96"/>
    <w:rsid w:val="009E7307"/>
    <w:rsid w:val="009E76FD"/>
    <w:rsid w:val="009F0238"/>
    <w:rsid w:val="009F3107"/>
    <w:rsid w:val="009F5E29"/>
    <w:rsid w:val="009F66A3"/>
    <w:rsid w:val="009F6875"/>
    <w:rsid w:val="009F6B2A"/>
    <w:rsid w:val="009F7183"/>
    <w:rsid w:val="009F76D9"/>
    <w:rsid w:val="00A0230B"/>
    <w:rsid w:val="00A0325D"/>
    <w:rsid w:val="00A03FAC"/>
    <w:rsid w:val="00A04820"/>
    <w:rsid w:val="00A048EA"/>
    <w:rsid w:val="00A05A45"/>
    <w:rsid w:val="00A05F2A"/>
    <w:rsid w:val="00A073CD"/>
    <w:rsid w:val="00A11D3C"/>
    <w:rsid w:val="00A123C4"/>
    <w:rsid w:val="00A138F7"/>
    <w:rsid w:val="00A14DB2"/>
    <w:rsid w:val="00A152ED"/>
    <w:rsid w:val="00A15526"/>
    <w:rsid w:val="00A15AF9"/>
    <w:rsid w:val="00A15C8B"/>
    <w:rsid w:val="00A16893"/>
    <w:rsid w:val="00A17C3C"/>
    <w:rsid w:val="00A20257"/>
    <w:rsid w:val="00A209E5"/>
    <w:rsid w:val="00A22814"/>
    <w:rsid w:val="00A24040"/>
    <w:rsid w:val="00A2434D"/>
    <w:rsid w:val="00A24370"/>
    <w:rsid w:val="00A24717"/>
    <w:rsid w:val="00A270B8"/>
    <w:rsid w:val="00A278A0"/>
    <w:rsid w:val="00A31235"/>
    <w:rsid w:val="00A32D58"/>
    <w:rsid w:val="00A33335"/>
    <w:rsid w:val="00A345CB"/>
    <w:rsid w:val="00A3530C"/>
    <w:rsid w:val="00A354C6"/>
    <w:rsid w:val="00A35FE1"/>
    <w:rsid w:val="00A364F9"/>
    <w:rsid w:val="00A36507"/>
    <w:rsid w:val="00A37D7A"/>
    <w:rsid w:val="00A405C4"/>
    <w:rsid w:val="00A4081F"/>
    <w:rsid w:val="00A43EFB"/>
    <w:rsid w:val="00A43FEC"/>
    <w:rsid w:val="00A440BC"/>
    <w:rsid w:val="00A44175"/>
    <w:rsid w:val="00A45D2A"/>
    <w:rsid w:val="00A45DF9"/>
    <w:rsid w:val="00A4721C"/>
    <w:rsid w:val="00A47479"/>
    <w:rsid w:val="00A47CD5"/>
    <w:rsid w:val="00A47D45"/>
    <w:rsid w:val="00A50162"/>
    <w:rsid w:val="00A527DD"/>
    <w:rsid w:val="00A5344A"/>
    <w:rsid w:val="00A5361A"/>
    <w:rsid w:val="00A538B6"/>
    <w:rsid w:val="00A53CB5"/>
    <w:rsid w:val="00A54B45"/>
    <w:rsid w:val="00A5638E"/>
    <w:rsid w:val="00A5768F"/>
    <w:rsid w:val="00A60AAC"/>
    <w:rsid w:val="00A61701"/>
    <w:rsid w:val="00A65523"/>
    <w:rsid w:val="00A6640E"/>
    <w:rsid w:val="00A66599"/>
    <w:rsid w:val="00A66650"/>
    <w:rsid w:val="00A71B76"/>
    <w:rsid w:val="00A72100"/>
    <w:rsid w:val="00A7267A"/>
    <w:rsid w:val="00A74AF3"/>
    <w:rsid w:val="00A80333"/>
    <w:rsid w:val="00A809F1"/>
    <w:rsid w:val="00A82B7A"/>
    <w:rsid w:val="00A8398C"/>
    <w:rsid w:val="00A83B7D"/>
    <w:rsid w:val="00A83DF1"/>
    <w:rsid w:val="00A84987"/>
    <w:rsid w:val="00A87093"/>
    <w:rsid w:val="00A879D8"/>
    <w:rsid w:val="00A90EF8"/>
    <w:rsid w:val="00A913B9"/>
    <w:rsid w:val="00A922AD"/>
    <w:rsid w:val="00A9235F"/>
    <w:rsid w:val="00A94B0F"/>
    <w:rsid w:val="00A94DD3"/>
    <w:rsid w:val="00A95BF0"/>
    <w:rsid w:val="00A978B1"/>
    <w:rsid w:val="00AA0AF1"/>
    <w:rsid w:val="00AA22B7"/>
    <w:rsid w:val="00AA24CB"/>
    <w:rsid w:val="00AA27F2"/>
    <w:rsid w:val="00AA3916"/>
    <w:rsid w:val="00AA4E51"/>
    <w:rsid w:val="00AA4E52"/>
    <w:rsid w:val="00AA4F80"/>
    <w:rsid w:val="00AA51F6"/>
    <w:rsid w:val="00AA6CCB"/>
    <w:rsid w:val="00AB0752"/>
    <w:rsid w:val="00AB11BB"/>
    <w:rsid w:val="00AB1DD6"/>
    <w:rsid w:val="00AB2459"/>
    <w:rsid w:val="00AB2639"/>
    <w:rsid w:val="00AB3B89"/>
    <w:rsid w:val="00AB4EA6"/>
    <w:rsid w:val="00AB5E62"/>
    <w:rsid w:val="00AB5F82"/>
    <w:rsid w:val="00AB6273"/>
    <w:rsid w:val="00AB6638"/>
    <w:rsid w:val="00AC24E0"/>
    <w:rsid w:val="00AC3167"/>
    <w:rsid w:val="00AC74A5"/>
    <w:rsid w:val="00AD00FB"/>
    <w:rsid w:val="00AD024F"/>
    <w:rsid w:val="00AD1442"/>
    <w:rsid w:val="00AD1CA7"/>
    <w:rsid w:val="00AD25B4"/>
    <w:rsid w:val="00AD34B4"/>
    <w:rsid w:val="00AD4D0B"/>
    <w:rsid w:val="00AD572B"/>
    <w:rsid w:val="00AD6E93"/>
    <w:rsid w:val="00AD7053"/>
    <w:rsid w:val="00AE031F"/>
    <w:rsid w:val="00AE0C8C"/>
    <w:rsid w:val="00AE55C9"/>
    <w:rsid w:val="00AE644B"/>
    <w:rsid w:val="00AE78BD"/>
    <w:rsid w:val="00AE7AA0"/>
    <w:rsid w:val="00AF1423"/>
    <w:rsid w:val="00AF2967"/>
    <w:rsid w:val="00AF2DA7"/>
    <w:rsid w:val="00AF2FCE"/>
    <w:rsid w:val="00AF390C"/>
    <w:rsid w:val="00AF4CD7"/>
    <w:rsid w:val="00AF6689"/>
    <w:rsid w:val="00AF7CA8"/>
    <w:rsid w:val="00B0032A"/>
    <w:rsid w:val="00B00B75"/>
    <w:rsid w:val="00B0193F"/>
    <w:rsid w:val="00B02568"/>
    <w:rsid w:val="00B03629"/>
    <w:rsid w:val="00B0373B"/>
    <w:rsid w:val="00B03E98"/>
    <w:rsid w:val="00B06682"/>
    <w:rsid w:val="00B06797"/>
    <w:rsid w:val="00B07425"/>
    <w:rsid w:val="00B07E4D"/>
    <w:rsid w:val="00B07EF6"/>
    <w:rsid w:val="00B10B4E"/>
    <w:rsid w:val="00B113F5"/>
    <w:rsid w:val="00B115E1"/>
    <w:rsid w:val="00B12E2C"/>
    <w:rsid w:val="00B137FC"/>
    <w:rsid w:val="00B13E75"/>
    <w:rsid w:val="00B14FFD"/>
    <w:rsid w:val="00B17D31"/>
    <w:rsid w:val="00B22E96"/>
    <w:rsid w:val="00B23714"/>
    <w:rsid w:val="00B237EA"/>
    <w:rsid w:val="00B24622"/>
    <w:rsid w:val="00B256CD"/>
    <w:rsid w:val="00B25ADE"/>
    <w:rsid w:val="00B25B55"/>
    <w:rsid w:val="00B26476"/>
    <w:rsid w:val="00B27638"/>
    <w:rsid w:val="00B3008E"/>
    <w:rsid w:val="00B30383"/>
    <w:rsid w:val="00B30BEE"/>
    <w:rsid w:val="00B31CB8"/>
    <w:rsid w:val="00B32784"/>
    <w:rsid w:val="00B329F3"/>
    <w:rsid w:val="00B33631"/>
    <w:rsid w:val="00B34BC9"/>
    <w:rsid w:val="00B35441"/>
    <w:rsid w:val="00B41E5F"/>
    <w:rsid w:val="00B43609"/>
    <w:rsid w:val="00B4485A"/>
    <w:rsid w:val="00B44C27"/>
    <w:rsid w:val="00B51759"/>
    <w:rsid w:val="00B524EA"/>
    <w:rsid w:val="00B5370F"/>
    <w:rsid w:val="00B53E86"/>
    <w:rsid w:val="00B53E9F"/>
    <w:rsid w:val="00B54192"/>
    <w:rsid w:val="00B546B6"/>
    <w:rsid w:val="00B554B7"/>
    <w:rsid w:val="00B5574C"/>
    <w:rsid w:val="00B55E58"/>
    <w:rsid w:val="00B55E99"/>
    <w:rsid w:val="00B579D8"/>
    <w:rsid w:val="00B600B4"/>
    <w:rsid w:val="00B628EA"/>
    <w:rsid w:val="00B62D84"/>
    <w:rsid w:val="00B62E23"/>
    <w:rsid w:val="00B670F7"/>
    <w:rsid w:val="00B67665"/>
    <w:rsid w:val="00B679D8"/>
    <w:rsid w:val="00B70DFB"/>
    <w:rsid w:val="00B70F51"/>
    <w:rsid w:val="00B72D46"/>
    <w:rsid w:val="00B74594"/>
    <w:rsid w:val="00B7601C"/>
    <w:rsid w:val="00B765E1"/>
    <w:rsid w:val="00B80227"/>
    <w:rsid w:val="00B80330"/>
    <w:rsid w:val="00B80DCE"/>
    <w:rsid w:val="00B8134E"/>
    <w:rsid w:val="00B82489"/>
    <w:rsid w:val="00B827C8"/>
    <w:rsid w:val="00B82931"/>
    <w:rsid w:val="00B83F8A"/>
    <w:rsid w:val="00B840C8"/>
    <w:rsid w:val="00B85BE4"/>
    <w:rsid w:val="00B85FF4"/>
    <w:rsid w:val="00B87D77"/>
    <w:rsid w:val="00B903F0"/>
    <w:rsid w:val="00B948E0"/>
    <w:rsid w:val="00B95151"/>
    <w:rsid w:val="00B95D4E"/>
    <w:rsid w:val="00B96B7B"/>
    <w:rsid w:val="00BA0164"/>
    <w:rsid w:val="00BA0217"/>
    <w:rsid w:val="00BA02F6"/>
    <w:rsid w:val="00BA061E"/>
    <w:rsid w:val="00BA068C"/>
    <w:rsid w:val="00BA0CAC"/>
    <w:rsid w:val="00BA20ED"/>
    <w:rsid w:val="00BA3101"/>
    <w:rsid w:val="00BA3A43"/>
    <w:rsid w:val="00BA741D"/>
    <w:rsid w:val="00BB0806"/>
    <w:rsid w:val="00BB0920"/>
    <w:rsid w:val="00BB4BF9"/>
    <w:rsid w:val="00BB526C"/>
    <w:rsid w:val="00BB6B9C"/>
    <w:rsid w:val="00BB6DF4"/>
    <w:rsid w:val="00BB7A41"/>
    <w:rsid w:val="00BB7BF6"/>
    <w:rsid w:val="00BC2F4F"/>
    <w:rsid w:val="00BC4999"/>
    <w:rsid w:val="00BC4CF1"/>
    <w:rsid w:val="00BC5468"/>
    <w:rsid w:val="00BC66C3"/>
    <w:rsid w:val="00BD0DA0"/>
    <w:rsid w:val="00BD118E"/>
    <w:rsid w:val="00BD1ED3"/>
    <w:rsid w:val="00BD2A46"/>
    <w:rsid w:val="00BD2FF6"/>
    <w:rsid w:val="00BD355B"/>
    <w:rsid w:val="00BD4437"/>
    <w:rsid w:val="00BD44DE"/>
    <w:rsid w:val="00BD48F7"/>
    <w:rsid w:val="00BD6979"/>
    <w:rsid w:val="00BE0733"/>
    <w:rsid w:val="00BE3132"/>
    <w:rsid w:val="00BE4F86"/>
    <w:rsid w:val="00BE68D9"/>
    <w:rsid w:val="00BE6D80"/>
    <w:rsid w:val="00BF0B99"/>
    <w:rsid w:val="00BF0FEF"/>
    <w:rsid w:val="00BF14F3"/>
    <w:rsid w:val="00BF1961"/>
    <w:rsid w:val="00BF1EF0"/>
    <w:rsid w:val="00BF4D1E"/>
    <w:rsid w:val="00BF5299"/>
    <w:rsid w:val="00BF53BF"/>
    <w:rsid w:val="00BF55B8"/>
    <w:rsid w:val="00BF5FEB"/>
    <w:rsid w:val="00BF6854"/>
    <w:rsid w:val="00BF6BAF"/>
    <w:rsid w:val="00BF74EE"/>
    <w:rsid w:val="00C010F3"/>
    <w:rsid w:val="00C01756"/>
    <w:rsid w:val="00C01A5D"/>
    <w:rsid w:val="00C01CF8"/>
    <w:rsid w:val="00C03056"/>
    <w:rsid w:val="00C04030"/>
    <w:rsid w:val="00C044E3"/>
    <w:rsid w:val="00C05C33"/>
    <w:rsid w:val="00C05D40"/>
    <w:rsid w:val="00C07977"/>
    <w:rsid w:val="00C10C5A"/>
    <w:rsid w:val="00C10F27"/>
    <w:rsid w:val="00C133E2"/>
    <w:rsid w:val="00C13E93"/>
    <w:rsid w:val="00C14A70"/>
    <w:rsid w:val="00C163C0"/>
    <w:rsid w:val="00C1747F"/>
    <w:rsid w:val="00C17704"/>
    <w:rsid w:val="00C17BA4"/>
    <w:rsid w:val="00C20B76"/>
    <w:rsid w:val="00C23347"/>
    <w:rsid w:val="00C238B5"/>
    <w:rsid w:val="00C239D6"/>
    <w:rsid w:val="00C24C4A"/>
    <w:rsid w:val="00C24F50"/>
    <w:rsid w:val="00C250D6"/>
    <w:rsid w:val="00C256B5"/>
    <w:rsid w:val="00C258D4"/>
    <w:rsid w:val="00C25E57"/>
    <w:rsid w:val="00C302A3"/>
    <w:rsid w:val="00C3134B"/>
    <w:rsid w:val="00C346B4"/>
    <w:rsid w:val="00C362EE"/>
    <w:rsid w:val="00C36647"/>
    <w:rsid w:val="00C36F10"/>
    <w:rsid w:val="00C36F26"/>
    <w:rsid w:val="00C372AA"/>
    <w:rsid w:val="00C375B2"/>
    <w:rsid w:val="00C4251E"/>
    <w:rsid w:val="00C430A3"/>
    <w:rsid w:val="00C4397D"/>
    <w:rsid w:val="00C45515"/>
    <w:rsid w:val="00C4676A"/>
    <w:rsid w:val="00C4701F"/>
    <w:rsid w:val="00C471C1"/>
    <w:rsid w:val="00C519CC"/>
    <w:rsid w:val="00C53519"/>
    <w:rsid w:val="00C53545"/>
    <w:rsid w:val="00C5395F"/>
    <w:rsid w:val="00C53991"/>
    <w:rsid w:val="00C557FE"/>
    <w:rsid w:val="00C56353"/>
    <w:rsid w:val="00C566AC"/>
    <w:rsid w:val="00C6017A"/>
    <w:rsid w:val="00C606B7"/>
    <w:rsid w:val="00C60F4C"/>
    <w:rsid w:val="00C61C10"/>
    <w:rsid w:val="00C62CBB"/>
    <w:rsid w:val="00C62E3F"/>
    <w:rsid w:val="00C62E9E"/>
    <w:rsid w:val="00C631AD"/>
    <w:rsid w:val="00C6401B"/>
    <w:rsid w:val="00C66C11"/>
    <w:rsid w:val="00C67116"/>
    <w:rsid w:val="00C67166"/>
    <w:rsid w:val="00C67306"/>
    <w:rsid w:val="00C72077"/>
    <w:rsid w:val="00C72087"/>
    <w:rsid w:val="00C73C32"/>
    <w:rsid w:val="00C742EF"/>
    <w:rsid w:val="00C753A5"/>
    <w:rsid w:val="00C76802"/>
    <w:rsid w:val="00C76F2F"/>
    <w:rsid w:val="00C770F4"/>
    <w:rsid w:val="00C77FDB"/>
    <w:rsid w:val="00C808A5"/>
    <w:rsid w:val="00C80C34"/>
    <w:rsid w:val="00C8231F"/>
    <w:rsid w:val="00C826DB"/>
    <w:rsid w:val="00C83C08"/>
    <w:rsid w:val="00C84272"/>
    <w:rsid w:val="00C8677A"/>
    <w:rsid w:val="00C911BB"/>
    <w:rsid w:val="00C925E9"/>
    <w:rsid w:val="00C9384B"/>
    <w:rsid w:val="00C93B48"/>
    <w:rsid w:val="00C95641"/>
    <w:rsid w:val="00C95C94"/>
    <w:rsid w:val="00C964E0"/>
    <w:rsid w:val="00C974E7"/>
    <w:rsid w:val="00C97720"/>
    <w:rsid w:val="00C9781A"/>
    <w:rsid w:val="00C9782E"/>
    <w:rsid w:val="00CA1088"/>
    <w:rsid w:val="00CA179D"/>
    <w:rsid w:val="00CA2035"/>
    <w:rsid w:val="00CA268B"/>
    <w:rsid w:val="00CA31D3"/>
    <w:rsid w:val="00CA361D"/>
    <w:rsid w:val="00CA3EDB"/>
    <w:rsid w:val="00CA440A"/>
    <w:rsid w:val="00CA4610"/>
    <w:rsid w:val="00CA4816"/>
    <w:rsid w:val="00CA4A64"/>
    <w:rsid w:val="00CA5241"/>
    <w:rsid w:val="00CA6517"/>
    <w:rsid w:val="00CB15BC"/>
    <w:rsid w:val="00CB173E"/>
    <w:rsid w:val="00CB1817"/>
    <w:rsid w:val="00CB2758"/>
    <w:rsid w:val="00CB452B"/>
    <w:rsid w:val="00CB51B3"/>
    <w:rsid w:val="00CB5276"/>
    <w:rsid w:val="00CB57B0"/>
    <w:rsid w:val="00CB5915"/>
    <w:rsid w:val="00CB64F2"/>
    <w:rsid w:val="00CB7133"/>
    <w:rsid w:val="00CC0261"/>
    <w:rsid w:val="00CC06D2"/>
    <w:rsid w:val="00CC0FA5"/>
    <w:rsid w:val="00CC15EE"/>
    <w:rsid w:val="00CC28FD"/>
    <w:rsid w:val="00CC2B61"/>
    <w:rsid w:val="00CC43F5"/>
    <w:rsid w:val="00CC4465"/>
    <w:rsid w:val="00CC45C1"/>
    <w:rsid w:val="00CC5C9A"/>
    <w:rsid w:val="00CC5F31"/>
    <w:rsid w:val="00CC6452"/>
    <w:rsid w:val="00CC6551"/>
    <w:rsid w:val="00CC6932"/>
    <w:rsid w:val="00CC77E1"/>
    <w:rsid w:val="00CC79B4"/>
    <w:rsid w:val="00CD1E7A"/>
    <w:rsid w:val="00CD22F7"/>
    <w:rsid w:val="00CD390F"/>
    <w:rsid w:val="00CD4905"/>
    <w:rsid w:val="00CD4AA5"/>
    <w:rsid w:val="00CE047E"/>
    <w:rsid w:val="00CE1227"/>
    <w:rsid w:val="00CE1236"/>
    <w:rsid w:val="00CE2755"/>
    <w:rsid w:val="00CE63B7"/>
    <w:rsid w:val="00CF03AC"/>
    <w:rsid w:val="00CF192A"/>
    <w:rsid w:val="00CF1B07"/>
    <w:rsid w:val="00CF2307"/>
    <w:rsid w:val="00CF3608"/>
    <w:rsid w:val="00CF3F89"/>
    <w:rsid w:val="00CF68B7"/>
    <w:rsid w:val="00CF68CE"/>
    <w:rsid w:val="00CF6FC8"/>
    <w:rsid w:val="00D000F0"/>
    <w:rsid w:val="00D007B9"/>
    <w:rsid w:val="00D011AA"/>
    <w:rsid w:val="00D0300B"/>
    <w:rsid w:val="00D06652"/>
    <w:rsid w:val="00D06C0F"/>
    <w:rsid w:val="00D06E11"/>
    <w:rsid w:val="00D102CD"/>
    <w:rsid w:val="00D1092D"/>
    <w:rsid w:val="00D1150B"/>
    <w:rsid w:val="00D12AF3"/>
    <w:rsid w:val="00D1426F"/>
    <w:rsid w:val="00D14AB4"/>
    <w:rsid w:val="00D14BAE"/>
    <w:rsid w:val="00D14C0E"/>
    <w:rsid w:val="00D14D6C"/>
    <w:rsid w:val="00D14F11"/>
    <w:rsid w:val="00D1539B"/>
    <w:rsid w:val="00D15CE8"/>
    <w:rsid w:val="00D16689"/>
    <w:rsid w:val="00D16C11"/>
    <w:rsid w:val="00D16DE2"/>
    <w:rsid w:val="00D17995"/>
    <w:rsid w:val="00D217CD"/>
    <w:rsid w:val="00D218A6"/>
    <w:rsid w:val="00D22003"/>
    <w:rsid w:val="00D22810"/>
    <w:rsid w:val="00D22DA2"/>
    <w:rsid w:val="00D246CD"/>
    <w:rsid w:val="00D24DF9"/>
    <w:rsid w:val="00D313E4"/>
    <w:rsid w:val="00D32DEF"/>
    <w:rsid w:val="00D334F0"/>
    <w:rsid w:val="00D33DE6"/>
    <w:rsid w:val="00D33DF5"/>
    <w:rsid w:val="00D341D3"/>
    <w:rsid w:val="00D345B5"/>
    <w:rsid w:val="00D3595F"/>
    <w:rsid w:val="00D35DC7"/>
    <w:rsid w:val="00D362D4"/>
    <w:rsid w:val="00D36327"/>
    <w:rsid w:val="00D36FCB"/>
    <w:rsid w:val="00D4027B"/>
    <w:rsid w:val="00D40CAA"/>
    <w:rsid w:val="00D41364"/>
    <w:rsid w:val="00D42102"/>
    <w:rsid w:val="00D4294B"/>
    <w:rsid w:val="00D42EBA"/>
    <w:rsid w:val="00D44841"/>
    <w:rsid w:val="00D44AC8"/>
    <w:rsid w:val="00D44CAE"/>
    <w:rsid w:val="00D4502D"/>
    <w:rsid w:val="00D45C97"/>
    <w:rsid w:val="00D46663"/>
    <w:rsid w:val="00D46DCB"/>
    <w:rsid w:val="00D47E7F"/>
    <w:rsid w:val="00D5165F"/>
    <w:rsid w:val="00D52A5E"/>
    <w:rsid w:val="00D53F12"/>
    <w:rsid w:val="00D56DD6"/>
    <w:rsid w:val="00D57033"/>
    <w:rsid w:val="00D60B86"/>
    <w:rsid w:val="00D611AB"/>
    <w:rsid w:val="00D6180A"/>
    <w:rsid w:val="00D627B9"/>
    <w:rsid w:val="00D64F14"/>
    <w:rsid w:val="00D66181"/>
    <w:rsid w:val="00D666DC"/>
    <w:rsid w:val="00D66B8E"/>
    <w:rsid w:val="00D67726"/>
    <w:rsid w:val="00D711FD"/>
    <w:rsid w:val="00D71BA2"/>
    <w:rsid w:val="00D71E6E"/>
    <w:rsid w:val="00D73041"/>
    <w:rsid w:val="00D740B4"/>
    <w:rsid w:val="00D743D5"/>
    <w:rsid w:val="00D753FA"/>
    <w:rsid w:val="00D76699"/>
    <w:rsid w:val="00D76DA8"/>
    <w:rsid w:val="00D76E39"/>
    <w:rsid w:val="00D80195"/>
    <w:rsid w:val="00D80D45"/>
    <w:rsid w:val="00D80F1F"/>
    <w:rsid w:val="00D8166E"/>
    <w:rsid w:val="00D8187E"/>
    <w:rsid w:val="00D82CD9"/>
    <w:rsid w:val="00D84136"/>
    <w:rsid w:val="00D857A7"/>
    <w:rsid w:val="00D86C7B"/>
    <w:rsid w:val="00D86D1D"/>
    <w:rsid w:val="00D91A93"/>
    <w:rsid w:val="00D93595"/>
    <w:rsid w:val="00D95A93"/>
    <w:rsid w:val="00D95C64"/>
    <w:rsid w:val="00D96C27"/>
    <w:rsid w:val="00D9715A"/>
    <w:rsid w:val="00D97A25"/>
    <w:rsid w:val="00D97E8B"/>
    <w:rsid w:val="00DA120F"/>
    <w:rsid w:val="00DA1F6A"/>
    <w:rsid w:val="00DA2134"/>
    <w:rsid w:val="00DA21C2"/>
    <w:rsid w:val="00DA3D9D"/>
    <w:rsid w:val="00DA3FD8"/>
    <w:rsid w:val="00DA698F"/>
    <w:rsid w:val="00DA6C59"/>
    <w:rsid w:val="00DA6EB8"/>
    <w:rsid w:val="00DA7A74"/>
    <w:rsid w:val="00DB059E"/>
    <w:rsid w:val="00DB3B03"/>
    <w:rsid w:val="00DB3B95"/>
    <w:rsid w:val="00DB51DA"/>
    <w:rsid w:val="00DB561F"/>
    <w:rsid w:val="00DB7AD3"/>
    <w:rsid w:val="00DC0316"/>
    <w:rsid w:val="00DC0E15"/>
    <w:rsid w:val="00DC15B1"/>
    <w:rsid w:val="00DC1D34"/>
    <w:rsid w:val="00DC2773"/>
    <w:rsid w:val="00DC3A59"/>
    <w:rsid w:val="00DC3A5D"/>
    <w:rsid w:val="00DC3C0B"/>
    <w:rsid w:val="00DC4F31"/>
    <w:rsid w:val="00DC53F2"/>
    <w:rsid w:val="00DC5A28"/>
    <w:rsid w:val="00DC5C82"/>
    <w:rsid w:val="00DC7815"/>
    <w:rsid w:val="00DD1292"/>
    <w:rsid w:val="00DD3CC7"/>
    <w:rsid w:val="00DD4EDD"/>
    <w:rsid w:val="00DD5E4F"/>
    <w:rsid w:val="00DD600C"/>
    <w:rsid w:val="00DD63C6"/>
    <w:rsid w:val="00DD7022"/>
    <w:rsid w:val="00DD7A85"/>
    <w:rsid w:val="00DE0843"/>
    <w:rsid w:val="00DE163E"/>
    <w:rsid w:val="00DE18FA"/>
    <w:rsid w:val="00DE1D15"/>
    <w:rsid w:val="00DE4638"/>
    <w:rsid w:val="00DE7921"/>
    <w:rsid w:val="00DF01EE"/>
    <w:rsid w:val="00DF29F7"/>
    <w:rsid w:val="00DF6315"/>
    <w:rsid w:val="00DF656D"/>
    <w:rsid w:val="00DF771C"/>
    <w:rsid w:val="00E00E0B"/>
    <w:rsid w:val="00E02295"/>
    <w:rsid w:val="00E03577"/>
    <w:rsid w:val="00E03B79"/>
    <w:rsid w:val="00E04582"/>
    <w:rsid w:val="00E04F3E"/>
    <w:rsid w:val="00E05310"/>
    <w:rsid w:val="00E055FB"/>
    <w:rsid w:val="00E10AB9"/>
    <w:rsid w:val="00E10B63"/>
    <w:rsid w:val="00E1167F"/>
    <w:rsid w:val="00E11F16"/>
    <w:rsid w:val="00E13A82"/>
    <w:rsid w:val="00E14517"/>
    <w:rsid w:val="00E171B0"/>
    <w:rsid w:val="00E21964"/>
    <w:rsid w:val="00E22114"/>
    <w:rsid w:val="00E22C08"/>
    <w:rsid w:val="00E234FE"/>
    <w:rsid w:val="00E251B1"/>
    <w:rsid w:val="00E259E8"/>
    <w:rsid w:val="00E27B56"/>
    <w:rsid w:val="00E27C35"/>
    <w:rsid w:val="00E307FD"/>
    <w:rsid w:val="00E30831"/>
    <w:rsid w:val="00E31885"/>
    <w:rsid w:val="00E3339C"/>
    <w:rsid w:val="00E34623"/>
    <w:rsid w:val="00E34871"/>
    <w:rsid w:val="00E34A12"/>
    <w:rsid w:val="00E351DB"/>
    <w:rsid w:val="00E37498"/>
    <w:rsid w:val="00E4080F"/>
    <w:rsid w:val="00E410EF"/>
    <w:rsid w:val="00E41128"/>
    <w:rsid w:val="00E43020"/>
    <w:rsid w:val="00E43605"/>
    <w:rsid w:val="00E43AE1"/>
    <w:rsid w:val="00E44753"/>
    <w:rsid w:val="00E456F5"/>
    <w:rsid w:val="00E45B1B"/>
    <w:rsid w:val="00E45BCB"/>
    <w:rsid w:val="00E4777A"/>
    <w:rsid w:val="00E5001B"/>
    <w:rsid w:val="00E51135"/>
    <w:rsid w:val="00E51386"/>
    <w:rsid w:val="00E516D0"/>
    <w:rsid w:val="00E51724"/>
    <w:rsid w:val="00E52B35"/>
    <w:rsid w:val="00E53F80"/>
    <w:rsid w:val="00E542AD"/>
    <w:rsid w:val="00E557DE"/>
    <w:rsid w:val="00E559DC"/>
    <w:rsid w:val="00E56D39"/>
    <w:rsid w:val="00E63ABC"/>
    <w:rsid w:val="00E63BD9"/>
    <w:rsid w:val="00E6444B"/>
    <w:rsid w:val="00E653A6"/>
    <w:rsid w:val="00E66D33"/>
    <w:rsid w:val="00E6705E"/>
    <w:rsid w:val="00E670F5"/>
    <w:rsid w:val="00E67235"/>
    <w:rsid w:val="00E6739D"/>
    <w:rsid w:val="00E67595"/>
    <w:rsid w:val="00E70B90"/>
    <w:rsid w:val="00E71538"/>
    <w:rsid w:val="00E7224D"/>
    <w:rsid w:val="00E73F47"/>
    <w:rsid w:val="00E7542E"/>
    <w:rsid w:val="00E758CD"/>
    <w:rsid w:val="00E75D80"/>
    <w:rsid w:val="00E76D44"/>
    <w:rsid w:val="00E7706D"/>
    <w:rsid w:val="00E7757D"/>
    <w:rsid w:val="00E804B5"/>
    <w:rsid w:val="00E82AFE"/>
    <w:rsid w:val="00E849DF"/>
    <w:rsid w:val="00E855D6"/>
    <w:rsid w:val="00E8583D"/>
    <w:rsid w:val="00E85F7C"/>
    <w:rsid w:val="00E86413"/>
    <w:rsid w:val="00E86418"/>
    <w:rsid w:val="00E87BD6"/>
    <w:rsid w:val="00E87DD4"/>
    <w:rsid w:val="00E90C45"/>
    <w:rsid w:val="00E914C3"/>
    <w:rsid w:val="00E92B2F"/>
    <w:rsid w:val="00E92F81"/>
    <w:rsid w:val="00E92FD8"/>
    <w:rsid w:val="00E935F8"/>
    <w:rsid w:val="00E94E2E"/>
    <w:rsid w:val="00E950EC"/>
    <w:rsid w:val="00E951B2"/>
    <w:rsid w:val="00E97223"/>
    <w:rsid w:val="00EA0EEA"/>
    <w:rsid w:val="00EA0FA9"/>
    <w:rsid w:val="00EA1401"/>
    <w:rsid w:val="00EA4171"/>
    <w:rsid w:val="00EA4494"/>
    <w:rsid w:val="00EA45F3"/>
    <w:rsid w:val="00EA4960"/>
    <w:rsid w:val="00EA7D3D"/>
    <w:rsid w:val="00EB0888"/>
    <w:rsid w:val="00EB1DB3"/>
    <w:rsid w:val="00EB243D"/>
    <w:rsid w:val="00EB282D"/>
    <w:rsid w:val="00EB289C"/>
    <w:rsid w:val="00EB3004"/>
    <w:rsid w:val="00EB32A9"/>
    <w:rsid w:val="00EB4DA9"/>
    <w:rsid w:val="00EB5312"/>
    <w:rsid w:val="00EB56D6"/>
    <w:rsid w:val="00EB5E50"/>
    <w:rsid w:val="00EB6383"/>
    <w:rsid w:val="00EB7480"/>
    <w:rsid w:val="00EC3C6C"/>
    <w:rsid w:val="00EC4B74"/>
    <w:rsid w:val="00EC4F25"/>
    <w:rsid w:val="00EC584F"/>
    <w:rsid w:val="00EC5AAE"/>
    <w:rsid w:val="00ED2164"/>
    <w:rsid w:val="00ED27E4"/>
    <w:rsid w:val="00ED3FC9"/>
    <w:rsid w:val="00ED5937"/>
    <w:rsid w:val="00EE0131"/>
    <w:rsid w:val="00EE07D6"/>
    <w:rsid w:val="00EE1013"/>
    <w:rsid w:val="00EE11A9"/>
    <w:rsid w:val="00EE1971"/>
    <w:rsid w:val="00EE1A71"/>
    <w:rsid w:val="00EE2209"/>
    <w:rsid w:val="00EE22E6"/>
    <w:rsid w:val="00EE2B2B"/>
    <w:rsid w:val="00EE32AE"/>
    <w:rsid w:val="00EE4187"/>
    <w:rsid w:val="00EE429E"/>
    <w:rsid w:val="00EE53CF"/>
    <w:rsid w:val="00EE6D59"/>
    <w:rsid w:val="00EE75AE"/>
    <w:rsid w:val="00EE7D4F"/>
    <w:rsid w:val="00EE7FBC"/>
    <w:rsid w:val="00EF05EB"/>
    <w:rsid w:val="00EF3DBD"/>
    <w:rsid w:val="00EF5683"/>
    <w:rsid w:val="00EF5B72"/>
    <w:rsid w:val="00EF6FB2"/>
    <w:rsid w:val="00F000E3"/>
    <w:rsid w:val="00F00CA5"/>
    <w:rsid w:val="00F00CBE"/>
    <w:rsid w:val="00F02A65"/>
    <w:rsid w:val="00F049C0"/>
    <w:rsid w:val="00F0593A"/>
    <w:rsid w:val="00F05F12"/>
    <w:rsid w:val="00F06952"/>
    <w:rsid w:val="00F06E94"/>
    <w:rsid w:val="00F06F97"/>
    <w:rsid w:val="00F07894"/>
    <w:rsid w:val="00F10020"/>
    <w:rsid w:val="00F1043D"/>
    <w:rsid w:val="00F10D36"/>
    <w:rsid w:val="00F11877"/>
    <w:rsid w:val="00F1398B"/>
    <w:rsid w:val="00F14E46"/>
    <w:rsid w:val="00F14FC0"/>
    <w:rsid w:val="00F15EBE"/>
    <w:rsid w:val="00F1624C"/>
    <w:rsid w:val="00F21337"/>
    <w:rsid w:val="00F2139B"/>
    <w:rsid w:val="00F21450"/>
    <w:rsid w:val="00F21875"/>
    <w:rsid w:val="00F21BD8"/>
    <w:rsid w:val="00F22BA5"/>
    <w:rsid w:val="00F2317A"/>
    <w:rsid w:val="00F248CD"/>
    <w:rsid w:val="00F26D07"/>
    <w:rsid w:val="00F271AE"/>
    <w:rsid w:val="00F31AA6"/>
    <w:rsid w:val="00F33C72"/>
    <w:rsid w:val="00F34079"/>
    <w:rsid w:val="00F3413C"/>
    <w:rsid w:val="00F345F3"/>
    <w:rsid w:val="00F35070"/>
    <w:rsid w:val="00F37C59"/>
    <w:rsid w:val="00F37C6B"/>
    <w:rsid w:val="00F4132A"/>
    <w:rsid w:val="00F45910"/>
    <w:rsid w:val="00F4696A"/>
    <w:rsid w:val="00F472B3"/>
    <w:rsid w:val="00F5040C"/>
    <w:rsid w:val="00F505B7"/>
    <w:rsid w:val="00F5094E"/>
    <w:rsid w:val="00F536A1"/>
    <w:rsid w:val="00F5452A"/>
    <w:rsid w:val="00F558A1"/>
    <w:rsid w:val="00F56129"/>
    <w:rsid w:val="00F56150"/>
    <w:rsid w:val="00F561D7"/>
    <w:rsid w:val="00F57A2D"/>
    <w:rsid w:val="00F57FB4"/>
    <w:rsid w:val="00F6152E"/>
    <w:rsid w:val="00F61B4D"/>
    <w:rsid w:val="00F64525"/>
    <w:rsid w:val="00F65C6C"/>
    <w:rsid w:val="00F66EBC"/>
    <w:rsid w:val="00F716EF"/>
    <w:rsid w:val="00F72864"/>
    <w:rsid w:val="00F73663"/>
    <w:rsid w:val="00F745E5"/>
    <w:rsid w:val="00F75E68"/>
    <w:rsid w:val="00F76749"/>
    <w:rsid w:val="00F815A0"/>
    <w:rsid w:val="00F820CA"/>
    <w:rsid w:val="00F83AFE"/>
    <w:rsid w:val="00F83B59"/>
    <w:rsid w:val="00F84024"/>
    <w:rsid w:val="00F84FCF"/>
    <w:rsid w:val="00F86DFA"/>
    <w:rsid w:val="00F87DD8"/>
    <w:rsid w:val="00F87F02"/>
    <w:rsid w:val="00F92171"/>
    <w:rsid w:val="00F938A6"/>
    <w:rsid w:val="00F93AD3"/>
    <w:rsid w:val="00F93E2F"/>
    <w:rsid w:val="00F95A58"/>
    <w:rsid w:val="00F95E5D"/>
    <w:rsid w:val="00FA06B3"/>
    <w:rsid w:val="00FA0E0D"/>
    <w:rsid w:val="00FA39D7"/>
    <w:rsid w:val="00FA3A7E"/>
    <w:rsid w:val="00FA4053"/>
    <w:rsid w:val="00FA6806"/>
    <w:rsid w:val="00FA6819"/>
    <w:rsid w:val="00FA78EE"/>
    <w:rsid w:val="00FB023B"/>
    <w:rsid w:val="00FB069D"/>
    <w:rsid w:val="00FB1B26"/>
    <w:rsid w:val="00FB2D15"/>
    <w:rsid w:val="00FB2E8E"/>
    <w:rsid w:val="00FB5279"/>
    <w:rsid w:val="00FB5369"/>
    <w:rsid w:val="00FB5A3D"/>
    <w:rsid w:val="00FB7009"/>
    <w:rsid w:val="00FB7473"/>
    <w:rsid w:val="00FB798E"/>
    <w:rsid w:val="00FC015D"/>
    <w:rsid w:val="00FC284C"/>
    <w:rsid w:val="00FC2C86"/>
    <w:rsid w:val="00FC6600"/>
    <w:rsid w:val="00FC671A"/>
    <w:rsid w:val="00FD0445"/>
    <w:rsid w:val="00FD0EA0"/>
    <w:rsid w:val="00FD143A"/>
    <w:rsid w:val="00FD1671"/>
    <w:rsid w:val="00FD46C8"/>
    <w:rsid w:val="00FD5D62"/>
    <w:rsid w:val="00FD5FD0"/>
    <w:rsid w:val="00FD6532"/>
    <w:rsid w:val="00FE0125"/>
    <w:rsid w:val="00FE03BB"/>
    <w:rsid w:val="00FE15AD"/>
    <w:rsid w:val="00FE1D35"/>
    <w:rsid w:val="00FE2345"/>
    <w:rsid w:val="00FE2A84"/>
    <w:rsid w:val="00FE4722"/>
    <w:rsid w:val="00FE4DF4"/>
    <w:rsid w:val="00FE520B"/>
    <w:rsid w:val="00FE5970"/>
    <w:rsid w:val="00FF0E4D"/>
    <w:rsid w:val="00FF0FD8"/>
    <w:rsid w:val="00FF430D"/>
    <w:rsid w:val="00FF451B"/>
    <w:rsid w:val="00FF4B86"/>
    <w:rsid w:val="00FF5874"/>
    <w:rsid w:val="00FF657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9E23F62"/>
  <w15:chartTrackingRefBased/>
  <w15:docId w15:val="{C5F7E55A-32F6-4A6E-A194-A6BE525A4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D0CD5"/>
  </w:style>
  <w:style w:type="paragraph" w:styleId="Nagwek1">
    <w:name w:val="heading 1"/>
    <w:basedOn w:val="Normalny"/>
    <w:link w:val="Nagwek1Znak"/>
    <w:uiPriority w:val="9"/>
    <w:qFormat/>
    <w:rsid w:val="00EA0FA9"/>
    <w:pPr>
      <w:spacing w:before="100" w:beforeAutospacing="1" w:after="100" w:afterAutospacing="1" w:line="240" w:lineRule="auto"/>
      <w:jc w:val="center"/>
      <w:outlineLvl w:val="0"/>
    </w:pPr>
    <w:rPr>
      <w:rFonts w:asciiTheme="majorHAnsi" w:eastAsia="Times New Roman" w:hAnsiTheme="majorHAnsi" w:cs="Times New Roman"/>
      <w:b/>
      <w:bCs/>
      <w:color w:val="E7E6E6" w:themeColor="background2"/>
      <w:kern w:val="36"/>
      <w:sz w:val="72"/>
      <w:szCs w:val="48"/>
      <w:lang w:eastAsia="pl-PL"/>
      <w14:ligatures w14:val="none"/>
    </w:rPr>
  </w:style>
  <w:style w:type="paragraph" w:styleId="Nagwek2">
    <w:name w:val="heading 2"/>
    <w:basedOn w:val="Normalny"/>
    <w:next w:val="Normalny"/>
    <w:link w:val="Nagwek2Znak"/>
    <w:autoRedefine/>
    <w:uiPriority w:val="9"/>
    <w:unhideWhenUsed/>
    <w:qFormat/>
    <w:rsid w:val="003F6CA0"/>
    <w:pPr>
      <w:keepNext/>
      <w:keepLines/>
      <w:spacing w:after="0"/>
      <w:outlineLvl w:val="1"/>
    </w:pPr>
    <w:rPr>
      <w:rFonts w:eastAsiaTheme="majorEastAsia" w:cstheme="minorHAnsi"/>
      <w:b/>
      <w:bCs/>
      <w:sz w:val="24"/>
      <w:szCs w:val="24"/>
    </w:rPr>
  </w:style>
  <w:style w:type="paragraph" w:styleId="Nagwek3">
    <w:name w:val="heading 3"/>
    <w:basedOn w:val="Normalny"/>
    <w:next w:val="Normalny"/>
    <w:link w:val="Nagwek3Znak"/>
    <w:unhideWhenUsed/>
    <w:qFormat/>
    <w:rsid w:val="008A1429"/>
    <w:pPr>
      <w:keepNext/>
      <w:keepLines/>
      <w:spacing w:before="40" w:after="0"/>
      <w:jc w:val="both"/>
      <w:outlineLvl w:val="2"/>
    </w:pPr>
    <w:rPr>
      <w:rFonts w:asciiTheme="majorHAnsi" w:eastAsiaTheme="majorEastAsia" w:hAnsiTheme="majorHAnsi" w:cstheme="majorBidi"/>
      <w:sz w:val="24"/>
      <w:szCs w:val="24"/>
    </w:rPr>
  </w:style>
  <w:style w:type="paragraph" w:styleId="Nagwek4">
    <w:name w:val="heading 4"/>
    <w:basedOn w:val="Normalny"/>
    <w:next w:val="Normalny"/>
    <w:link w:val="Nagwek4Znak"/>
    <w:uiPriority w:val="9"/>
    <w:unhideWhenUsed/>
    <w:qFormat/>
    <w:rsid w:val="0038160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nhideWhenUsed/>
    <w:qFormat/>
    <w:rsid w:val="0038160C"/>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201593"/>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201593"/>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201593"/>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201593"/>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A61701"/>
    <w:pPr>
      <w:spacing w:after="0" w:line="240" w:lineRule="auto"/>
      <w:ind w:left="708"/>
    </w:pPr>
    <w:rPr>
      <w:rFonts w:ascii="Calibri" w:eastAsia="Calibri" w:hAnsi="Calibri" w:cs="Times New Roman"/>
      <w:kern w:val="0"/>
      <w14:ligatures w14:val="none"/>
    </w:rPr>
  </w:style>
  <w:style w:type="table" w:styleId="Tabela-Siatka">
    <w:name w:val="Table Grid"/>
    <w:basedOn w:val="Standardowy"/>
    <w:uiPriority w:val="39"/>
    <w:rsid w:val="00A61701"/>
    <w:pPr>
      <w:spacing w:after="0" w:line="240" w:lineRule="auto"/>
    </w:pPr>
    <w:rPr>
      <w:rFonts w:ascii="Times New Roman" w:eastAsia="Times New Roman" w:hAnsi="Times New Roman" w:cs="Times New Roman"/>
      <w:kern w:val="0"/>
      <w:sz w:val="20"/>
      <w:szCs w:val="2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EA0FA9"/>
    <w:rPr>
      <w:rFonts w:asciiTheme="majorHAnsi" w:eastAsia="Times New Roman" w:hAnsiTheme="majorHAnsi" w:cs="Times New Roman"/>
      <w:b/>
      <w:bCs/>
      <w:color w:val="E7E6E6" w:themeColor="background2"/>
      <w:kern w:val="36"/>
      <w:sz w:val="72"/>
      <w:szCs w:val="48"/>
      <w:lang w:eastAsia="pl-PL"/>
      <w14:ligatures w14:val="none"/>
    </w:rPr>
  </w:style>
  <w:style w:type="paragraph" w:customStyle="1" w:styleId="int-recipient">
    <w:name w:val="int-recipient"/>
    <w:basedOn w:val="Normalny"/>
    <w:link w:val="int-recipientZnak"/>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int-title">
    <w:name w:val="int-title"/>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intauthor">
    <w:name w:val="intauthor"/>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intdatetresc">
    <w:name w:val="intdatetresc"/>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right">
    <w:name w:val="right"/>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styleId="NormalnyWeb">
    <w:name w:val="Normal (Web)"/>
    <w:basedOn w:val="Normalny"/>
    <w:uiPriority w:val="99"/>
    <w:unhideWhenUsed/>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styleId="Pogrubienie">
    <w:name w:val="Strong"/>
    <w:basedOn w:val="Domylnaczcionkaakapitu"/>
    <w:uiPriority w:val="22"/>
    <w:qFormat/>
    <w:rsid w:val="008D400F"/>
    <w:rPr>
      <w:b/>
      <w:bCs/>
    </w:rPr>
  </w:style>
  <w:style w:type="character" w:styleId="Hipercze">
    <w:name w:val="Hyperlink"/>
    <w:basedOn w:val="Domylnaczcionkaakapitu"/>
    <w:uiPriority w:val="99"/>
    <w:unhideWhenUsed/>
    <w:rsid w:val="008D400F"/>
    <w:rPr>
      <w:color w:val="0000FF"/>
      <w:u w:val="single"/>
    </w:rPr>
  </w:style>
  <w:style w:type="character" w:customStyle="1" w:styleId="Nierozpoznanawzmianka1">
    <w:name w:val="Nierozpoznana wzmianka1"/>
    <w:basedOn w:val="Domylnaczcionkaakapitu"/>
    <w:uiPriority w:val="99"/>
    <w:semiHidden/>
    <w:unhideWhenUsed/>
    <w:rsid w:val="008D400F"/>
    <w:rPr>
      <w:color w:val="605E5C"/>
      <w:shd w:val="clear" w:color="auto" w:fill="E1DFDD"/>
    </w:rPr>
  </w:style>
  <w:style w:type="paragraph" w:styleId="Tekstprzypisukocowego">
    <w:name w:val="endnote text"/>
    <w:basedOn w:val="Normalny"/>
    <w:link w:val="TekstprzypisukocowegoZnak"/>
    <w:uiPriority w:val="99"/>
    <w:unhideWhenUsed/>
    <w:rsid w:val="007F67A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rsid w:val="007F67AC"/>
    <w:rPr>
      <w:sz w:val="20"/>
      <w:szCs w:val="20"/>
    </w:rPr>
  </w:style>
  <w:style w:type="character" w:styleId="Odwoanieprzypisukocowego">
    <w:name w:val="endnote reference"/>
    <w:basedOn w:val="Domylnaczcionkaakapitu"/>
    <w:uiPriority w:val="99"/>
    <w:semiHidden/>
    <w:unhideWhenUsed/>
    <w:rsid w:val="007F67AC"/>
    <w:rPr>
      <w:vertAlign w:val="superscript"/>
    </w:rPr>
  </w:style>
  <w:style w:type="character" w:styleId="UyteHipercze">
    <w:name w:val="FollowedHyperlink"/>
    <w:basedOn w:val="Domylnaczcionkaakapitu"/>
    <w:uiPriority w:val="99"/>
    <w:semiHidden/>
    <w:unhideWhenUsed/>
    <w:rsid w:val="00F10D36"/>
    <w:rPr>
      <w:color w:val="954F72" w:themeColor="followedHyperlink"/>
      <w:u w:val="single"/>
    </w:rPr>
  </w:style>
  <w:style w:type="character" w:styleId="Uwydatnienie">
    <w:name w:val="Emphasis"/>
    <w:basedOn w:val="Domylnaczcionkaakapitu"/>
    <w:qFormat/>
    <w:rsid w:val="00EF05EB"/>
    <w:rPr>
      <w:i/>
      <w:iCs/>
    </w:rPr>
  </w:style>
  <w:style w:type="paragraph" w:customStyle="1" w:styleId="Standard">
    <w:name w:val="Standard"/>
    <w:rsid w:val="00EF05EB"/>
    <w:pPr>
      <w:suppressAutoHyphens/>
      <w:autoSpaceDN w:val="0"/>
      <w:spacing w:after="0" w:line="240" w:lineRule="auto"/>
      <w:textAlignment w:val="baseline"/>
    </w:pPr>
    <w:rPr>
      <w:rFonts w:ascii="Liberation Serif" w:eastAsia="SimSun" w:hAnsi="Liberation Serif" w:cs="Mangal"/>
      <w:kern w:val="3"/>
      <w:sz w:val="24"/>
      <w:szCs w:val="24"/>
      <w:lang w:eastAsia="zh-CN" w:bidi="hi-IN"/>
      <w14:ligatures w14:val="none"/>
    </w:rPr>
  </w:style>
  <w:style w:type="paragraph" w:customStyle="1" w:styleId="has-medium-font-size">
    <w:name w:val="has-medium-font-size"/>
    <w:basedOn w:val="Normalny"/>
    <w:uiPriority w:val="99"/>
    <w:rsid w:val="00B13E75"/>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Nagwek2Znak">
    <w:name w:val="Nagłówek 2 Znak"/>
    <w:basedOn w:val="Domylnaczcionkaakapitu"/>
    <w:link w:val="Nagwek2"/>
    <w:uiPriority w:val="9"/>
    <w:rsid w:val="003F6CA0"/>
    <w:rPr>
      <w:rFonts w:eastAsiaTheme="majorEastAsia" w:cstheme="minorHAnsi"/>
      <w:b/>
      <w:bCs/>
      <w:sz w:val="24"/>
      <w:szCs w:val="24"/>
    </w:rPr>
  </w:style>
  <w:style w:type="character" w:customStyle="1" w:styleId="Nagwek3Znak">
    <w:name w:val="Nagłówek 3 Znak"/>
    <w:basedOn w:val="Domylnaczcionkaakapitu"/>
    <w:link w:val="Nagwek3"/>
    <w:rsid w:val="008A1429"/>
    <w:rPr>
      <w:rFonts w:asciiTheme="majorHAnsi" w:eastAsiaTheme="majorEastAsia" w:hAnsiTheme="majorHAnsi" w:cstheme="majorBidi"/>
      <w:sz w:val="24"/>
      <w:szCs w:val="24"/>
    </w:rPr>
  </w:style>
  <w:style w:type="character" w:customStyle="1" w:styleId="Nagwek4Znak">
    <w:name w:val="Nagłówek 4 Znak"/>
    <w:basedOn w:val="Domylnaczcionkaakapitu"/>
    <w:link w:val="Nagwek4"/>
    <w:uiPriority w:val="9"/>
    <w:rsid w:val="0038160C"/>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rsid w:val="0038160C"/>
    <w:rPr>
      <w:rFonts w:asciiTheme="majorHAnsi" w:eastAsiaTheme="majorEastAsia" w:hAnsiTheme="majorHAnsi" w:cstheme="majorBidi"/>
      <w:color w:val="2F5496" w:themeColor="accent1" w:themeShade="BF"/>
    </w:rPr>
  </w:style>
  <w:style w:type="character" w:customStyle="1" w:styleId="WW8Num1z0">
    <w:name w:val="WW8Num1z0"/>
    <w:rsid w:val="009234DE"/>
    <w:rPr>
      <w:rFonts w:hint="default"/>
      <w:b/>
    </w:rPr>
  </w:style>
  <w:style w:type="character" w:customStyle="1" w:styleId="WW8Num1z1">
    <w:name w:val="WW8Num1z1"/>
    <w:rsid w:val="009234DE"/>
  </w:style>
  <w:style w:type="character" w:customStyle="1" w:styleId="WW8Num1z2">
    <w:name w:val="WW8Num1z2"/>
    <w:rsid w:val="009234DE"/>
  </w:style>
  <w:style w:type="character" w:customStyle="1" w:styleId="WW8Num1z3">
    <w:name w:val="WW8Num1z3"/>
    <w:rsid w:val="009234DE"/>
  </w:style>
  <w:style w:type="character" w:customStyle="1" w:styleId="WW8Num1z4">
    <w:name w:val="WW8Num1z4"/>
    <w:rsid w:val="009234DE"/>
  </w:style>
  <w:style w:type="character" w:customStyle="1" w:styleId="WW8Num1z5">
    <w:name w:val="WW8Num1z5"/>
    <w:rsid w:val="009234DE"/>
  </w:style>
  <w:style w:type="character" w:customStyle="1" w:styleId="WW8Num1z6">
    <w:name w:val="WW8Num1z6"/>
    <w:rsid w:val="009234DE"/>
  </w:style>
  <w:style w:type="character" w:customStyle="1" w:styleId="WW8Num1z7">
    <w:name w:val="WW8Num1z7"/>
    <w:rsid w:val="009234DE"/>
  </w:style>
  <w:style w:type="character" w:customStyle="1" w:styleId="WW8Num1z8">
    <w:name w:val="WW8Num1z8"/>
    <w:rsid w:val="009234DE"/>
  </w:style>
  <w:style w:type="character" w:customStyle="1" w:styleId="WW8Num2z0">
    <w:name w:val="WW8Num2z0"/>
    <w:rsid w:val="009234DE"/>
    <w:rPr>
      <w:b/>
    </w:rPr>
  </w:style>
  <w:style w:type="character" w:customStyle="1" w:styleId="WW8Num2z1">
    <w:name w:val="WW8Num2z1"/>
    <w:rsid w:val="009234DE"/>
  </w:style>
  <w:style w:type="character" w:customStyle="1" w:styleId="WW8Num2z2">
    <w:name w:val="WW8Num2z2"/>
    <w:rsid w:val="009234DE"/>
  </w:style>
  <w:style w:type="character" w:customStyle="1" w:styleId="WW8Num2z3">
    <w:name w:val="WW8Num2z3"/>
    <w:rsid w:val="009234DE"/>
  </w:style>
  <w:style w:type="character" w:customStyle="1" w:styleId="WW8Num2z4">
    <w:name w:val="WW8Num2z4"/>
    <w:rsid w:val="009234DE"/>
  </w:style>
  <w:style w:type="character" w:customStyle="1" w:styleId="WW8Num2z5">
    <w:name w:val="WW8Num2z5"/>
    <w:rsid w:val="009234DE"/>
  </w:style>
  <w:style w:type="character" w:customStyle="1" w:styleId="WW8Num2z6">
    <w:name w:val="WW8Num2z6"/>
    <w:rsid w:val="009234DE"/>
  </w:style>
  <w:style w:type="character" w:customStyle="1" w:styleId="WW8Num2z7">
    <w:name w:val="WW8Num2z7"/>
    <w:rsid w:val="009234DE"/>
  </w:style>
  <w:style w:type="character" w:customStyle="1" w:styleId="WW8Num2z8">
    <w:name w:val="WW8Num2z8"/>
    <w:rsid w:val="009234DE"/>
  </w:style>
  <w:style w:type="character" w:customStyle="1" w:styleId="WW8Num3z0">
    <w:name w:val="WW8Num3z0"/>
    <w:rsid w:val="009234DE"/>
    <w:rPr>
      <w:rFonts w:hint="default"/>
      <w:strike w:val="0"/>
      <w:dstrike w:val="0"/>
    </w:rPr>
  </w:style>
  <w:style w:type="character" w:customStyle="1" w:styleId="WW8Num3z1">
    <w:name w:val="WW8Num3z1"/>
    <w:rsid w:val="009234DE"/>
    <w:rPr>
      <w:rFonts w:ascii="Arial" w:hAnsi="Arial" w:cs="Arial" w:hint="default"/>
    </w:rPr>
  </w:style>
  <w:style w:type="character" w:customStyle="1" w:styleId="WW8Num3z2">
    <w:name w:val="WW8Num3z2"/>
    <w:rsid w:val="009234DE"/>
  </w:style>
  <w:style w:type="character" w:customStyle="1" w:styleId="WW8Num3z3">
    <w:name w:val="WW8Num3z3"/>
    <w:rsid w:val="009234DE"/>
  </w:style>
  <w:style w:type="character" w:customStyle="1" w:styleId="WW8Num3z4">
    <w:name w:val="WW8Num3z4"/>
    <w:rsid w:val="009234DE"/>
  </w:style>
  <w:style w:type="character" w:customStyle="1" w:styleId="WW8Num3z5">
    <w:name w:val="WW8Num3z5"/>
    <w:rsid w:val="009234DE"/>
  </w:style>
  <w:style w:type="character" w:customStyle="1" w:styleId="WW8Num3z6">
    <w:name w:val="WW8Num3z6"/>
    <w:rsid w:val="009234DE"/>
  </w:style>
  <w:style w:type="character" w:customStyle="1" w:styleId="WW8Num3z7">
    <w:name w:val="WW8Num3z7"/>
    <w:rsid w:val="009234DE"/>
  </w:style>
  <w:style w:type="character" w:customStyle="1" w:styleId="WW8Num3z8">
    <w:name w:val="WW8Num3z8"/>
    <w:rsid w:val="009234DE"/>
  </w:style>
  <w:style w:type="character" w:customStyle="1" w:styleId="WW8Num4z0">
    <w:name w:val="WW8Num4z0"/>
    <w:rsid w:val="009234DE"/>
    <w:rPr>
      <w:rFonts w:ascii="Times New Roman" w:eastAsia="Times New Roman" w:hAnsi="Times New Roman" w:cs="Courier New"/>
      <w:b/>
      <w:color w:val="000000"/>
      <w:w w:val="101"/>
      <w:sz w:val="17"/>
      <w:szCs w:val="17"/>
    </w:rPr>
  </w:style>
  <w:style w:type="character" w:customStyle="1" w:styleId="WW8Num4z1">
    <w:name w:val="WW8Num4z1"/>
    <w:rsid w:val="009234DE"/>
  </w:style>
  <w:style w:type="character" w:customStyle="1" w:styleId="WW8Num4z2">
    <w:name w:val="WW8Num4z2"/>
    <w:rsid w:val="009234DE"/>
  </w:style>
  <w:style w:type="character" w:customStyle="1" w:styleId="WW8Num4z3">
    <w:name w:val="WW8Num4z3"/>
    <w:rsid w:val="009234DE"/>
  </w:style>
  <w:style w:type="character" w:customStyle="1" w:styleId="WW8Num4z4">
    <w:name w:val="WW8Num4z4"/>
    <w:rsid w:val="009234DE"/>
  </w:style>
  <w:style w:type="character" w:customStyle="1" w:styleId="WW8Num4z5">
    <w:name w:val="WW8Num4z5"/>
    <w:rsid w:val="009234DE"/>
  </w:style>
  <w:style w:type="character" w:customStyle="1" w:styleId="WW8Num4z6">
    <w:name w:val="WW8Num4z6"/>
    <w:rsid w:val="009234DE"/>
  </w:style>
  <w:style w:type="character" w:customStyle="1" w:styleId="WW8Num4z7">
    <w:name w:val="WW8Num4z7"/>
    <w:rsid w:val="009234DE"/>
  </w:style>
  <w:style w:type="character" w:customStyle="1" w:styleId="WW8Num4z8">
    <w:name w:val="WW8Num4z8"/>
    <w:rsid w:val="009234DE"/>
  </w:style>
  <w:style w:type="character" w:customStyle="1" w:styleId="WW8Num5z0">
    <w:name w:val="WW8Num5z0"/>
    <w:rsid w:val="009234DE"/>
    <w:rPr>
      <w:rFonts w:hint="default"/>
      <w:b/>
      <w:color w:val="000000"/>
      <w:w w:val="103"/>
    </w:rPr>
  </w:style>
  <w:style w:type="character" w:customStyle="1" w:styleId="WW8Num5z1">
    <w:name w:val="WW8Num5z1"/>
    <w:rsid w:val="009234DE"/>
  </w:style>
  <w:style w:type="character" w:customStyle="1" w:styleId="WW8Num5z2">
    <w:name w:val="WW8Num5z2"/>
    <w:rsid w:val="009234DE"/>
  </w:style>
  <w:style w:type="character" w:customStyle="1" w:styleId="WW8Num5z3">
    <w:name w:val="WW8Num5z3"/>
    <w:rsid w:val="009234DE"/>
  </w:style>
  <w:style w:type="character" w:customStyle="1" w:styleId="WW8Num5z4">
    <w:name w:val="WW8Num5z4"/>
    <w:rsid w:val="009234DE"/>
  </w:style>
  <w:style w:type="character" w:customStyle="1" w:styleId="WW8Num5z5">
    <w:name w:val="WW8Num5z5"/>
    <w:rsid w:val="009234DE"/>
  </w:style>
  <w:style w:type="character" w:customStyle="1" w:styleId="WW8Num5z6">
    <w:name w:val="WW8Num5z6"/>
    <w:rsid w:val="009234DE"/>
  </w:style>
  <w:style w:type="character" w:customStyle="1" w:styleId="WW8Num5z7">
    <w:name w:val="WW8Num5z7"/>
    <w:rsid w:val="009234DE"/>
  </w:style>
  <w:style w:type="character" w:customStyle="1" w:styleId="WW8Num5z8">
    <w:name w:val="WW8Num5z8"/>
    <w:rsid w:val="009234DE"/>
  </w:style>
  <w:style w:type="character" w:customStyle="1" w:styleId="WW8Num6z0">
    <w:name w:val="WW8Num6z0"/>
    <w:rsid w:val="009234DE"/>
    <w:rPr>
      <w:rFonts w:hint="default"/>
      <w:color w:val="000000"/>
      <w:w w:val="103"/>
    </w:rPr>
  </w:style>
  <w:style w:type="character" w:customStyle="1" w:styleId="WW8Num6z1">
    <w:name w:val="WW8Num6z1"/>
    <w:rsid w:val="009234DE"/>
  </w:style>
  <w:style w:type="character" w:customStyle="1" w:styleId="WW8Num6z2">
    <w:name w:val="WW8Num6z2"/>
    <w:rsid w:val="009234DE"/>
  </w:style>
  <w:style w:type="character" w:customStyle="1" w:styleId="WW8Num6z3">
    <w:name w:val="WW8Num6z3"/>
    <w:rsid w:val="009234DE"/>
  </w:style>
  <w:style w:type="character" w:customStyle="1" w:styleId="WW8Num6z4">
    <w:name w:val="WW8Num6z4"/>
    <w:rsid w:val="009234DE"/>
  </w:style>
  <w:style w:type="character" w:customStyle="1" w:styleId="WW8Num6z5">
    <w:name w:val="WW8Num6z5"/>
    <w:rsid w:val="009234DE"/>
  </w:style>
  <w:style w:type="character" w:customStyle="1" w:styleId="WW8Num6z6">
    <w:name w:val="WW8Num6z6"/>
    <w:rsid w:val="009234DE"/>
  </w:style>
  <w:style w:type="character" w:customStyle="1" w:styleId="WW8Num6z7">
    <w:name w:val="WW8Num6z7"/>
    <w:rsid w:val="009234DE"/>
  </w:style>
  <w:style w:type="character" w:customStyle="1" w:styleId="WW8Num6z8">
    <w:name w:val="WW8Num6z8"/>
    <w:rsid w:val="009234DE"/>
  </w:style>
  <w:style w:type="character" w:customStyle="1" w:styleId="WW8Num7z0">
    <w:name w:val="WW8Num7z0"/>
    <w:rsid w:val="009234DE"/>
  </w:style>
  <w:style w:type="character" w:customStyle="1" w:styleId="WW8Num7z1">
    <w:name w:val="WW8Num7z1"/>
    <w:rsid w:val="009234DE"/>
  </w:style>
  <w:style w:type="character" w:customStyle="1" w:styleId="WW8Num7z2">
    <w:name w:val="WW8Num7z2"/>
    <w:rsid w:val="009234DE"/>
  </w:style>
  <w:style w:type="character" w:customStyle="1" w:styleId="WW8Num7z3">
    <w:name w:val="WW8Num7z3"/>
    <w:rsid w:val="009234DE"/>
  </w:style>
  <w:style w:type="character" w:customStyle="1" w:styleId="WW8Num7z4">
    <w:name w:val="WW8Num7z4"/>
    <w:rsid w:val="009234DE"/>
  </w:style>
  <w:style w:type="character" w:customStyle="1" w:styleId="WW8Num7z5">
    <w:name w:val="WW8Num7z5"/>
    <w:rsid w:val="009234DE"/>
  </w:style>
  <w:style w:type="character" w:customStyle="1" w:styleId="WW8Num7z6">
    <w:name w:val="WW8Num7z6"/>
    <w:rsid w:val="009234DE"/>
  </w:style>
  <w:style w:type="character" w:customStyle="1" w:styleId="WW8Num7z7">
    <w:name w:val="WW8Num7z7"/>
    <w:rsid w:val="009234DE"/>
  </w:style>
  <w:style w:type="character" w:customStyle="1" w:styleId="WW8Num7z8">
    <w:name w:val="WW8Num7z8"/>
    <w:rsid w:val="009234DE"/>
  </w:style>
  <w:style w:type="character" w:customStyle="1" w:styleId="WW8Num8z0">
    <w:name w:val="WW8Num8z0"/>
    <w:rsid w:val="009234DE"/>
    <w:rPr>
      <w:rFonts w:hint="default"/>
      <w:b/>
    </w:rPr>
  </w:style>
  <w:style w:type="character" w:customStyle="1" w:styleId="WW8Num8z1">
    <w:name w:val="WW8Num8z1"/>
    <w:rsid w:val="009234DE"/>
  </w:style>
  <w:style w:type="character" w:customStyle="1" w:styleId="WW8Num8z2">
    <w:name w:val="WW8Num8z2"/>
    <w:rsid w:val="009234DE"/>
  </w:style>
  <w:style w:type="character" w:customStyle="1" w:styleId="WW8Num8z3">
    <w:name w:val="WW8Num8z3"/>
    <w:rsid w:val="009234DE"/>
  </w:style>
  <w:style w:type="character" w:customStyle="1" w:styleId="WW8Num8z4">
    <w:name w:val="WW8Num8z4"/>
    <w:rsid w:val="009234DE"/>
  </w:style>
  <w:style w:type="character" w:customStyle="1" w:styleId="WW8Num8z5">
    <w:name w:val="WW8Num8z5"/>
    <w:rsid w:val="009234DE"/>
  </w:style>
  <w:style w:type="character" w:customStyle="1" w:styleId="WW8Num8z6">
    <w:name w:val="WW8Num8z6"/>
    <w:rsid w:val="009234DE"/>
  </w:style>
  <w:style w:type="character" w:customStyle="1" w:styleId="WW8Num8z7">
    <w:name w:val="WW8Num8z7"/>
    <w:rsid w:val="009234DE"/>
  </w:style>
  <w:style w:type="character" w:customStyle="1" w:styleId="WW8Num8z8">
    <w:name w:val="WW8Num8z8"/>
    <w:rsid w:val="009234DE"/>
  </w:style>
  <w:style w:type="character" w:customStyle="1" w:styleId="WW8Num9z0">
    <w:name w:val="WW8Num9z0"/>
    <w:rsid w:val="009234DE"/>
    <w:rPr>
      <w:rFonts w:ascii="Symbol" w:hAnsi="Symbol" w:cs="Symbol" w:hint="default"/>
    </w:rPr>
  </w:style>
  <w:style w:type="character" w:customStyle="1" w:styleId="WW8Num9z1">
    <w:name w:val="WW8Num9z1"/>
    <w:rsid w:val="009234DE"/>
    <w:rPr>
      <w:rFonts w:ascii="Courier New" w:hAnsi="Courier New" w:cs="Courier New" w:hint="default"/>
    </w:rPr>
  </w:style>
  <w:style w:type="character" w:customStyle="1" w:styleId="WW8Num9z2">
    <w:name w:val="WW8Num9z2"/>
    <w:rsid w:val="009234DE"/>
    <w:rPr>
      <w:rFonts w:ascii="Wingdings" w:hAnsi="Wingdings" w:cs="Wingdings" w:hint="default"/>
    </w:rPr>
  </w:style>
  <w:style w:type="character" w:customStyle="1" w:styleId="WW8Num10z0">
    <w:name w:val="WW8Num10z0"/>
    <w:rsid w:val="009234DE"/>
    <w:rPr>
      <w:rFonts w:ascii="Times New Roman" w:eastAsia="Times New Roman" w:hAnsi="Times New Roman" w:cs="Courier New"/>
      <w:b/>
      <w:color w:val="000000"/>
      <w:w w:val="101"/>
      <w:sz w:val="24"/>
    </w:rPr>
  </w:style>
  <w:style w:type="character" w:customStyle="1" w:styleId="WW8Num10z1">
    <w:name w:val="WW8Num10z1"/>
    <w:rsid w:val="009234DE"/>
    <w:rPr>
      <w:rFonts w:ascii="Courier New" w:hAnsi="Courier New" w:cs="Courier New" w:hint="default"/>
    </w:rPr>
  </w:style>
  <w:style w:type="character" w:customStyle="1" w:styleId="WW8Num10z2">
    <w:name w:val="WW8Num10z2"/>
    <w:rsid w:val="009234DE"/>
    <w:rPr>
      <w:rFonts w:ascii="Wingdings" w:hAnsi="Wingdings" w:cs="Wingdings" w:hint="default"/>
    </w:rPr>
  </w:style>
  <w:style w:type="character" w:customStyle="1" w:styleId="WW8Num10z3">
    <w:name w:val="WW8Num10z3"/>
    <w:rsid w:val="009234DE"/>
    <w:rPr>
      <w:rFonts w:ascii="Symbol" w:hAnsi="Symbol" w:cs="Symbol" w:hint="default"/>
    </w:rPr>
  </w:style>
  <w:style w:type="character" w:customStyle="1" w:styleId="WW8Num11z0">
    <w:name w:val="WW8Num11z0"/>
    <w:rsid w:val="009234DE"/>
    <w:rPr>
      <w:rFonts w:hint="default"/>
      <w:b/>
      <w:color w:val="000000"/>
    </w:rPr>
  </w:style>
  <w:style w:type="character" w:customStyle="1" w:styleId="WW8Num11z1">
    <w:name w:val="WW8Num11z1"/>
    <w:rsid w:val="009234DE"/>
  </w:style>
  <w:style w:type="character" w:customStyle="1" w:styleId="WW8Num11z2">
    <w:name w:val="WW8Num11z2"/>
    <w:rsid w:val="009234DE"/>
  </w:style>
  <w:style w:type="character" w:customStyle="1" w:styleId="WW8Num11z3">
    <w:name w:val="WW8Num11z3"/>
    <w:rsid w:val="009234DE"/>
  </w:style>
  <w:style w:type="character" w:customStyle="1" w:styleId="WW8Num11z4">
    <w:name w:val="WW8Num11z4"/>
    <w:rsid w:val="009234DE"/>
  </w:style>
  <w:style w:type="character" w:customStyle="1" w:styleId="WW8Num11z5">
    <w:name w:val="WW8Num11z5"/>
    <w:rsid w:val="009234DE"/>
  </w:style>
  <w:style w:type="character" w:customStyle="1" w:styleId="WW8Num11z6">
    <w:name w:val="WW8Num11z6"/>
    <w:rsid w:val="009234DE"/>
  </w:style>
  <w:style w:type="character" w:customStyle="1" w:styleId="WW8Num11z7">
    <w:name w:val="WW8Num11z7"/>
    <w:rsid w:val="009234DE"/>
  </w:style>
  <w:style w:type="character" w:customStyle="1" w:styleId="WW8Num11z8">
    <w:name w:val="WW8Num11z8"/>
    <w:rsid w:val="009234DE"/>
  </w:style>
  <w:style w:type="character" w:customStyle="1" w:styleId="WW8Num12z0">
    <w:name w:val="WW8Num12z0"/>
    <w:rsid w:val="009234DE"/>
    <w:rPr>
      <w:rFonts w:hint="default"/>
      <w:b/>
      <w:color w:val="000000"/>
    </w:rPr>
  </w:style>
  <w:style w:type="character" w:customStyle="1" w:styleId="WW8Num12z1">
    <w:name w:val="WW8Num12z1"/>
    <w:rsid w:val="009234DE"/>
  </w:style>
  <w:style w:type="character" w:customStyle="1" w:styleId="WW8Num12z2">
    <w:name w:val="WW8Num12z2"/>
    <w:rsid w:val="009234DE"/>
  </w:style>
  <w:style w:type="character" w:customStyle="1" w:styleId="WW8Num12z3">
    <w:name w:val="WW8Num12z3"/>
    <w:rsid w:val="009234DE"/>
  </w:style>
  <w:style w:type="character" w:customStyle="1" w:styleId="WW8Num12z4">
    <w:name w:val="WW8Num12z4"/>
    <w:rsid w:val="009234DE"/>
  </w:style>
  <w:style w:type="character" w:customStyle="1" w:styleId="WW8Num12z5">
    <w:name w:val="WW8Num12z5"/>
    <w:rsid w:val="009234DE"/>
  </w:style>
  <w:style w:type="character" w:customStyle="1" w:styleId="WW8Num12z6">
    <w:name w:val="WW8Num12z6"/>
    <w:rsid w:val="009234DE"/>
  </w:style>
  <w:style w:type="character" w:customStyle="1" w:styleId="WW8Num12z7">
    <w:name w:val="WW8Num12z7"/>
    <w:rsid w:val="009234DE"/>
  </w:style>
  <w:style w:type="character" w:customStyle="1" w:styleId="WW8Num12z8">
    <w:name w:val="WW8Num12z8"/>
    <w:rsid w:val="009234DE"/>
  </w:style>
  <w:style w:type="character" w:customStyle="1" w:styleId="WW8Num13z0">
    <w:name w:val="WW8Num13z0"/>
    <w:rsid w:val="009234DE"/>
    <w:rPr>
      <w:rFonts w:ascii="Times New Roman" w:eastAsia="Times New Roman" w:hAnsi="Times New Roman" w:cs="Courier New"/>
      <w:b/>
      <w:color w:val="000000"/>
      <w:w w:val="103"/>
      <w:sz w:val="24"/>
      <w:szCs w:val="24"/>
    </w:rPr>
  </w:style>
  <w:style w:type="character" w:customStyle="1" w:styleId="WW8Num13z1">
    <w:name w:val="WW8Num13z1"/>
    <w:rsid w:val="009234DE"/>
  </w:style>
  <w:style w:type="character" w:customStyle="1" w:styleId="WW8Num13z2">
    <w:name w:val="WW8Num13z2"/>
    <w:rsid w:val="009234DE"/>
  </w:style>
  <w:style w:type="character" w:customStyle="1" w:styleId="WW8Num13z3">
    <w:name w:val="WW8Num13z3"/>
    <w:rsid w:val="009234DE"/>
  </w:style>
  <w:style w:type="character" w:customStyle="1" w:styleId="WW8Num13z4">
    <w:name w:val="WW8Num13z4"/>
    <w:rsid w:val="009234DE"/>
  </w:style>
  <w:style w:type="character" w:customStyle="1" w:styleId="WW8Num13z5">
    <w:name w:val="WW8Num13z5"/>
    <w:rsid w:val="009234DE"/>
  </w:style>
  <w:style w:type="character" w:customStyle="1" w:styleId="WW8Num13z6">
    <w:name w:val="WW8Num13z6"/>
    <w:rsid w:val="009234DE"/>
  </w:style>
  <w:style w:type="character" w:customStyle="1" w:styleId="WW8Num13z7">
    <w:name w:val="WW8Num13z7"/>
    <w:rsid w:val="009234DE"/>
  </w:style>
  <w:style w:type="character" w:customStyle="1" w:styleId="WW8Num13z8">
    <w:name w:val="WW8Num13z8"/>
    <w:rsid w:val="009234DE"/>
  </w:style>
  <w:style w:type="character" w:customStyle="1" w:styleId="WW8Num14z0">
    <w:name w:val="WW8Num14z0"/>
    <w:rsid w:val="009234DE"/>
    <w:rPr>
      <w:rFonts w:ascii="Times New Roman" w:eastAsia="Times New Roman" w:hAnsi="Times New Roman" w:cs="Courier New"/>
      <w:b/>
      <w:color w:val="000000"/>
      <w:w w:val="101"/>
    </w:rPr>
  </w:style>
  <w:style w:type="character" w:customStyle="1" w:styleId="WW8Num14z1">
    <w:name w:val="WW8Num14z1"/>
    <w:rsid w:val="009234DE"/>
  </w:style>
  <w:style w:type="character" w:customStyle="1" w:styleId="WW8Num14z2">
    <w:name w:val="WW8Num14z2"/>
    <w:rsid w:val="009234DE"/>
  </w:style>
  <w:style w:type="character" w:customStyle="1" w:styleId="WW8Num14z3">
    <w:name w:val="WW8Num14z3"/>
    <w:rsid w:val="009234DE"/>
  </w:style>
  <w:style w:type="character" w:customStyle="1" w:styleId="WW8Num14z4">
    <w:name w:val="WW8Num14z4"/>
    <w:rsid w:val="009234DE"/>
  </w:style>
  <w:style w:type="character" w:customStyle="1" w:styleId="WW8Num14z5">
    <w:name w:val="WW8Num14z5"/>
    <w:rsid w:val="009234DE"/>
  </w:style>
  <w:style w:type="character" w:customStyle="1" w:styleId="WW8Num14z6">
    <w:name w:val="WW8Num14z6"/>
    <w:rsid w:val="009234DE"/>
  </w:style>
  <w:style w:type="character" w:customStyle="1" w:styleId="WW8Num14z7">
    <w:name w:val="WW8Num14z7"/>
    <w:rsid w:val="009234DE"/>
  </w:style>
  <w:style w:type="character" w:customStyle="1" w:styleId="WW8Num14z8">
    <w:name w:val="WW8Num14z8"/>
    <w:rsid w:val="009234DE"/>
  </w:style>
  <w:style w:type="character" w:customStyle="1" w:styleId="WW8Num15z0">
    <w:name w:val="WW8Num15z0"/>
    <w:rsid w:val="009234DE"/>
  </w:style>
  <w:style w:type="character" w:customStyle="1" w:styleId="WW8Num15z1">
    <w:name w:val="WW8Num15z1"/>
    <w:rsid w:val="009234DE"/>
  </w:style>
  <w:style w:type="character" w:customStyle="1" w:styleId="WW8Num15z2">
    <w:name w:val="WW8Num15z2"/>
    <w:rsid w:val="009234DE"/>
  </w:style>
  <w:style w:type="character" w:customStyle="1" w:styleId="WW8Num15z3">
    <w:name w:val="WW8Num15z3"/>
    <w:rsid w:val="009234DE"/>
  </w:style>
  <w:style w:type="character" w:customStyle="1" w:styleId="WW8Num15z4">
    <w:name w:val="WW8Num15z4"/>
    <w:rsid w:val="009234DE"/>
  </w:style>
  <w:style w:type="character" w:customStyle="1" w:styleId="WW8Num15z5">
    <w:name w:val="WW8Num15z5"/>
    <w:rsid w:val="009234DE"/>
  </w:style>
  <w:style w:type="character" w:customStyle="1" w:styleId="WW8Num15z6">
    <w:name w:val="WW8Num15z6"/>
    <w:rsid w:val="009234DE"/>
  </w:style>
  <w:style w:type="character" w:customStyle="1" w:styleId="WW8Num15z7">
    <w:name w:val="WW8Num15z7"/>
    <w:rsid w:val="009234DE"/>
  </w:style>
  <w:style w:type="character" w:customStyle="1" w:styleId="WW8Num15z8">
    <w:name w:val="WW8Num15z8"/>
    <w:rsid w:val="009234DE"/>
  </w:style>
  <w:style w:type="character" w:customStyle="1" w:styleId="WW8Num16z0">
    <w:name w:val="WW8Num16z0"/>
    <w:rsid w:val="009234DE"/>
    <w:rPr>
      <w:rFonts w:ascii="Times New Roman" w:eastAsia="Times New Roman" w:hAnsi="Times New Roman" w:cs="Courier New"/>
      <w:strike w:val="0"/>
      <w:dstrike w:val="0"/>
      <w:color w:val="000000"/>
      <w:w w:val="101"/>
      <w:sz w:val="24"/>
    </w:rPr>
  </w:style>
  <w:style w:type="character" w:customStyle="1" w:styleId="WW8Num16z1">
    <w:name w:val="WW8Num16z1"/>
    <w:rsid w:val="009234DE"/>
    <w:rPr>
      <w:rFonts w:ascii="Courier New" w:hAnsi="Courier New" w:cs="Courier New" w:hint="default"/>
    </w:rPr>
  </w:style>
  <w:style w:type="character" w:customStyle="1" w:styleId="WW8Num16z2">
    <w:name w:val="WW8Num16z2"/>
    <w:rsid w:val="009234DE"/>
    <w:rPr>
      <w:rFonts w:ascii="Wingdings" w:hAnsi="Wingdings" w:cs="Wingdings" w:hint="default"/>
    </w:rPr>
  </w:style>
  <w:style w:type="character" w:customStyle="1" w:styleId="WW8Num16z3">
    <w:name w:val="WW8Num16z3"/>
    <w:rsid w:val="009234DE"/>
    <w:rPr>
      <w:rFonts w:ascii="Symbol" w:hAnsi="Symbol" w:cs="Symbol" w:hint="default"/>
    </w:rPr>
  </w:style>
  <w:style w:type="character" w:customStyle="1" w:styleId="WW8Num17z0">
    <w:name w:val="WW8Num17z0"/>
    <w:rsid w:val="009234DE"/>
    <w:rPr>
      <w:rFonts w:hint="default"/>
      <w:b/>
      <w:color w:val="000000"/>
    </w:rPr>
  </w:style>
  <w:style w:type="character" w:customStyle="1" w:styleId="WW8Num17z1">
    <w:name w:val="WW8Num17z1"/>
    <w:rsid w:val="009234DE"/>
  </w:style>
  <w:style w:type="character" w:customStyle="1" w:styleId="WW8Num17z2">
    <w:name w:val="WW8Num17z2"/>
    <w:rsid w:val="009234DE"/>
  </w:style>
  <w:style w:type="character" w:customStyle="1" w:styleId="WW8Num17z3">
    <w:name w:val="WW8Num17z3"/>
    <w:rsid w:val="009234DE"/>
  </w:style>
  <w:style w:type="character" w:customStyle="1" w:styleId="WW8Num17z4">
    <w:name w:val="WW8Num17z4"/>
    <w:rsid w:val="009234DE"/>
  </w:style>
  <w:style w:type="character" w:customStyle="1" w:styleId="WW8Num17z5">
    <w:name w:val="WW8Num17z5"/>
    <w:rsid w:val="009234DE"/>
  </w:style>
  <w:style w:type="character" w:customStyle="1" w:styleId="WW8Num17z6">
    <w:name w:val="WW8Num17z6"/>
    <w:rsid w:val="009234DE"/>
  </w:style>
  <w:style w:type="character" w:customStyle="1" w:styleId="WW8Num17z7">
    <w:name w:val="WW8Num17z7"/>
    <w:rsid w:val="009234DE"/>
  </w:style>
  <w:style w:type="character" w:customStyle="1" w:styleId="WW8Num17z8">
    <w:name w:val="WW8Num17z8"/>
    <w:rsid w:val="009234DE"/>
  </w:style>
  <w:style w:type="character" w:customStyle="1" w:styleId="WW8Num18z0">
    <w:name w:val="WW8Num18z0"/>
    <w:rsid w:val="009234DE"/>
    <w:rPr>
      <w:rFonts w:ascii="Symbol" w:hAnsi="Symbol" w:cs="Symbol" w:hint="default"/>
      <w:color w:val="E7E6E6"/>
      <w:w w:val="101"/>
    </w:rPr>
  </w:style>
  <w:style w:type="character" w:customStyle="1" w:styleId="WW8Num18z1">
    <w:name w:val="WW8Num18z1"/>
    <w:rsid w:val="009234DE"/>
    <w:rPr>
      <w:rFonts w:ascii="Courier New" w:hAnsi="Courier New" w:cs="Courier New" w:hint="default"/>
    </w:rPr>
  </w:style>
  <w:style w:type="character" w:customStyle="1" w:styleId="WW8Num18z2">
    <w:name w:val="WW8Num18z2"/>
    <w:rsid w:val="009234DE"/>
    <w:rPr>
      <w:rFonts w:ascii="Wingdings" w:hAnsi="Wingdings" w:cs="Wingdings" w:hint="default"/>
    </w:rPr>
  </w:style>
  <w:style w:type="character" w:customStyle="1" w:styleId="WW8Num19z0">
    <w:name w:val="WW8Num19z0"/>
    <w:rsid w:val="009234DE"/>
    <w:rPr>
      <w:rFonts w:ascii="Times New Roman" w:eastAsia="Times New Roman" w:hAnsi="Times New Roman" w:cs="Courier New"/>
      <w:b/>
      <w:color w:val="000000"/>
      <w:w w:val="103"/>
      <w:sz w:val="23"/>
    </w:rPr>
  </w:style>
  <w:style w:type="character" w:customStyle="1" w:styleId="WW8Num19z1">
    <w:name w:val="WW8Num19z1"/>
    <w:rsid w:val="009234DE"/>
  </w:style>
  <w:style w:type="character" w:customStyle="1" w:styleId="WW8Num19z2">
    <w:name w:val="WW8Num19z2"/>
    <w:rsid w:val="009234DE"/>
  </w:style>
  <w:style w:type="character" w:customStyle="1" w:styleId="WW8Num19z3">
    <w:name w:val="WW8Num19z3"/>
    <w:rsid w:val="009234DE"/>
  </w:style>
  <w:style w:type="character" w:customStyle="1" w:styleId="WW8Num19z4">
    <w:name w:val="WW8Num19z4"/>
    <w:rsid w:val="009234DE"/>
  </w:style>
  <w:style w:type="character" w:customStyle="1" w:styleId="WW8Num19z5">
    <w:name w:val="WW8Num19z5"/>
    <w:rsid w:val="009234DE"/>
  </w:style>
  <w:style w:type="character" w:customStyle="1" w:styleId="WW8Num19z6">
    <w:name w:val="WW8Num19z6"/>
    <w:rsid w:val="009234DE"/>
  </w:style>
  <w:style w:type="character" w:customStyle="1" w:styleId="WW8Num19z7">
    <w:name w:val="WW8Num19z7"/>
    <w:rsid w:val="009234DE"/>
  </w:style>
  <w:style w:type="character" w:customStyle="1" w:styleId="WW8Num19z8">
    <w:name w:val="WW8Num19z8"/>
    <w:rsid w:val="009234DE"/>
  </w:style>
  <w:style w:type="character" w:customStyle="1" w:styleId="WW8Num20z0">
    <w:name w:val="WW8Num20z0"/>
    <w:rsid w:val="009234DE"/>
  </w:style>
  <w:style w:type="character" w:customStyle="1" w:styleId="WW8Num20z1">
    <w:name w:val="WW8Num20z1"/>
    <w:rsid w:val="009234DE"/>
  </w:style>
  <w:style w:type="character" w:customStyle="1" w:styleId="WW8Num20z2">
    <w:name w:val="WW8Num20z2"/>
    <w:rsid w:val="009234DE"/>
  </w:style>
  <w:style w:type="character" w:customStyle="1" w:styleId="WW8Num20z3">
    <w:name w:val="WW8Num20z3"/>
    <w:rsid w:val="009234DE"/>
  </w:style>
  <w:style w:type="character" w:customStyle="1" w:styleId="WW8Num20z4">
    <w:name w:val="WW8Num20z4"/>
    <w:rsid w:val="009234DE"/>
  </w:style>
  <w:style w:type="character" w:customStyle="1" w:styleId="WW8Num20z5">
    <w:name w:val="WW8Num20z5"/>
    <w:rsid w:val="009234DE"/>
  </w:style>
  <w:style w:type="character" w:customStyle="1" w:styleId="WW8Num20z6">
    <w:name w:val="WW8Num20z6"/>
    <w:rsid w:val="009234DE"/>
  </w:style>
  <w:style w:type="character" w:customStyle="1" w:styleId="WW8Num20z7">
    <w:name w:val="WW8Num20z7"/>
    <w:rsid w:val="009234DE"/>
  </w:style>
  <w:style w:type="character" w:customStyle="1" w:styleId="WW8Num20z8">
    <w:name w:val="WW8Num20z8"/>
    <w:rsid w:val="009234DE"/>
  </w:style>
  <w:style w:type="character" w:customStyle="1" w:styleId="WW8Num21z0">
    <w:name w:val="WW8Num21z0"/>
    <w:rsid w:val="009234DE"/>
  </w:style>
  <w:style w:type="character" w:customStyle="1" w:styleId="WW8Num21z1">
    <w:name w:val="WW8Num21z1"/>
    <w:rsid w:val="009234DE"/>
  </w:style>
  <w:style w:type="character" w:customStyle="1" w:styleId="WW8Num21z2">
    <w:name w:val="WW8Num21z2"/>
    <w:rsid w:val="009234DE"/>
  </w:style>
  <w:style w:type="character" w:customStyle="1" w:styleId="WW8Num21z3">
    <w:name w:val="WW8Num21z3"/>
    <w:rsid w:val="009234DE"/>
  </w:style>
  <w:style w:type="character" w:customStyle="1" w:styleId="WW8Num21z4">
    <w:name w:val="WW8Num21z4"/>
    <w:rsid w:val="009234DE"/>
  </w:style>
  <w:style w:type="character" w:customStyle="1" w:styleId="WW8Num21z5">
    <w:name w:val="WW8Num21z5"/>
    <w:rsid w:val="009234DE"/>
  </w:style>
  <w:style w:type="character" w:customStyle="1" w:styleId="WW8Num21z6">
    <w:name w:val="WW8Num21z6"/>
    <w:rsid w:val="009234DE"/>
  </w:style>
  <w:style w:type="character" w:customStyle="1" w:styleId="WW8Num21z7">
    <w:name w:val="WW8Num21z7"/>
    <w:rsid w:val="009234DE"/>
  </w:style>
  <w:style w:type="character" w:customStyle="1" w:styleId="WW8Num21z8">
    <w:name w:val="WW8Num21z8"/>
    <w:rsid w:val="009234DE"/>
  </w:style>
  <w:style w:type="character" w:customStyle="1" w:styleId="WW8Num22z0">
    <w:name w:val="WW8Num22z0"/>
    <w:rsid w:val="009234DE"/>
    <w:rPr>
      <w:rFonts w:hint="default"/>
      <w:b/>
      <w:color w:val="AEAAAA"/>
      <w:w w:val="101"/>
      <w:sz w:val="24"/>
      <w:szCs w:val="24"/>
    </w:rPr>
  </w:style>
  <w:style w:type="character" w:customStyle="1" w:styleId="WW8Num22z1">
    <w:name w:val="WW8Num22z1"/>
    <w:rsid w:val="009234DE"/>
  </w:style>
  <w:style w:type="character" w:customStyle="1" w:styleId="WW8Num22z2">
    <w:name w:val="WW8Num22z2"/>
    <w:rsid w:val="009234DE"/>
  </w:style>
  <w:style w:type="character" w:customStyle="1" w:styleId="WW8Num22z3">
    <w:name w:val="WW8Num22z3"/>
    <w:rsid w:val="009234DE"/>
  </w:style>
  <w:style w:type="character" w:customStyle="1" w:styleId="WW8Num22z4">
    <w:name w:val="WW8Num22z4"/>
    <w:rsid w:val="009234DE"/>
  </w:style>
  <w:style w:type="character" w:customStyle="1" w:styleId="WW8Num22z5">
    <w:name w:val="WW8Num22z5"/>
    <w:rsid w:val="009234DE"/>
  </w:style>
  <w:style w:type="character" w:customStyle="1" w:styleId="WW8Num22z6">
    <w:name w:val="WW8Num22z6"/>
    <w:rsid w:val="009234DE"/>
  </w:style>
  <w:style w:type="character" w:customStyle="1" w:styleId="WW8Num22z7">
    <w:name w:val="WW8Num22z7"/>
    <w:rsid w:val="009234DE"/>
  </w:style>
  <w:style w:type="character" w:customStyle="1" w:styleId="WW8Num22z8">
    <w:name w:val="WW8Num22z8"/>
    <w:rsid w:val="009234DE"/>
  </w:style>
  <w:style w:type="character" w:customStyle="1" w:styleId="WW8Num23z0">
    <w:name w:val="WW8Num23z0"/>
    <w:rsid w:val="009234DE"/>
  </w:style>
  <w:style w:type="character" w:customStyle="1" w:styleId="WW8Num23z1">
    <w:name w:val="WW8Num23z1"/>
    <w:rsid w:val="009234DE"/>
  </w:style>
  <w:style w:type="character" w:customStyle="1" w:styleId="WW8Num23z2">
    <w:name w:val="WW8Num23z2"/>
    <w:rsid w:val="009234DE"/>
  </w:style>
  <w:style w:type="character" w:customStyle="1" w:styleId="WW8Num23z3">
    <w:name w:val="WW8Num23z3"/>
    <w:rsid w:val="009234DE"/>
  </w:style>
  <w:style w:type="character" w:customStyle="1" w:styleId="WW8Num23z4">
    <w:name w:val="WW8Num23z4"/>
    <w:rsid w:val="009234DE"/>
  </w:style>
  <w:style w:type="character" w:customStyle="1" w:styleId="WW8Num23z5">
    <w:name w:val="WW8Num23z5"/>
    <w:rsid w:val="009234DE"/>
  </w:style>
  <w:style w:type="character" w:customStyle="1" w:styleId="WW8Num23z6">
    <w:name w:val="WW8Num23z6"/>
    <w:rsid w:val="009234DE"/>
  </w:style>
  <w:style w:type="character" w:customStyle="1" w:styleId="WW8Num23z7">
    <w:name w:val="WW8Num23z7"/>
    <w:rsid w:val="009234DE"/>
  </w:style>
  <w:style w:type="character" w:customStyle="1" w:styleId="WW8Num23z8">
    <w:name w:val="WW8Num23z8"/>
    <w:rsid w:val="009234DE"/>
  </w:style>
  <w:style w:type="character" w:customStyle="1" w:styleId="WW8Num24z0">
    <w:name w:val="WW8Num24z0"/>
    <w:rsid w:val="009234DE"/>
    <w:rPr>
      <w:rFonts w:hint="default"/>
      <w:b/>
      <w:color w:val="000000"/>
      <w:w w:val="101"/>
    </w:rPr>
  </w:style>
  <w:style w:type="character" w:customStyle="1" w:styleId="WW8Num24z1">
    <w:name w:val="WW8Num24z1"/>
    <w:rsid w:val="009234DE"/>
  </w:style>
  <w:style w:type="character" w:customStyle="1" w:styleId="WW8Num24z2">
    <w:name w:val="WW8Num24z2"/>
    <w:rsid w:val="009234DE"/>
  </w:style>
  <w:style w:type="character" w:customStyle="1" w:styleId="WW8Num24z3">
    <w:name w:val="WW8Num24z3"/>
    <w:rsid w:val="009234DE"/>
  </w:style>
  <w:style w:type="character" w:customStyle="1" w:styleId="WW8Num24z4">
    <w:name w:val="WW8Num24z4"/>
    <w:rsid w:val="009234DE"/>
  </w:style>
  <w:style w:type="character" w:customStyle="1" w:styleId="WW8Num24z5">
    <w:name w:val="WW8Num24z5"/>
    <w:rsid w:val="009234DE"/>
  </w:style>
  <w:style w:type="character" w:customStyle="1" w:styleId="WW8Num24z6">
    <w:name w:val="WW8Num24z6"/>
    <w:rsid w:val="009234DE"/>
  </w:style>
  <w:style w:type="character" w:customStyle="1" w:styleId="WW8Num24z7">
    <w:name w:val="WW8Num24z7"/>
    <w:rsid w:val="009234DE"/>
  </w:style>
  <w:style w:type="character" w:customStyle="1" w:styleId="WW8Num24z8">
    <w:name w:val="WW8Num24z8"/>
    <w:rsid w:val="009234DE"/>
  </w:style>
  <w:style w:type="character" w:customStyle="1" w:styleId="WW8Num25z0">
    <w:name w:val="WW8Num25z0"/>
    <w:rsid w:val="009234DE"/>
  </w:style>
  <w:style w:type="character" w:customStyle="1" w:styleId="WW8Num25z1">
    <w:name w:val="WW8Num25z1"/>
    <w:rsid w:val="009234DE"/>
  </w:style>
  <w:style w:type="character" w:customStyle="1" w:styleId="WW8Num25z2">
    <w:name w:val="WW8Num25z2"/>
    <w:rsid w:val="009234DE"/>
  </w:style>
  <w:style w:type="character" w:customStyle="1" w:styleId="WW8Num25z3">
    <w:name w:val="WW8Num25z3"/>
    <w:rsid w:val="009234DE"/>
  </w:style>
  <w:style w:type="character" w:customStyle="1" w:styleId="WW8Num25z4">
    <w:name w:val="WW8Num25z4"/>
    <w:rsid w:val="009234DE"/>
  </w:style>
  <w:style w:type="character" w:customStyle="1" w:styleId="WW8Num25z5">
    <w:name w:val="WW8Num25z5"/>
    <w:rsid w:val="009234DE"/>
  </w:style>
  <w:style w:type="character" w:customStyle="1" w:styleId="WW8Num25z6">
    <w:name w:val="WW8Num25z6"/>
    <w:rsid w:val="009234DE"/>
  </w:style>
  <w:style w:type="character" w:customStyle="1" w:styleId="WW8Num25z7">
    <w:name w:val="WW8Num25z7"/>
    <w:rsid w:val="009234DE"/>
  </w:style>
  <w:style w:type="character" w:customStyle="1" w:styleId="WW8Num25z8">
    <w:name w:val="WW8Num25z8"/>
    <w:rsid w:val="009234DE"/>
  </w:style>
  <w:style w:type="character" w:customStyle="1" w:styleId="WW8Num26z0">
    <w:name w:val="WW8Num26z0"/>
    <w:rsid w:val="009234DE"/>
    <w:rPr>
      <w:rFonts w:hint="default"/>
    </w:rPr>
  </w:style>
  <w:style w:type="character" w:customStyle="1" w:styleId="WW8Num26z1">
    <w:name w:val="WW8Num26z1"/>
    <w:rsid w:val="009234DE"/>
  </w:style>
  <w:style w:type="character" w:customStyle="1" w:styleId="WW8Num26z2">
    <w:name w:val="WW8Num26z2"/>
    <w:rsid w:val="009234DE"/>
  </w:style>
  <w:style w:type="character" w:customStyle="1" w:styleId="WW8Num26z3">
    <w:name w:val="WW8Num26z3"/>
    <w:rsid w:val="009234DE"/>
  </w:style>
  <w:style w:type="character" w:customStyle="1" w:styleId="WW8Num26z4">
    <w:name w:val="WW8Num26z4"/>
    <w:rsid w:val="009234DE"/>
  </w:style>
  <w:style w:type="character" w:customStyle="1" w:styleId="WW8Num26z5">
    <w:name w:val="WW8Num26z5"/>
    <w:rsid w:val="009234DE"/>
  </w:style>
  <w:style w:type="character" w:customStyle="1" w:styleId="WW8Num26z6">
    <w:name w:val="WW8Num26z6"/>
    <w:rsid w:val="009234DE"/>
  </w:style>
  <w:style w:type="character" w:customStyle="1" w:styleId="WW8Num26z7">
    <w:name w:val="WW8Num26z7"/>
    <w:rsid w:val="009234DE"/>
  </w:style>
  <w:style w:type="character" w:customStyle="1" w:styleId="WW8Num26z8">
    <w:name w:val="WW8Num26z8"/>
    <w:rsid w:val="009234DE"/>
  </w:style>
  <w:style w:type="character" w:customStyle="1" w:styleId="WW8Num27z0">
    <w:name w:val="WW8Num27z0"/>
    <w:rsid w:val="009234DE"/>
    <w:rPr>
      <w:rFonts w:ascii="Symbol" w:hAnsi="Symbol" w:cs="Symbol" w:hint="default"/>
    </w:rPr>
  </w:style>
  <w:style w:type="character" w:customStyle="1" w:styleId="WW8Num27z1">
    <w:name w:val="WW8Num27z1"/>
    <w:rsid w:val="009234DE"/>
    <w:rPr>
      <w:rFonts w:ascii="Courier New" w:hAnsi="Courier New" w:cs="Courier New" w:hint="default"/>
    </w:rPr>
  </w:style>
  <w:style w:type="character" w:customStyle="1" w:styleId="WW8Num27z2">
    <w:name w:val="WW8Num27z2"/>
    <w:rsid w:val="009234DE"/>
    <w:rPr>
      <w:rFonts w:ascii="Wingdings" w:hAnsi="Wingdings" w:cs="Wingdings" w:hint="default"/>
    </w:rPr>
  </w:style>
  <w:style w:type="character" w:customStyle="1" w:styleId="WW8Num28z0">
    <w:name w:val="WW8Num28z0"/>
    <w:rsid w:val="009234DE"/>
  </w:style>
  <w:style w:type="character" w:customStyle="1" w:styleId="WW8Num28z1">
    <w:name w:val="WW8Num28z1"/>
    <w:rsid w:val="009234DE"/>
  </w:style>
  <w:style w:type="character" w:customStyle="1" w:styleId="WW8Num28z2">
    <w:name w:val="WW8Num28z2"/>
    <w:rsid w:val="009234DE"/>
  </w:style>
  <w:style w:type="character" w:customStyle="1" w:styleId="WW8Num28z3">
    <w:name w:val="WW8Num28z3"/>
    <w:rsid w:val="009234DE"/>
  </w:style>
  <w:style w:type="character" w:customStyle="1" w:styleId="WW8Num28z4">
    <w:name w:val="WW8Num28z4"/>
    <w:rsid w:val="009234DE"/>
  </w:style>
  <w:style w:type="character" w:customStyle="1" w:styleId="WW8Num28z5">
    <w:name w:val="WW8Num28z5"/>
    <w:rsid w:val="009234DE"/>
  </w:style>
  <w:style w:type="character" w:customStyle="1" w:styleId="WW8Num28z6">
    <w:name w:val="WW8Num28z6"/>
    <w:rsid w:val="009234DE"/>
  </w:style>
  <w:style w:type="character" w:customStyle="1" w:styleId="WW8Num28z7">
    <w:name w:val="WW8Num28z7"/>
    <w:rsid w:val="009234DE"/>
  </w:style>
  <w:style w:type="character" w:customStyle="1" w:styleId="WW8Num28z8">
    <w:name w:val="WW8Num28z8"/>
    <w:rsid w:val="009234DE"/>
  </w:style>
  <w:style w:type="character" w:customStyle="1" w:styleId="WW8Num29z0">
    <w:name w:val="WW8Num29z0"/>
    <w:rsid w:val="009234DE"/>
    <w:rPr>
      <w:rFonts w:ascii="Times New Roman" w:eastAsia="Times New Roman" w:hAnsi="Times New Roman" w:cs="Courier New"/>
      <w:b/>
      <w:color w:val="000000"/>
      <w:sz w:val="24"/>
    </w:rPr>
  </w:style>
  <w:style w:type="character" w:customStyle="1" w:styleId="WW8Num29z1">
    <w:name w:val="WW8Num29z1"/>
    <w:rsid w:val="009234DE"/>
    <w:rPr>
      <w:rFonts w:ascii="Courier New" w:hAnsi="Courier New" w:cs="Courier New" w:hint="default"/>
    </w:rPr>
  </w:style>
  <w:style w:type="character" w:customStyle="1" w:styleId="WW8Num29z2">
    <w:name w:val="WW8Num29z2"/>
    <w:rsid w:val="009234DE"/>
    <w:rPr>
      <w:rFonts w:ascii="Wingdings" w:hAnsi="Wingdings" w:cs="Wingdings" w:hint="default"/>
    </w:rPr>
  </w:style>
  <w:style w:type="character" w:customStyle="1" w:styleId="WW8Num29z3">
    <w:name w:val="WW8Num29z3"/>
    <w:rsid w:val="009234DE"/>
    <w:rPr>
      <w:rFonts w:ascii="Symbol" w:hAnsi="Symbol" w:cs="Symbol" w:hint="default"/>
    </w:rPr>
  </w:style>
  <w:style w:type="character" w:customStyle="1" w:styleId="WW8Num30z0">
    <w:name w:val="WW8Num30z0"/>
    <w:rsid w:val="009234DE"/>
    <w:rPr>
      <w:rFonts w:hint="default"/>
    </w:rPr>
  </w:style>
  <w:style w:type="character" w:customStyle="1" w:styleId="WW8Num30z1">
    <w:name w:val="WW8Num30z1"/>
    <w:rsid w:val="009234DE"/>
  </w:style>
  <w:style w:type="character" w:customStyle="1" w:styleId="WW8Num30z2">
    <w:name w:val="WW8Num30z2"/>
    <w:rsid w:val="009234DE"/>
  </w:style>
  <w:style w:type="character" w:customStyle="1" w:styleId="WW8Num30z3">
    <w:name w:val="WW8Num30z3"/>
    <w:rsid w:val="009234DE"/>
  </w:style>
  <w:style w:type="character" w:customStyle="1" w:styleId="WW8Num30z4">
    <w:name w:val="WW8Num30z4"/>
    <w:rsid w:val="009234DE"/>
  </w:style>
  <w:style w:type="character" w:customStyle="1" w:styleId="WW8Num30z5">
    <w:name w:val="WW8Num30z5"/>
    <w:rsid w:val="009234DE"/>
  </w:style>
  <w:style w:type="character" w:customStyle="1" w:styleId="WW8Num30z6">
    <w:name w:val="WW8Num30z6"/>
    <w:rsid w:val="009234DE"/>
  </w:style>
  <w:style w:type="character" w:customStyle="1" w:styleId="WW8Num30z7">
    <w:name w:val="WW8Num30z7"/>
    <w:rsid w:val="009234DE"/>
  </w:style>
  <w:style w:type="character" w:customStyle="1" w:styleId="WW8Num30z8">
    <w:name w:val="WW8Num30z8"/>
    <w:rsid w:val="009234DE"/>
  </w:style>
  <w:style w:type="character" w:customStyle="1" w:styleId="WW8Num31z0">
    <w:name w:val="WW8Num31z0"/>
    <w:rsid w:val="009234DE"/>
    <w:rPr>
      <w:rFonts w:ascii="Times New Roman" w:hAnsi="Times New Roman" w:cs="Times New Roman" w:hint="default"/>
      <w:spacing w:val="40"/>
      <w:w w:val="100"/>
      <w:sz w:val="24"/>
      <w:szCs w:val="24"/>
    </w:rPr>
  </w:style>
  <w:style w:type="character" w:customStyle="1" w:styleId="WW8Num31z1">
    <w:name w:val="WW8Num31z1"/>
    <w:rsid w:val="009234DE"/>
  </w:style>
  <w:style w:type="character" w:customStyle="1" w:styleId="WW8Num31z2">
    <w:name w:val="WW8Num31z2"/>
    <w:rsid w:val="009234DE"/>
  </w:style>
  <w:style w:type="character" w:customStyle="1" w:styleId="WW8Num31z3">
    <w:name w:val="WW8Num31z3"/>
    <w:rsid w:val="009234DE"/>
  </w:style>
  <w:style w:type="character" w:customStyle="1" w:styleId="WW8Num31z4">
    <w:name w:val="WW8Num31z4"/>
    <w:rsid w:val="009234DE"/>
  </w:style>
  <w:style w:type="character" w:customStyle="1" w:styleId="WW8Num31z5">
    <w:name w:val="WW8Num31z5"/>
    <w:rsid w:val="009234DE"/>
  </w:style>
  <w:style w:type="character" w:customStyle="1" w:styleId="WW8Num31z6">
    <w:name w:val="WW8Num31z6"/>
    <w:rsid w:val="009234DE"/>
  </w:style>
  <w:style w:type="character" w:customStyle="1" w:styleId="WW8Num31z7">
    <w:name w:val="WW8Num31z7"/>
    <w:rsid w:val="009234DE"/>
  </w:style>
  <w:style w:type="character" w:customStyle="1" w:styleId="WW8Num31z8">
    <w:name w:val="WW8Num31z8"/>
    <w:rsid w:val="009234DE"/>
  </w:style>
  <w:style w:type="character" w:customStyle="1" w:styleId="WW8Num32z0">
    <w:name w:val="WW8Num32z0"/>
    <w:rsid w:val="009234DE"/>
    <w:rPr>
      <w:rFonts w:ascii="Times New Roman" w:eastAsia="Times New Roman" w:hAnsi="Times New Roman" w:cs="Courier New"/>
      <w:b/>
      <w:color w:val="5B9BD5"/>
      <w:sz w:val="24"/>
      <w:szCs w:val="24"/>
    </w:rPr>
  </w:style>
  <w:style w:type="character" w:customStyle="1" w:styleId="WW8Num32z1">
    <w:name w:val="WW8Num32z1"/>
    <w:rsid w:val="009234DE"/>
    <w:rPr>
      <w:rFonts w:ascii="Courier New" w:hAnsi="Courier New" w:cs="Courier New" w:hint="default"/>
    </w:rPr>
  </w:style>
  <w:style w:type="character" w:customStyle="1" w:styleId="WW8Num32z2">
    <w:name w:val="WW8Num32z2"/>
    <w:rsid w:val="009234DE"/>
    <w:rPr>
      <w:rFonts w:ascii="Wingdings" w:hAnsi="Wingdings" w:cs="Wingdings" w:hint="default"/>
    </w:rPr>
  </w:style>
  <w:style w:type="character" w:customStyle="1" w:styleId="WW8Num32z3">
    <w:name w:val="WW8Num32z3"/>
    <w:rsid w:val="009234DE"/>
    <w:rPr>
      <w:rFonts w:ascii="Symbol" w:hAnsi="Symbol" w:cs="Symbol" w:hint="default"/>
    </w:rPr>
  </w:style>
  <w:style w:type="character" w:customStyle="1" w:styleId="WW8Num33z0">
    <w:name w:val="WW8Num33z0"/>
    <w:rsid w:val="009234DE"/>
    <w:rPr>
      <w:rFonts w:ascii="Symbol" w:hAnsi="Symbol" w:cs="Symbol" w:hint="default"/>
      <w:color w:val="000000"/>
    </w:rPr>
  </w:style>
  <w:style w:type="character" w:customStyle="1" w:styleId="WW8Num33z1">
    <w:name w:val="WW8Num33z1"/>
    <w:rsid w:val="009234DE"/>
    <w:rPr>
      <w:rFonts w:ascii="Courier New" w:hAnsi="Courier New" w:cs="Courier New" w:hint="default"/>
    </w:rPr>
  </w:style>
  <w:style w:type="character" w:customStyle="1" w:styleId="WW8Num33z2">
    <w:name w:val="WW8Num33z2"/>
    <w:rsid w:val="009234DE"/>
    <w:rPr>
      <w:rFonts w:ascii="Wingdings" w:hAnsi="Wingdings" w:cs="Wingdings" w:hint="default"/>
    </w:rPr>
  </w:style>
  <w:style w:type="character" w:customStyle="1" w:styleId="WW8Num34z0">
    <w:name w:val="WW8Num34z0"/>
    <w:rsid w:val="009234DE"/>
    <w:rPr>
      <w:rFonts w:hint="default"/>
    </w:rPr>
  </w:style>
  <w:style w:type="character" w:customStyle="1" w:styleId="WW8Num34z1">
    <w:name w:val="WW8Num34z1"/>
    <w:rsid w:val="009234DE"/>
  </w:style>
  <w:style w:type="character" w:customStyle="1" w:styleId="WW8Num34z2">
    <w:name w:val="WW8Num34z2"/>
    <w:rsid w:val="009234DE"/>
  </w:style>
  <w:style w:type="character" w:customStyle="1" w:styleId="WW8Num34z3">
    <w:name w:val="WW8Num34z3"/>
    <w:rsid w:val="009234DE"/>
  </w:style>
  <w:style w:type="character" w:customStyle="1" w:styleId="WW8Num34z4">
    <w:name w:val="WW8Num34z4"/>
    <w:rsid w:val="009234DE"/>
  </w:style>
  <w:style w:type="character" w:customStyle="1" w:styleId="WW8Num34z5">
    <w:name w:val="WW8Num34z5"/>
    <w:rsid w:val="009234DE"/>
  </w:style>
  <w:style w:type="character" w:customStyle="1" w:styleId="WW8Num34z6">
    <w:name w:val="WW8Num34z6"/>
    <w:rsid w:val="009234DE"/>
  </w:style>
  <w:style w:type="character" w:customStyle="1" w:styleId="WW8Num34z7">
    <w:name w:val="WW8Num34z7"/>
    <w:rsid w:val="009234DE"/>
  </w:style>
  <w:style w:type="character" w:customStyle="1" w:styleId="WW8Num34z8">
    <w:name w:val="WW8Num34z8"/>
    <w:rsid w:val="009234DE"/>
  </w:style>
  <w:style w:type="character" w:customStyle="1" w:styleId="WW8Num35z0">
    <w:name w:val="WW8Num35z0"/>
    <w:rsid w:val="009234DE"/>
    <w:rPr>
      <w:rFonts w:ascii="Symbol" w:hAnsi="Symbol" w:cs="Symbol" w:hint="default"/>
    </w:rPr>
  </w:style>
  <w:style w:type="character" w:customStyle="1" w:styleId="WW8Num35z1">
    <w:name w:val="WW8Num35z1"/>
    <w:rsid w:val="009234DE"/>
    <w:rPr>
      <w:rFonts w:ascii="Courier New" w:hAnsi="Courier New" w:cs="Courier New" w:hint="default"/>
    </w:rPr>
  </w:style>
  <w:style w:type="character" w:customStyle="1" w:styleId="WW8Num35z2">
    <w:name w:val="WW8Num35z2"/>
    <w:rsid w:val="009234DE"/>
    <w:rPr>
      <w:rFonts w:ascii="Wingdings" w:hAnsi="Wingdings" w:cs="Wingdings" w:hint="default"/>
    </w:rPr>
  </w:style>
  <w:style w:type="character" w:customStyle="1" w:styleId="WW8Num36z0">
    <w:name w:val="WW8Num36z0"/>
    <w:rsid w:val="009234DE"/>
    <w:rPr>
      <w:rFonts w:ascii="Times New Roman" w:eastAsia="Times New Roman" w:hAnsi="Times New Roman" w:cs="Courier New"/>
      <w:b/>
      <w:color w:val="000000"/>
      <w:sz w:val="24"/>
    </w:rPr>
  </w:style>
  <w:style w:type="character" w:customStyle="1" w:styleId="WW8Num36z1">
    <w:name w:val="WW8Num36z1"/>
    <w:rsid w:val="009234DE"/>
    <w:rPr>
      <w:rFonts w:ascii="Courier New" w:hAnsi="Courier New" w:cs="Courier New" w:hint="default"/>
    </w:rPr>
  </w:style>
  <w:style w:type="character" w:customStyle="1" w:styleId="WW8Num36z2">
    <w:name w:val="WW8Num36z2"/>
    <w:rsid w:val="009234DE"/>
    <w:rPr>
      <w:rFonts w:ascii="Wingdings" w:hAnsi="Wingdings" w:cs="Wingdings" w:hint="default"/>
    </w:rPr>
  </w:style>
  <w:style w:type="character" w:customStyle="1" w:styleId="WW8Num36z3">
    <w:name w:val="WW8Num36z3"/>
    <w:rsid w:val="009234DE"/>
    <w:rPr>
      <w:rFonts w:ascii="Symbol" w:hAnsi="Symbol" w:cs="Symbol" w:hint="default"/>
    </w:rPr>
  </w:style>
  <w:style w:type="character" w:customStyle="1" w:styleId="WW8Num37z0">
    <w:name w:val="WW8Num37z0"/>
    <w:rsid w:val="009234DE"/>
    <w:rPr>
      <w:rFonts w:cs="Times New Roman" w:hint="default"/>
      <w:b/>
      <w:color w:val="333333"/>
    </w:rPr>
  </w:style>
  <w:style w:type="character" w:customStyle="1" w:styleId="WW8Num37z1">
    <w:name w:val="WW8Num37z1"/>
    <w:rsid w:val="009234DE"/>
  </w:style>
  <w:style w:type="character" w:customStyle="1" w:styleId="WW8Num37z2">
    <w:name w:val="WW8Num37z2"/>
    <w:rsid w:val="009234DE"/>
  </w:style>
  <w:style w:type="character" w:customStyle="1" w:styleId="WW8Num37z3">
    <w:name w:val="WW8Num37z3"/>
    <w:rsid w:val="009234DE"/>
  </w:style>
  <w:style w:type="character" w:customStyle="1" w:styleId="WW8Num37z4">
    <w:name w:val="WW8Num37z4"/>
    <w:rsid w:val="009234DE"/>
  </w:style>
  <w:style w:type="character" w:customStyle="1" w:styleId="WW8Num37z5">
    <w:name w:val="WW8Num37z5"/>
    <w:rsid w:val="009234DE"/>
  </w:style>
  <w:style w:type="character" w:customStyle="1" w:styleId="WW8Num37z6">
    <w:name w:val="WW8Num37z6"/>
    <w:rsid w:val="009234DE"/>
  </w:style>
  <w:style w:type="character" w:customStyle="1" w:styleId="WW8Num37z7">
    <w:name w:val="WW8Num37z7"/>
    <w:rsid w:val="009234DE"/>
  </w:style>
  <w:style w:type="character" w:customStyle="1" w:styleId="WW8Num37z8">
    <w:name w:val="WW8Num37z8"/>
    <w:rsid w:val="009234DE"/>
  </w:style>
  <w:style w:type="character" w:customStyle="1" w:styleId="WW8Num38z0">
    <w:name w:val="WW8Num38z0"/>
    <w:rsid w:val="009234DE"/>
    <w:rPr>
      <w:rFonts w:hint="default"/>
      <w:color w:val="auto"/>
    </w:rPr>
  </w:style>
  <w:style w:type="character" w:customStyle="1" w:styleId="WW8Num38z1">
    <w:name w:val="WW8Num38z1"/>
    <w:rsid w:val="009234DE"/>
  </w:style>
  <w:style w:type="character" w:customStyle="1" w:styleId="WW8Num38z2">
    <w:name w:val="WW8Num38z2"/>
    <w:rsid w:val="009234DE"/>
  </w:style>
  <w:style w:type="character" w:customStyle="1" w:styleId="WW8Num38z3">
    <w:name w:val="WW8Num38z3"/>
    <w:rsid w:val="009234DE"/>
  </w:style>
  <w:style w:type="character" w:customStyle="1" w:styleId="WW8Num38z4">
    <w:name w:val="WW8Num38z4"/>
    <w:rsid w:val="009234DE"/>
  </w:style>
  <w:style w:type="character" w:customStyle="1" w:styleId="WW8Num38z5">
    <w:name w:val="WW8Num38z5"/>
    <w:rsid w:val="009234DE"/>
  </w:style>
  <w:style w:type="character" w:customStyle="1" w:styleId="WW8Num38z6">
    <w:name w:val="WW8Num38z6"/>
    <w:rsid w:val="009234DE"/>
  </w:style>
  <w:style w:type="character" w:customStyle="1" w:styleId="WW8Num38z7">
    <w:name w:val="WW8Num38z7"/>
    <w:rsid w:val="009234DE"/>
  </w:style>
  <w:style w:type="character" w:customStyle="1" w:styleId="WW8Num38z8">
    <w:name w:val="WW8Num38z8"/>
    <w:rsid w:val="009234DE"/>
  </w:style>
  <w:style w:type="character" w:customStyle="1" w:styleId="WW8Num39z0">
    <w:name w:val="WW8Num39z0"/>
    <w:rsid w:val="009234DE"/>
    <w:rPr>
      <w:rFonts w:hint="default"/>
      <w:b/>
      <w:bCs/>
      <w:color w:val="000000"/>
      <w:w w:val="103"/>
      <w:sz w:val="24"/>
    </w:rPr>
  </w:style>
  <w:style w:type="character" w:customStyle="1" w:styleId="WW8Num39z1">
    <w:name w:val="WW8Num39z1"/>
    <w:rsid w:val="009234DE"/>
    <w:rPr>
      <w:rFonts w:ascii="Times New Roman" w:eastAsia="Times New Roman" w:hAnsi="Times New Roman" w:cs="Courier New"/>
      <w:b/>
      <w:color w:val="000000"/>
      <w:sz w:val="24"/>
    </w:rPr>
  </w:style>
  <w:style w:type="character" w:customStyle="1" w:styleId="WW8Num39z3">
    <w:name w:val="WW8Num39z3"/>
    <w:rsid w:val="009234DE"/>
    <w:rPr>
      <w:rFonts w:hint="default"/>
    </w:rPr>
  </w:style>
  <w:style w:type="character" w:customStyle="1" w:styleId="WW8Num39z4">
    <w:name w:val="WW8Num39z4"/>
    <w:rsid w:val="009234DE"/>
  </w:style>
  <w:style w:type="character" w:customStyle="1" w:styleId="WW8Num39z5">
    <w:name w:val="WW8Num39z5"/>
    <w:rsid w:val="009234DE"/>
  </w:style>
  <w:style w:type="character" w:customStyle="1" w:styleId="WW8Num39z6">
    <w:name w:val="WW8Num39z6"/>
    <w:rsid w:val="009234DE"/>
  </w:style>
  <w:style w:type="character" w:customStyle="1" w:styleId="WW8Num39z7">
    <w:name w:val="WW8Num39z7"/>
    <w:rsid w:val="009234DE"/>
  </w:style>
  <w:style w:type="character" w:customStyle="1" w:styleId="WW8Num39z8">
    <w:name w:val="WW8Num39z8"/>
    <w:rsid w:val="009234DE"/>
  </w:style>
  <w:style w:type="character" w:customStyle="1" w:styleId="WW8Num40z0">
    <w:name w:val="WW8Num40z0"/>
    <w:rsid w:val="009234DE"/>
    <w:rPr>
      <w:rFonts w:hint="default"/>
      <w:b/>
      <w:strike w:val="0"/>
      <w:dstrike w:val="0"/>
      <w:color w:val="E7E6E6"/>
      <w:w w:val="101"/>
    </w:rPr>
  </w:style>
  <w:style w:type="character" w:customStyle="1" w:styleId="WW8Num40z1">
    <w:name w:val="WW8Num40z1"/>
    <w:rsid w:val="009234DE"/>
  </w:style>
  <w:style w:type="character" w:customStyle="1" w:styleId="WW8Num40z2">
    <w:name w:val="WW8Num40z2"/>
    <w:rsid w:val="009234DE"/>
  </w:style>
  <w:style w:type="character" w:customStyle="1" w:styleId="WW8Num40z3">
    <w:name w:val="WW8Num40z3"/>
    <w:rsid w:val="009234DE"/>
  </w:style>
  <w:style w:type="character" w:customStyle="1" w:styleId="WW8Num40z4">
    <w:name w:val="WW8Num40z4"/>
    <w:rsid w:val="009234DE"/>
  </w:style>
  <w:style w:type="character" w:customStyle="1" w:styleId="WW8Num40z5">
    <w:name w:val="WW8Num40z5"/>
    <w:rsid w:val="009234DE"/>
  </w:style>
  <w:style w:type="character" w:customStyle="1" w:styleId="WW8Num40z6">
    <w:name w:val="WW8Num40z6"/>
    <w:rsid w:val="009234DE"/>
  </w:style>
  <w:style w:type="character" w:customStyle="1" w:styleId="WW8Num40z7">
    <w:name w:val="WW8Num40z7"/>
    <w:rsid w:val="009234DE"/>
  </w:style>
  <w:style w:type="character" w:customStyle="1" w:styleId="WW8Num40z8">
    <w:name w:val="WW8Num40z8"/>
    <w:rsid w:val="009234DE"/>
  </w:style>
  <w:style w:type="character" w:customStyle="1" w:styleId="WW8Num41z0">
    <w:name w:val="WW8Num41z0"/>
    <w:rsid w:val="009234DE"/>
    <w:rPr>
      <w:rFonts w:hint="default"/>
      <w:b/>
      <w:color w:val="E7E6E6"/>
      <w:w w:val="101"/>
    </w:rPr>
  </w:style>
  <w:style w:type="character" w:customStyle="1" w:styleId="WW8Num41z2">
    <w:name w:val="WW8Num41z2"/>
    <w:rsid w:val="009234DE"/>
    <w:rPr>
      <w:rFonts w:hint="default"/>
    </w:rPr>
  </w:style>
  <w:style w:type="character" w:customStyle="1" w:styleId="WW8Num41z3">
    <w:name w:val="WW8Num41z3"/>
    <w:rsid w:val="009234DE"/>
  </w:style>
  <w:style w:type="character" w:customStyle="1" w:styleId="WW8Num41z4">
    <w:name w:val="WW8Num41z4"/>
    <w:rsid w:val="009234DE"/>
  </w:style>
  <w:style w:type="character" w:customStyle="1" w:styleId="WW8Num41z5">
    <w:name w:val="WW8Num41z5"/>
    <w:rsid w:val="009234DE"/>
  </w:style>
  <w:style w:type="character" w:customStyle="1" w:styleId="WW8Num41z6">
    <w:name w:val="WW8Num41z6"/>
    <w:rsid w:val="009234DE"/>
  </w:style>
  <w:style w:type="character" w:customStyle="1" w:styleId="WW8Num41z7">
    <w:name w:val="WW8Num41z7"/>
    <w:rsid w:val="009234DE"/>
  </w:style>
  <w:style w:type="character" w:customStyle="1" w:styleId="WW8Num41z8">
    <w:name w:val="WW8Num41z8"/>
    <w:rsid w:val="009234DE"/>
  </w:style>
  <w:style w:type="character" w:customStyle="1" w:styleId="WW8Num42z0">
    <w:name w:val="WW8Num42z0"/>
    <w:rsid w:val="009234DE"/>
    <w:rPr>
      <w:rFonts w:ascii="Tahoma" w:hAnsi="Tahoma" w:cs="Tahoma" w:hint="default"/>
      <w:b/>
      <w:color w:val="000000"/>
      <w:w w:val="101"/>
      <w:sz w:val="17"/>
      <w:szCs w:val="17"/>
    </w:rPr>
  </w:style>
  <w:style w:type="character" w:customStyle="1" w:styleId="WW8Num42z1">
    <w:name w:val="WW8Num42z1"/>
    <w:rsid w:val="009234DE"/>
  </w:style>
  <w:style w:type="character" w:customStyle="1" w:styleId="WW8Num42z2">
    <w:name w:val="WW8Num42z2"/>
    <w:rsid w:val="009234DE"/>
  </w:style>
  <w:style w:type="character" w:customStyle="1" w:styleId="WW8Num42z3">
    <w:name w:val="WW8Num42z3"/>
    <w:rsid w:val="009234DE"/>
  </w:style>
  <w:style w:type="character" w:customStyle="1" w:styleId="WW8Num42z4">
    <w:name w:val="WW8Num42z4"/>
    <w:rsid w:val="009234DE"/>
  </w:style>
  <w:style w:type="character" w:customStyle="1" w:styleId="WW8Num42z5">
    <w:name w:val="WW8Num42z5"/>
    <w:rsid w:val="009234DE"/>
  </w:style>
  <w:style w:type="character" w:customStyle="1" w:styleId="WW8Num42z6">
    <w:name w:val="WW8Num42z6"/>
    <w:rsid w:val="009234DE"/>
  </w:style>
  <w:style w:type="character" w:customStyle="1" w:styleId="WW8Num42z7">
    <w:name w:val="WW8Num42z7"/>
    <w:rsid w:val="009234DE"/>
  </w:style>
  <w:style w:type="character" w:customStyle="1" w:styleId="WW8Num42z8">
    <w:name w:val="WW8Num42z8"/>
    <w:rsid w:val="009234DE"/>
  </w:style>
  <w:style w:type="character" w:customStyle="1" w:styleId="WW8Num43z0">
    <w:name w:val="WW8Num43z0"/>
    <w:rsid w:val="009234DE"/>
    <w:rPr>
      <w:rFonts w:ascii="Times New Roman" w:eastAsia="Times New Roman" w:hAnsi="Times New Roman" w:cs="Courier New"/>
      <w:b/>
      <w:color w:val="000000"/>
    </w:rPr>
  </w:style>
  <w:style w:type="character" w:customStyle="1" w:styleId="WW8Num43z1">
    <w:name w:val="WW8Num43z1"/>
    <w:rsid w:val="009234DE"/>
  </w:style>
  <w:style w:type="character" w:customStyle="1" w:styleId="WW8Num43z2">
    <w:name w:val="WW8Num43z2"/>
    <w:rsid w:val="009234DE"/>
  </w:style>
  <w:style w:type="character" w:customStyle="1" w:styleId="WW8Num43z3">
    <w:name w:val="WW8Num43z3"/>
    <w:rsid w:val="009234DE"/>
  </w:style>
  <w:style w:type="character" w:customStyle="1" w:styleId="WW8Num43z4">
    <w:name w:val="WW8Num43z4"/>
    <w:rsid w:val="009234DE"/>
  </w:style>
  <w:style w:type="character" w:customStyle="1" w:styleId="WW8Num43z5">
    <w:name w:val="WW8Num43z5"/>
    <w:rsid w:val="009234DE"/>
  </w:style>
  <w:style w:type="character" w:customStyle="1" w:styleId="WW8Num43z6">
    <w:name w:val="WW8Num43z6"/>
    <w:rsid w:val="009234DE"/>
  </w:style>
  <w:style w:type="character" w:customStyle="1" w:styleId="WW8Num43z7">
    <w:name w:val="WW8Num43z7"/>
    <w:rsid w:val="009234DE"/>
  </w:style>
  <w:style w:type="character" w:customStyle="1" w:styleId="WW8Num43z8">
    <w:name w:val="WW8Num43z8"/>
    <w:rsid w:val="009234DE"/>
  </w:style>
  <w:style w:type="character" w:customStyle="1" w:styleId="WW8Num44z0">
    <w:name w:val="WW8Num44z0"/>
    <w:rsid w:val="009234DE"/>
    <w:rPr>
      <w:rFonts w:hint="default"/>
      <w:b/>
      <w:color w:val="000000"/>
    </w:rPr>
  </w:style>
  <w:style w:type="character" w:customStyle="1" w:styleId="WW8Num44z1">
    <w:name w:val="WW8Num44z1"/>
    <w:rsid w:val="009234DE"/>
  </w:style>
  <w:style w:type="character" w:customStyle="1" w:styleId="WW8Num44z2">
    <w:name w:val="WW8Num44z2"/>
    <w:rsid w:val="009234DE"/>
  </w:style>
  <w:style w:type="character" w:customStyle="1" w:styleId="WW8Num44z3">
    <w:name w:val="WW8Num44z3"/>
    <w:rsid w:val="009234DE"/>
  </w:style>
  <w:style w:type="character" w:customStyle="1" w:styleId="WW8Num44z4">
    <w:name w:val="WW8Num44z4"/>
    <w:rsid w:val="009234DE"/>
  </w:style>
  <w:style w:type="character" w:customStyle="1" w:styleId="WW8Num44z5">
    <w:name w:val="WW8Num44z5"/>
    <w:rsid w:val="009234DE"/>
  </w:style>
  <w:style w:type="character" w:customStyle="1" w:styleId="WW8Num44z6">
    <w:name w:val="WW8Num44z6"/>
    <w:rsid w:val="009234DE"/>
  </w:style>
  <w:style w:type="character" w:customStyle="1" w:styleId="WW8Num44z7">
    <w:name w:val="WW8Num44z7"/>
    <w:rsid w:val="009234DE"/>
  </w:style>
  <w:style w:type="character" w:customStyle="1" w:styleId="WW8Num44z8">
    <w:name w:val="WW8Num44z8"/>
    <w:rsid w:val="009234DE"/>
  </w:style>
  <w:style w:type="character" w:customStyle="1" w:styleId="WW8Num45z0">
    <w:name w:val="WW8Num45z0"/>
    <w:rsid w:val="009234DE"/>
    <w:rPr>
      <w:rFonts w:hint="default"/>
      <w:b/>
      <w:color w:val="000000"/>
    </w:rPr>
  </w:style>
  <w:style w:type="character" w:customStyle="1" w:styleId="WW8Num45z1">
    <w:name w:val="WW8Num45z1"/>
    <w:rsid w:val="009234DE"/>
  </w:style>
  <w:style w:type="character" w:customStyle="1" w:styleId="WW8Num45z2">
    <w:name w:val="WW8Num45z2"/>
    <w:rsid w:val="009234DE"/>
  </w:style>
  <w:style w:type="character" w:customStyle="1" w:styleId="WW8Num45z3">
    <w:name w:val="WW8Num45z3"/>
    <w:rsid w:val="009234DE"/>
  </w:style>
  <w:style w:type="character" w:customStyle="1" w:styleId="WW8Num45z4">
    <w:name w:val="WW8Num45z4"/>
    <w:rsid w:val="009234DE"/>
  </w:style>
  <w:style w:type="character" w:customStyle="1" w:styleId="WW8Num45z5">
    <w:name w:val="WW8Num45z5"/>
    <w:rsid w:val="009234DE"/>
  </w:style>
  <w:style w:type="character" w:customStyle="1" w:styleId="WW8Num45z6">
    <w:name w:val="WW8Num45z6"/>
    <w:rsid w:val="009234DE"/>
  </w:style>
  <w:style w:type="character" w:customStyle="1" w:styleId="WW8Num45z7">
    <w:name w:val="WW8Num45z7"/>
    <w:rsid w:val="009234DE"/>
  </w:style>
  <w:style w:type="character" w:customStyle="1" w:styleId="WW8Num45z8">
    <w:name w:val="WW8Num45z8"/>
    <w:rsid w:val="009234DE"/>
  </w:style>
  <w:style w:type="character" w:customStyle="1" w:styleId="WW8Num46z0">
    <w:name w:val="WW8Num46z0"/>
    <w:rsid w:val="009234DE"/>
    <w:rPr>
      <w:rFonts w:hint="default"/>
    </w:rPr>
  </w:style>
  <w:style w:type="character" w:customStyle="1" w:styleId="WW8Num46z1">
    <w:name w:val="WW8Num46z1"/>
    <w:rsid w:val="009234DE"/>
  </w:style>
  <w:style w:type="character" w:customStyle="1" w:styleId="WW8Num46z2">
    <w:name w:val="WW8Num46z2"/>
    <w:rsid w:val="009234DE"/>
  </w:style>
  <w:style w:type="character" w:customStyle="1" w:styleId="WW8Num46z3">
    <w:name w:val="WW8Num46z3"/>
    <w:rsid w:val="009234DE"/>
  </w:style>
  <w:style w:type="character" w:customStyle="1" w:styleId="WW8Num46z4">
    <w:name w:val="WW8Num46z4"/>
    <w:rsid w:val="009234DE"/>
  </w:style>
  <w:style w:type="character" w:customStyle="1" w:styleId="WW8Num46z5">
    <w:name w:val="WW8Num46z5"/>
    <w:rsid w:val="009234DE"/>
  </w:style>
  <w:style w:type="character" w:customStyle="1" w:styleId="WW8Num46z6">
    <w:name w:val="WW8Num46z6"/>
    <w:rsid w:val="009234DE"/>
  </w:style>
  <w:style w:type="character" w:customStyle="1" w:styleId="WW8Num46z7">
    <w:name w:val="WW8Num46z7"/>
    <w:rsid w:val="009234DE"/>
  </w:style>
  <w:style w:type="character" w:customStyle="1" w:styleId="WW8Num46z8">
    <w:name w:val="WW8Num46z8"/>
    <w:rsid w:val="009234DE"/>
  </w:style>
  <w:style w:type="character" w:customStyle="1" w:styleId="WW8Num47z0">
    <w:name w:val="WW8Num47z0"/>
    <w:rsid w:val="009234DE"/>
    <w:rPr>
      <w:rFonts w:ascii="Noto Serif" w:hAnsi="Noto Serif" w:cs="Noto Serif" w:hint="default"/>
      <w:b/>
      <w:i w:val="0"/>
      <w:color w:val="E7E6E6"/>
      <w:sz w:val="24"/>
      <w:szCs w:val="21"/>
      <w:shd w:val="clear" w:color="auto" w:fill="00FFFF"/>
    </w:rPr>
  </w:style>
  <w:style w:type="character" w:customStyle="1" w:styleId="WW8Num47z1">
    <w:name w:val="WW8Num47z1"/>
    <w:rsid w:val="009234DE"/>
  </w:style>
  <w:style w:type="character" w:customStyle="1" w:styleId="WW8Num47z2">
    <w:name w:val="WW8Num47z2"/>
    <w:rsid w:val="009234DE"/>
  </w:style>
  <w:style w:type="character" w:customStyle="1" w:styleId="WW8Num47z3">
    <w:name w:val="WW8Num47z3"/>
    <w:rsid w:val="009234DE"/>
  </w:style>
  <w:style w:type="character" w:customStyle="1" w:styleId="WW8Num47z4">
    <w:name w:val="WW8Num47z4"/>
    <w:rsid w:val="009234DE"/>
  </w:style>
  <w:style w:type="character" w:customStyle="1" w:styleId="WW8Num47z5">
    <w:name w:val="WW8Num47z5"/>
    <w:rsid w:val="009234DE"/>
  </w:style>
  <w:style w:type="character" w:customStyle="1" w:styleId="WW8Num47z6">
    <w:name w:val="WW8Num47z6"/>
    <w:rsid w:val="009234DE"/>
  </w:style>
  <w:style w:type="character" w:customStyle="1" w:styleId="WW8Num47z7">
    <w:name w:val="WW8Num47z7"/>
    <w:rsid w:val="009234DE"/>
  </w:style>
  <w:style w:type="character" w:customStyle="1" w:styleId="WW8Num47z8">
    <w:name w:val="WW8Num47z8"/>
    <w:rsid w:val="009234DE"/>
  </w:style>
  <w:style w:type="character" w:customStyle="1" w:styleId="WW8Num48z0">
    <w:name w:val="WW8Num48z0"/>
    <w:rsid w:val="009234DE"/>
    <w:rPr>
      <w:rFonts w:hint="default"/>
      <w:b/>
      <w:color w:val="000000"/>
    </w:rPr>
  </w:style>
  <w:style w:type="character" w:customStyle="1" w:styleId="WW8Num48z1">
    <w:name w:val="WW8Num48z1"/>
    <w:rsid w:val="009234DE"/>
  </w:style>
  <w:style w:type="character" w:customStyle="1" w:styleId="WW8Num48z2">
    <w:name w:val="WW8Num48z2"/>
    <w:rsid w:val="009234DE"/>
  </w:style>
  <w:style w:type="character" w:customStyle="1" w:styleId="WW8Num48z3">
    <w:name w:val="WW8Num48z3"/>
    <w:rsid w:val="009234DE"/>
  </w:style>
  <w:style w:type="character" w:customStyle="1" w:styleId="WW8Num48z4">
    <w:name w:val="WW8Num48z4"/>
    <w:rsid w:val="009234DE"/>
  </w:style>
  <w:style w:type="character" w:customStyle="1" w:styleId="WW8Num48z5">
    <w:name w:val="WW8Num48z5"/>
    <w:rsid w:val="009234DE"/>
  </w:style>
  <w:style w:type="character" w:customStyle="1" w:styleId="WW8Num48z6">
    <w:name w:val="WW8Num48z6"/>
    <w:rsid w:val="009234DE"/>
  </w:style>
  <w:style w:type="character" w:customStyle="1" w:styleId="WW8Num48z7">
    <w:name w:val="WW8Num48z7"/>
    <w:rsid w:val="009234DE"/>
  </w:style>
  <w:style w:type="character" w:customStyle="1" w:styleId="WW8Num48z8">
    <w:name w:val="WW8Num48z8"/>
    <w:rsid w:val="009234DE"/>
  </w:style>
  <w:style w:type="character" w:customStyle="1" w:styleId="WW8Num49z0">
    <w:name w:val="WW8Num49z0"/>
    <w:rsid w:val="009234DE"/>
    <w:rPr>
      <w:rFonts w:ascii="Times New Roman" w:eastAsia="Times New Roman" w:hAnsi="Times New Roman" w:cs="Courier New"/>
      <w:b/>
      <w:color w:val="000000"/>
    </w:rPr>
  </w:style>
  <w:style w:type="character" w:customStyle="1" w:styleId="WW8Num49z1">
    <w:name w:val="WW8Num49z1"/>
    <w:rsid w:val="009234DE"/>
    <w:rPr>
      <w:rFonts w:ascii="Courier New" w:hAnsi="Courier New" w:cs="Courier New" w:hint="default"/>
    </w:rPr>
  </w:style>
  <w:style w:type="character" w:customStyle="1" w:styleId="WW8Num49z2">
    <w:name w:val="WW8Num49z2"/>
    <w:rsid w:val="009234DE"/>
    <w:rPr>
      <w:rFonts w:ascii="Wingdings" w:hAnsi="Wingdings" w:cs="Wingdings" w:hint="default"/>
    </w:rPr>
  </w:style>
  <w:style w:type="character" w:customStyle="1" w:styleId="WW8Num49z3">
    <w:name w:val="WW8Num49z3"/>
    <w:rsid w:val="009234DE"/>
    <w:rPr>
      <w:rFonts w:ascii="Symbol" w:hAnsi="Symbol" w:cs="Symbol" w:hint="default"/>
    </w:rPr>
  </w:style>
  <w:style w:type="character" w:customStyle="1" w:styleId="WW8Num50z0">
    <w:name w:val="WW8Num50z0"/>
    <w:rsid w:val="009234DE"/>
    <w:rPr>
      <w:rFonts w:ascii="Symbol" w:eastAsia="Calibri" w:hAnsi="Symbol" w:cs="Symbol" w:hint="default"/>
    </w:rPr>
  </w:style>
  <w:style w:type="character" w:customStyle="1" w:styleId="WW8Num50z1">
    <w:name w:val="WW8Num50z1"/>
    <w:rsid w:val="009234DE"/>
    <w:rPr>
      <w:rFonts w:ascii="Courier New" w:hAnsi="Courier New" w:cs="Courier New" w:hint="default"/>
    </w:rPr>
  </w:style>
  <w:style w:type="character" w:customStyle="1" w:styleId="WW8Num50z2">
    <w:name w:val="WW8Num50z2"/>
    <w:rsid w:val="009234DE"/>
    <w:rPr>
      <w:rFonts w:ascii="Wingdings" w:hAnsi="Wingdings" w:cs="Wingdings" w:hint="default"/>
    </w:rPr>
  </w:style>
  <w:style w:type="character" w:customStyle="1" w:styleId="WW8Num51z0">
    <w:name w:val="WW8Num51z0"/>
    <w:rsid w:val="009234DE"/>
    <w:rPr>
      <w:rFonts w:ascii="Symbol" w:hAnsi="Symbol" w:cs="Symbol" w:hint="default"/>
    </w:rPr>
  </w:style>
  <w:style w:type="character" w:customStyle="1" w:styleId="WW8Num51z1">
    <w:name w:val="WW8Num51z1"/>
    <w:rsid w:val="009234DE"/>
    <w:rPr>
      <w:rFonts w:ascii="Courier New" w:hAnsi="Courier New" w:cs="Courier New" w:hint="default"/>
    </w:rPr>
  </w:style>
  <w:style w:type="character" w:customStyle="1" w:styleId="WW8Num51z2">
    <w:name w:val="WW8Num51z2"/>
    <w:rsid w:val="009234DE"/>
    <w:rPr>
      <w:rFonts w:ascii="Wingdings" w:hAnsi="Wingdings" w:cs="Wingdings" w:hint="default"/>
    </w:rPr>
  </w:style>
  <w:style w:type="character" w:customStyle="1" w:styleId="WW8Num52z0">
    <w:name w:val="WW8Num52z0"/>
    <w:rsid w:val="009234DE"/>
    <w:rPr>
      <w:rFonts w:hint="default"/>
      <w:b/>
      <w:color w:val="000000"/>
    </w:rPr>
  </w:style>
  <w:style w:type="character" w:customStyle="1" w:styleId="WW8Num52z1">
    <w:name w:val="WW8Num52z1"/>
    <w:rsid w:val="009234DE"/>
  </w:style>
  <w:style w:type="character" w:customStyle="1" w:styleId="WW8Num52z2">
    <w:name w:val="WW8Num52z2"/>
    <w:rsid w:val="009234DE"/>
  </w:style>
  <w:style w:type="character" w:customStyle="1" w:styleId="WW8Num52z3">
    <w:name w:val="WW8Num52z3"/>
    <w:rsid w:val="009234DE"/>
  </w:style>
  <w:style w:type="character" w:customStyle="1" w:styleId="WW8Num52z4">
    <w:name w:val="WW8Num52z4"/>
    <w:rsid w:val="009234DE"/>
  </w:style>
  <w:style w:type="character" w:customStyle="1" w:styleId="WW8Num52z5">
    <w:name w:val="WW8Num52z5"/>
    <w:rsid w:val="009234DE"/>
  </w:style>
  <w:style w:type="character" w:customStyle="1" w:styleId="WW8Num52z6">
    <w:name w:val="WW8Num52z6"/>
    <w:rsid w:val="009234DE"/>
  </w:style>
  <w:style w:type="character" w:customStyle="1" w:styleId="WW8Num52z7">
    <w:name w:val="WW8Num52z7"/>
    <w:rsid w:val="009234DE"/>
  </w:style>
  <w:style w:type="character" w:customStyle="1" w:styleId="WW8Num52z8">
    <w:name w:val="WW8Num52z8"/>
    <w:rsid w:val="009234DE"/>
  </w:style>
  <w:style w:type="character" w:customStyle="1" w:styleId="WW8Num53z0">
    <w:name w:val="WW8Num53z0"/>
    <w:rsid w:val="009234DE"/>
    <w:rPr>
      <w:rFonts w:ascii="Times New Roman" w:eastAsia="Times New Roman" w:hAnsi="Times New Roman" w:cs="Times New Roman" w:hint="default"/>
      <w:color w:val="000000"/>
      <w:w w:val="101"/>
    </w:rPr>
  </w:style>
  <w:style w:type="character" w:customStyle="1" w:styleId="WW8Num53z1">
    <w:name w:val="WW8Num53z1"/>
    <w:rsid w:val="009234DE"/>
    <w:rPr>
      <w:rFonts w:ascii="Courier New" w:hAnsi="Courier New" w:cs="Courier New" w:hint="default"/>
    </w:rPr>
  </w:style>
  <w:style w:type="character" w:customStyle="1" w:styleId="WW8Num53z2">
    <w:name w:val="WW8Num53z2"/>
    <w:rsid w:val="009234DE"/>
    <w:rPr>
      <w:rFonts w:ascii="Wingdings" w:hAnsi="Wingdings" w:cs="Wingdings" w:hint="default"/>
    </w:rPr>
  </w:style>
  <w:style w:type="character" w:customStyle="1" w:styleId="WW8Num53z3">
    <w:name w:val="WW8Num53z3"/>
    <w:rsid w:val="009234DE"/>
    <w:rPr>
      <w:rFonts w:ascii="Symbol" w:hAnsi="Symbol" w:cs="Symbol" w:hint="default"/>
    </w:rPr>
  </w:style>
  <w:style w:type="character" w:customStyle="1" w:styleId="WW8Num54z0">
    <w:name w:val="WW8Num54z0"/>
    <w:rsid w:val="009234DE"/>
    <w:rPr>
      <w:rFonts w:ascii="Symbol" w:hAnsi="Symbol" w:cs="Symbol" w:hint="default"/>
      <w:color w:val="000000"/>
    </w:rPr>
  </w:style>
  <w:style w:type="character" w:customStyle="1" w:styleId="WW8Num54z1">
    <w:name w:val="WW8Num54z1"/>
    <w:rsid w:val="009234DE"/>
    <w:rPr>
      <w:rFonts w:ascii="Courier New" w:hAnsi="Courier New" w:cs="Courier New" w:hint="default"/>
    </w:rPr>
  </w:style>
  <w:style w:type="character" w:customStyle="1" w:styleId="WW8Num54z2">
    <w:name w:val="WW8Num54z2"/>
    <w:rsid w:val="009234DE"/>
    <w:rPr>
      <w:rFonts w:ascii="Wingdings" w:hAnsi="Wingdings" w:cs="Wingdings" w:hint="default"/>
    </w:rPr>
  </w:style>
  <w:style w:type="character" w:customStyle="1" w:styleId="Domylnaczcionkaakapitu1">
    <w:name w:val="Domyślna czcionka akapitu1"/>
    <w:rsid w:val="009234DE"/>
  </w:style>
  <w:style w:type="character" w:styleId="Numerstrony">
    <w:name w:val="page number"/>
    <w:basedOn w:val="Domylnaczcionkaakapitu1"/>
    <w:rsid w:val="009234DE"/>
  </w:style>
  <w:style w:type="character" w:customStyle="1" w:styleId="Odwoaniedokomentarza1">
    <w:name w:val="Odwołanie do komentarza1"/>
    <w:rsid w:val="009234DE"/>
    <w:rPr>
      <w:sz w:val="16"/>
      <w:szCs w:val="16"/>
    </w:rPr>
  </w:style>
  <w:style w:type="character" w:customStyle="1" w:styleId="TekstkomentarzaZnak">
    <w:name w:val="Tekst komentarza Znak"/>
    <w:uiPriority w:val="99"/>
    <w:rsid w:val="009234DE"/>
    <w:rPr>
      <w:rFonts w:ascii="Courier New" w:hAnsi="Courier New" w:cs="Courier New"/>
    </w:rPr>
  </w:style>
  <w:style w:type="character" w:customStyle="1" w:styleId="TematkomentarzaZnak">
    <w:name w:val="Temat komentarza Znak"/>
    <w:uiPriority w:val="99"/>
    <w:rsid w:val="009234DE"/>
    <w:rPr>
      <w:rFonts w:ascii="Courier New" w:hAnsi="Courier New" w:cs="Courier New"/>
      <w:b/>
      <w:bCs/>
    </w:rPr>
  </w:style>
  <w:style w:type="character" w:customStyle="1" w:styleId="TekstdymkaZnak">
    <w:name w:val="Tekst dymka Znak"/>
    <w:rsid w:val="009234DE"/>
    <w:rPr>
      <w:rFonts w:ascii="Segoe UI" w:hAnsi="Segoe UI" w:cs="Segoe UI"/>
      <w:sz w:val="18"/>
      <w:szCs w:val="18"/>
    </w:rPr>
  </w:style>
  <w:style w:type="character" w:styleId="Wyrnienieintensywne">
    <w:name w:val="Intense Emphasis"/>
    <w:qFormat/>
    <w:rsid w:val="009234DE"/>
    <w:rPr>
      <w:i/>
      <w:iCs/>
      <w:color w:val="5B9BD5"/>
    </w:rPr>
  </w:style>
  <w:style w:type="character" w:customStyle="1" w:styleId="articletitle">
    <w:name w:val="articletitle"/>
    <w:rsid w:val="009234DE"/>
  </w:style>
  <w:style w:type="character" w:customStyle="1" w:styleId="Znakiprzypiswkocowych">
    <w:name w:val="Znaki przypisów końcowych"/>
    <w:rsid w:val="009234DE"/>
    <w:rPr>
      <w:vertAlign w:val="superscript"/>
    </w:rPr>
  </w:style>
  <w:style w:type="character" w:customStyle="1" w:styleId="footnote">
    <w:name w:val="footnote"/>
    <w:rsid w:val="009234DE"/>
  </w:style>
  <w:style w:type="character" w:customStyle="1" w:styleId="highlight">
    <w:name w:val="highlight"/>
    <w:rsid w:val="009234DE"/>
  </w:style>
  <w:style w:type="character" w:customStyle="1" w:styleId="NagwekZnak">
    <w:name w:val="Nagłówek Znak"/>
    <w:uiPriority w:val="99"/>
    <w:rsid w:val="009234DE"/>
    <w:rPr>
      <w:rFonts w:ascii="Courier New" w:hAnsi="Courier New" w:cs="Courier New"/>
    </w:rPr>
  </w:style>
  <w:style w:type="character" w:customStyle="1" w:styleId="apple-converted-space">
    <w:name w:val="apple-converted-space"/>
    <w:rsid w:val="009234DE"/>
  </w:style>
  <w:style w:type="character" w:customStyle="1" w:styleId="highlight-disabled">
    <w:name w:val="highlight-disabled"/>
    <w:rsid w:val="009234DE"/>
  </w:style>
  <w:style w:type="character" w:customStyle="1" w:styleId="Znakinumeracji">
    <w:name w:val="Znaki numeracji"/>
    <w:rsid w:val="009234DE"/>
  </w:style>
  <w:style w:type="paragraph" w:customStyle="1" w:styleId="Nagwek10">
    <w:name w:val="Nagłówek1"/>
    <w:basedOn w:val="Normalny"/>
    <w:next w:val="Tekstpodstawowy"/>
    <w:rsid w:val="009234DE"/>
    <w:pPr>
      <w:keepNext/>
      <w:suppressAutoHyphens/>
      <w:spacing w:before="240" w:after="120" w:line="240" w:lineRule="auto"/>
    </w:pPr>
    <w:rPr>
      <w:rFonts w:ascii="Arial" w:eastAsia="Microsoft YaHei" w:hAnsi="Arial" w:cs="Lucida Sans"/>
      <w:kern w:val="0"/>
      <w:sz w:val="28"/>
      <w:szCs w:val="28"/>
      <w:lang w:eastAsia="ar-SA"/>
      <w14:ligatures w14:val="none"/>
    </w:rPr>
  </w:style>
  <w:style w:type="paragraph" w:styleId="Tekstpodstawowy">
    <w:name w:val="Body Text"/>
    <w:basedOn w:val="Normalny"/>
    <w:link w:val="TekstpodstawowyZnak"/>
    <w:rsid w:val="009234DE"/>
    <w:pPr>
      <w:shd w:val="clear" w:color="auto" w:fill="FFFFFF"/>
      <w:suppressAutoHyphens/>
      <w:spacing w:after="0" w:line="360" w:lineRule="auto"/>
      <w:ind w:right="4"/>
      <w:jc w:val="both"/>
    </w:pPr>
    <w:rPr>
      <w:rFonts w:ascii="Times New Roman" w:eastAsia="Times New Roman" w:hAnsi="Times New Roman" w:cs="Times New Roman"/>
      <w:color w:val="000000"/>
      <w:w w:val="101"/>
      <w:kern w:val="0"/>
      <w:sz w:val="24"/>
      <w:szCs w:val="23"/>
      <w:lang w:eastAsia="ar-SA"/>
      <w14:ligatures w14:val="none"/>
    </w:rPr>
  </w:style>
  <w:style w:type="character" w:customStyle="1" w:styleId="TekstpodstawowyZnak">
    <w:name w:val="Tekst podstawowy Znak"/>
    <w:basedOn w:val="Domylnaczcionkaakapitu"/>
    <w:link w:val="Tekstpodstawowy"/>
    <w:rsid w:val="009234DE"/>
    <w:rPr>
      <w:rFonts w:ascii="Times New Roman" w:eastAsia="Times New Roman" w:hAnsi="Times New Roman" w:cs="Times New Roman"/>
      <w:color w:val="000000"/>
      <w:w w:val="101"/>
      <w:kern w:val="0"/>
      <w:sz w:val="24"/>
      <w:szCs w:val="23"/>
      <w:shd w:val="clear" w:color="auto" w:fill="FFFFFF"/>
      <w:lang w:eastAsia="ar-SA"/>
      <w14:ligatures w14:val="none"/>
    </w:rPr>
  </w:style>
  <w:style w:type="paragraph" w:styleId="Lista">
    <w:name w:val="List"/>
    <w:basedOn w:val="Tekstpodstawowy"/>
    <w:rsid w:val="009234DE"/>
    <w:rPr>
      <w:rFonts w:cs="Lucida Sans"/>
    </w:rPr>
  </w:style>
  <w:style w:type="paragraph" w:customStyle="1" w:styleId="Podpis1">
    <w:name w:val="Podpis1"/>
    <w:basedOn w:val="Normalny"/>
    <w:rsid w:val="009234DE"/>
    <w:pPr>
      <w:suppressLineNumbers/>
      <w:suppressAutoHyphens/>
      <w:spacing w:before="120" w:after="120" w:line="240" w:lineRule="auto"/>
    </w:pPr>
    <w:rPr>
      <w:rFonts w:ascii="Times New Roman" w:eastAsia="Times New Roman" w:hAnsi="Times New Roman" w:cs="Lucida Sans"/>
      <w:i/>
      <w:iCs/>
      <w:kern w:val="0"/>
      <w:sz w:val="24"/>
      <w:szCs w:val="24"/>
      <w:lang w:eastAsia="ar-SA"/>
      <w14:ligatures w14:val="none"/>
    </w:rPr>
  </w:style>
  <w:style w:type="paragraph" w:customStyle="1" w:styleId="Indeks">
    <w:name w:val="Indeks"/>
    <w:basedOn w:val="Normalny"/>
    <w:rsid w:val="009234DE"/>
    <w:pPr>
      <w:suppressLineNumbers/>
      <w:suppressAutoHyphens/>
      <w:spacing w:after="0" w:line="240" w:lineRule="auto"/>
    </w:pPr>
    <w:rPr>
      <w:rFonts w:ascii="Times New Roman" w:eastAsia="Times New Roman" w:hAnsi="Times New Roman" w:cs="Lucida Sans"/>
      <w:kern w:val="0"/>
      <w:sz w:val="24"/>
      <w:szCs w:val="24"/>
      <w:lang w:eastAsia="ar-SA"/>
      <w14:ligatures w14:val="none"/>
    </w:rPr>
  </w:style>
  <w:style w:type="paragraph" w:styleId="Tekstpodstawowywcity">
    <w:name w:val="Body Text Indent"/>
    <w:basedOn w:val="Normalny"/>
    <w:link w:val="TekstpodstawowywcityZnak"/>
    <w:rsid w:val="009234DE"/>
    <w:pPr>
      <w:shd w:val="clear" w:color="auto" w:fill="FFFFFF"/>
      <w:suppressAutoHyphens/>
      <w:spacing w:before="259" w:after="0" w:line="490" w:lineRule="exact"/>
      <w:ind w:left="566" w:firstLine="1"/>
      <w:jc w:val="center"/>
    </w:pPr>
    <w:rPr>
      <w:rFonts w:ascii="Arial" w:eastAsia="Times New Roman" w:hAnsi="Arial" w:cs="Arial"/>
      <w:color w:val="000000"/>
      <w:w w:val="69"/>
      <w:kern w:val="0"/>
      <w:sz w:val="46"/>
      <w:szCs w:val="46"/>
      <w:lang w:eastAsia="ar-SA"/>
      <w14:ligatures w14:val="none"/>
    </w:rPr>
  </w:style>
  <w:style w:type="character" w:customStyle="1" w:styleId="TekstpodstawowywcityZnak">
    <w:name w:val="Tekst podstawowy wcięty Znak"/>
    <w:basedOn w:val="Domylnaczcionkaakapitu"/>
    <w:link w:val="Tekstpodstawowywcity"/>
    <w:rsid w:val="009234DE"/>
    <w:rPr>
      <w:rFonts w:ascii="Arial" w:eastAsia="Times New Roman" w:hAnsi="Arial" w:cs="Arial"/>
      <w:color w:val="000000"/>
      <w:w w:val="69"/>
      <w:kern w:val="0"/>
      <w:sz w:val="46"/>
      <w:szCs w:val="46"/>
      <w:shd w:val="clear" w:color="auto" w:fill="FFFFFF"/>
      <w:lang w:eastAsia="ar-SA"/>
      <w14:ligatures w14:val="none"/>
    </w:rPr>
  </w:style>
  <w:style w:type="paragraph" w:styleId="Stopka">
    <w:name w:val="footer"/>
    <w:basedOn w:val="Normalny"/>
    <w:link w:val="StopkaZnak"/>
    <w:uiPriority w:val="99"/>
    <w:rsid w:val="009234DE"/>
    <w:pPr>
      <w:tabs>
        <w:tab w:val="center" w:pos="4536"/>
        <w:tab w:val="right" w:pos="9072"/>
      </w:tabs>
      <w:suppressAutoHyphens/>
      <w:spacing w:after="0" w:line="240" w:lineRule="auto"/>
    </w:pPr>
    <w:rPr>
      <w:rFonts w:ascii="Times New Roman" w:eastAsia="Times New Roman" w:hAnsi="Times New Roman" w:cs="Times New Roman"/>
      <w:kern w:val="0"/>
      <w:sz w:val="24"/>
      <w:szCs w:val="24"/>
      <w:lang w:eastAsia="ar-SA"/>
      <w14:ligatures w14:val="none"/>
    </w:rPr>
  </w:style>
  <w:style w:type="character" w:customStyle="1" w:styleId="StopkaZnak">
    <w:name w:val="Stopka Znak"/>
    <w:basedOn w:val="Domylnaczcionkaakapitu"/>
    <w:link w:val="Stopka"/>
    <w:uiPriority w:val="99"/>
    <w:rsid w:val="009234DE"/>
    <w:rPr>
      <w:rFonts w:ascii="Times New Roman" w:eastAsia="Times New Roman" w:hAnsi="Times New Roman" w:cs="Times New Roman"/>
      <w:kern w:val="0"/>
      <w:sz w:val="24"/>
      <w:szCs w:val="24"/>
      <w:lang w:eastAsia="ar-SA"/>
      <w14:ligatures w14:val="none"/>
    </w:rPr>
  </w:style>
  <w:style w:type="paragraph" w:styleId="Nagwek">
    <w:name w:val="header"/>
    <w:basedOn w:val="Normalny"/>
    <w:link w:val="NagwekZnak1"/>
    <w:uiPriority w:val="99"/>
    <w:rsid w:val="009234DE"/>
    <w:pPr>
      <w:tabs>
        <w:tab w:val="center" w:pos="4536"/>
        <w:tab w:val="right" w:pos="9072"/>
      </w:tabs>
      <w:suppressAutoHyphens/>
      <w:spacing w:after="0" w:line="240" w:lineRule="auto"/>
    </w:pPr>
    <w:rPr>
      <w:rFonts w:ascii="Times New Roman" w:eastAsia="Times New Roman" w:hAnsi="Times New Roman" w:cs="Times New Roman"/>
      <w:kern w:val="0"/>
      <w:sz w:val="24"/>
      <w:szCs w:val="24"/>
      <w:lang w:eastAsia="ar-SA"/>
      <w14:ligatures w14:val="none"/>
    </w:rPr>
  </w:style>
  <w:style w:type="character" w:customStyle="1" w:styleId="NagwekZnak1">
    <w:name w:val="Nagłówek Znak1"/>
    <w:basedOn w:val="Domylnaczcionkaakapitu"/>
    <w:link w:val="Nagwek"/>
    <w:uiPriority w:val="99"/>
    <w:rsid w:val="009234DE"/>
    <w:rPr>
      <w:rFonts w:ascii="Times New Roman" w:eastAsia="Times New Roman" w:hAnsi="Times New Roman" w:cs="Times New Roman"/>
      <w:kern w:val="0"/>
      <w:sz w:val="24"/>
      <w:szCs w:val="24"/>
      <w:lang w:eastAsia="ar-SA"/>
      <w14:ligatures w14:val="none"/>
    </w:rPr>
  </w:style>
  <w:style w:type="paragraph" w:customStyle="1" w:styleId="Tekstblokowy1">
    <w:name w:val="Tekst blokowy1"/>
    <w:basedOn w:val="Normalny"/>
    <w:rsid w:val="009234DE"/>
    <w:pPr>
      <w:shd w:val="clear" w:color="auto" w:fill="FFFFFF"/>
      <w:suppressAutoHyphens/>
      <w:spacing w:before="5" w:after="0" w:line="360" w:lineRule="auto"/>
      <w:ind w:left="14" w:right="4"/>
      <w:jc w:val="both"/>
    </w:pPr>
    <w:rPr>
      <w:rFonts w:ascii="Times New Roman" w:eastAsia="Times New Roman" w:hAnsi="Times New Roman" w:cs="Times New Roman"/>
      <w:color w:val="000000"/>
      <w:spacing w:val="10"/>
      <w:w w:val="101"/>
      <w:kern w:val="0"/>
      <w:sz w:val="28"/>
      <w:szCs w:val="23"/>
      <w:lang w:eastAsia="ar-SA"/>
      <w14:ligatures w14:val="none"/>
    </w:rPr>
  </w:style>
  <w:style w:type="paragraph" w:customStyle="1" w:styleId="Tekstkomentarza1">
    <w:name w:val="Tekst komentarza1"/>
    <w:basedOn w:val="Normalny"/>
    <w:rsid w:val="009234DE"/>
    <w:pPr>
      <w:suppressAutoHyphens/>
      <w:spacing w:after="0" w:line="240" w:lineRule="auto"/>
    </w:pPr>
    <w:rPr>
      <w:rFonts w:ascii="Times New Roman" w:eastAsia="Times New Roman" w:hAnsi="Times New Roman" w:cs="Times New Roman"/>
      <w:kern w:val="0"/>
      <w:sz w:val="24"/>
      <w:szCs w:val="24"/>
      <w:lang w:eastAsia="ar-SA"/>
      <w14:ligatures w14:val="none"/>
    </w:rPr>
  </w:style>
  <w:style w:type="paragraph" w:styleId="Tekstkomentarza">
    <w:name w:val="annotation text"/>
    <w:basedOn w:val="Normalny"/>
    <w:link w:val="TekstkomentarzaZnak1"/>
    <w:uiPriority w:val="99"/>
    <w:semiHidden/>
    <w:unhideWhenUsed/>
    <w:rsid w:val="009234DE"/>
    <w:pPr>
      <w:suppressAutoHyphens/>
      <w:spacing w:after="0" w:line="240" w:lineRule="auto"/>
    </w:pPr>
    <w:rPr>
      <w:rFonts w:ascii="Times New Roman" w:eastAsia="Times New Roman" w:hAnsi="Times New Roman" w:cs="Times New Roman"/>
      <w:kern w:val="0"/>
      <w:sz w:val="20"/>
      <w:szCs w:val="20"/>
      <w:lang w:eastAsia="ar-SA"/>
      <w14:ligatures w14:val="none"/>
    </w:rPr>
  </w:style>
  <w:style w:type="character" w:customStyle="1" w:styleId="TekstkomentarzaZnak1">
    <w:name w:val="Tekst komentarza Znak1"/>
    <w:basedOn w:val="Domylnaczcionkaakapitu"/>
    <w:link w:val="Tekstkomentarza"/>
    <w:uiPriority w:val="99"/>
    <w:semiHidden/>
    <w:rsid w:val="009234DE"/>
    <w:rPr>
      <w:rFonts w:ascii="Times New Roman" w:eastAsia="Times New Roman" w:hAnsi="Times New Roman" w:cs="Times New Roman"/>
      <w:kern w:val="0"/>
      <w:sz w:val="20"/>
      <w:szCs w:val="20"/>
      <w:lang w:eastAsia="ar-SA"/>
      <w14:ligatures w14:val="none"/>
    </w:rPr>
  </w:style>
  <w:style w:type="paragraph" w:styleId="Tematkomentarza">
    <w:name w:val="annotation subject"/>
    <w:basedOn w:val="Tekstkomentarza1"/>
    <w:next w:val="Tekstkomentarza1"/>
    <w:link w:val="TematkomentarzaZnak1"/>
    <w:uiPriority w:val="99"/>
    <w:rsid w:val="009234DE"/>
    <w:rPr>
      <w:b/>
      <w:bCs/>
    </w:rPr>
  </w:style>
  <w:style w:type="character" w:customStyle="1" w:styleId="TematkomentarzaZnak1">
    <w:name w:val="Temat komentarza Znak1"/>
    <w:basedOn w:val="TekstkomentarzaZnak1"/>
    <w:link w:val="Tematkomentarza"/>
    <w:rsid w:val="009234DE"/>
    <w:rPr>
      <w:rFonts w:ascii="Times New Roman" w:eastAsia="Times New Roman" w:hAnsi="Times New Roman" w:cs="Times New Roman"/>
      <w:b/>
      <w:bCs/>
      <w:kern w:val="0"/>
      <w:sz w:val="24"/>
      <w:szCs w:val="24"/>
      <w:lang w:eastAsia="ar-SA"/>
      <w14:ligatures w14:val="none"/>
    </w:rPr>
  </w:style>
  <w:style w:type="paragraph" w:styleId="Poprawka">
    <w:name w:val="Revision"/>
    <w:rsid w:val="009234DE"/>
    <w:pPr>
      <w:suppressAutoHyphens/>
      <w:spacing w:after="0" w:line="240" w:lineRule="auto"/>
    </w:pPr>
    <w:rPr>
      <w:rFonts w:ascii="Courier New" w:eastAsia="Times New Roman" w:hAnsi="Courier New" w:cs="Courier New"/>
      <w:kern w:val="0"/>
      <w:sz w:val="20"/>
      <w:szCs w:val="20"/>
      <w:lang w:eastAsia="ar-SA"/>
      <w14:ligatures w14:val="none"/>
    </w:rPr>
  </w:style>
  <w:style w:type="paragraph" w:styleId="Tekstdymka">
    <w:name w:val="Balloon Text"/>
    <w:basedOn w:val="Normalny"/>
    <w:link w:val="TekstdymkaZnak1"/>
    <w:rsid w:val="009234DE"/>
    <w:pPr>
      <w:suppressAutoHyphens/>
      <w:spacing w:after="0" w:line="240" w:lineRule="auto"/>
    </w:pPr>
    <w:rPr>
      <w:rFonts w:ascii="Segoe UI" w:eastAsia="Times New Roman" w:hAnsi="Segoe UI" w:cs="Segoe UI"/>
      <w:kern w:val="0"/>
      <w:sz w:val="18"/>
      <w:szCs w:val="18"/>
      <w:lang w:eastAsia="ar-SA"/>
      <w14:ligatures w14:val="none"/>
    </w:rPr>
  </w:style>
  <w:style w:type="character" w:customStyle="1" w:styleId="TekstdymkaZnak1">
    <w:name w:val="Tekst dymka Znak1"/>
    <w:basedOn w:val="Domylnaczcionkaakapitu"/>
    <w:link w:val="Tekstdymka"/>
    <w:rsid w:val="009234DE"/>
    <w:rPr>
      <w:rFonts w:ascii="Segoe UI" w:eastAsia="Times New Roman" w:hAnsi="Segoe UI" w:cs="Segoe UI"/>
      <w:kern w:val="0"/>
      <w:sz w:val="18"/>
      <w:szCs w:val="18"/>
      <w:lang w:eastAsia="ar-SA"/>
      <w14:ligatures w14:val="none"/>
    </w:rPr>
  </w:style>
  <w:style w:type="paragraph" w:customStyle="1" w:styleId="mainpub">
    <w:name w:val="mainpub"/>
    <w:basedOn w:val="Normalny"/>
    <w:rsid w:val="009234DE"/>
    <w:pPr>
      <w:suppressAutoHyphens/>
      <w:spacing w:before="100" w:after="100" w:line="240" w:lineRule="auto"/>
    </w:pPr>
    <w:rPr>
      <w:rFonts w:ascii="Times New Roman" w:eastAsia="Times New Roman" w:hAnsi="Times New Roman" w:cs="Times New Roman"/>
      <w:kern w:val="0"/>
      <w:sz w:val="24"/>
      <w:szCs w:val="24"/>
      <w:lang w:eastAsia="ar-SA"/>
      <w14:ligatures w14:val="none"/>
    </w:rPr>
  </w:style>
  <w:style w:type="character" w:customStyle="1" w:styleId="TekstprzypisukocowegoZnak1">
    <w:name w:val="Tekst przypisu końcowego Znak1"/>
    <w:basedOn w:val="Domylnaczcionkaakapitu"/>
    <w:rsid w:val="009234DE"/>
    <w:rPr>
      <w:rFonts w:ascii="Times New Roman" w:eastAsia="Times New Roman" w:hAnsi="Times New Roman" w:cs="Times New Roman"/>
      <w:kern w:val="0"/>
      <w:sz w:val="24"/>
      <w:szCs w:val="24"/>
      <w:lang w:eastAsia="ar-SA"/>
      <w14:ligatures w14:val="none"/>
    </w:rPr>
  </w:style>
  <w:style w:type="paragraph" w:customStyle="1" w:styleId="parinner">
    <w:name w:val="parinner"/>
    <w:basedOn w:val="Normalny"/>
    <w:rsid w:val="009234DE"/>
    <w:pPr>
      <w:suppressAutoHyphens/>
      <w:spacing w:before="100" w:after="100" w:line="240" w:lineRule="auto"/>
    </w:pPr>
    <w:rPr>
      <w:rFonts w:ascii="Times New Roman" w:eastAsia="Times New Roman" w:hAnsi="Times New Roman" w:cs="Times New Roman"/>
      <w:kern w:val="0"/>
      <w:sz w:val="24"/>
      <w:szCs w:val="24"/>
      <w:lang w:eastAsia="ar-SA"/>
      <w14:ligatures w14:val="none"/>
    </w:rPr>
  </w:style>
  <w:style w:type="paragraph" w:customStyle="1" w:styleId="Zawartoramki">
    <w:name w:val="Zawartość ramki"/>
    <w:basedOn w:val="Tekstpodstawowy"/>
    <w:rsid w:val="009234DE"/>
  </w:style>
  <w:style w:type="paragraph" w:customStyle="1" w:styleId="Zwykytekst1">
    <w:name w:val="Zwykły tekst1"/>
    <w:basedOn w:val="Normalny"/>
    <w:rsid w:val="009234DE"/>
    <w:pPr>
      <w:suppressAutoHyphens/>
      <w:spacing w:after="0" w:line="240" w:lineRule="auto"/>
    </w:pPr>
    <w:rPr>
      <w:rFonts w:ascii="Courier New" w:eastAsia="Times New Roman" w:hAnsi="Courier New" w:cs="Courier New"/>
      <w:kern w:val="0"/>
      <w:sz w:val="20"/>
      <w:szCs w:val="20"/>
      <w:lang w:eastAsia="ar-SA"/>
      <w14:ligatures w14:val="none"/>
    </w:rPr>
  </w:style>
  <w:style w:type="character" w:styleId="Odwoaniedokomentarza">
    <w:name w:val="annotation reference"/>
    <w:uiPriority w:val="99"/>
    <w:semiHidden/>
    <w:unhideWhenUsed/>
    <w:rsid w:val="009234DE"/>
    <w:rPr>
      <w:sz w:val="16"/>
      <w:szCs w:val="16"/>
    </w:rPr>
  </w:style>
  <w:style w:type="paragraph" w:customStyle="1" w:styleId="has-text-align-center">
    <w:name w:val="has-text-align-center"/>
    <w:basedOn w:val="Normalny"/>
    <w:rsid w:val="00C53991"/>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fontstyle01">
    <w:name w:val="fontstyle01"/>
    <w:basedOn w:val="Domylnaczcionkaakapitu"/>
    <w:rsid w:val="00A11D3C"/>
    <w:rPr>
      <w:rFonts w:ascii="CIDFont+F1" w:hAnsi="CIDFont+F1" w:hint="default"/>
      <w:b w:val="0"/>
      <w:bCs w:val="0"/>
      <w:i w:val="0"/>
      <w:iCs w:val="0"/>
      <w:color w:val="000000"/>
      <w:sz w:val="24"/>
      <w:szCs w:val="24"/>
    </w:rPr>
  </w:style>
  <w:style w:type="character" w:customStyle="1" w:styleId="fontstyle21">
    <w:name w:val="fontstyle21"/>
    <w:basedOn w:val="Domylnaczcionkaakapitu"/>
    <w:rsid w:val="00A11D3C"/>
    <w:rPr>
      <w:rFonts w:ascii="CIDFont+F3" w:hAnsi="CIDFont+F3" w:hint="default"/>
      <w:b w:val="0"/>
      <w:bCs w:val="0"/>
      <w:i/>
      <w:iCs/>
      <w:color w:val="000000"/>
      <w:sz w:val="24"/>
      <w:szCs w:val="24"/>
    </w:rPr>
  </w:style>
  <w:style w:type="paragraph" w:styleId="Tekstprzypisudolnego">
    <w:name w:val="footnote text"/>
    <w:basedOn w:val="Normalny"/>
    <w:link w:val="TekstprzypisudolnegoZnak"/>
    <w:uiPriority w:val="99"/>
    <w:semiHidden/>
    <w:unhideWhenUsed/>
    <w:rsid w:val="00A11D3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11D3C"/>
    <w:rPr>
      <w:sz w:val="20"/>
      <w:szCs w:val="20"/>
    </w:rPr>
  </w:style>
  <w:style w:type="character" w:styleId="Odwoanieprzypisudolnego">
    <w:name w:val="footnote reference"/>
    <w:basedOn w:val="Domylnaczcionkaakapitu"/>
    <w:uiPriority w:val="99"/>
    <w:semiHidden/>
    <w:unhideWhenUsed/>
    <w:rsid w:val="00A11D3C"/>
    <w:rPr>
      <w:vertAlign w:val="superscript"/>
    </w:rPr>
  </w:style>
  <w:style w:type="character" w:customStyle="1" w:styleId="warheader">
    <w:name w:val="war_header"/>
    <w:basedOn w:val="Domylnaczcionkaakapitu"/>
    <w:rsid w:val="00F34079"/>
  </w:style>
  <w:style w:type="character" w:customStyle="1" w:styleId="nakt">
    <w:name w:val="nakt"/>
    <w:basedOn w:val="Domylnaczcionkaakapitu"/>
    <w:rsid w:val="00F34079"/>
  </w:style>
  <w:style w:type="character" w:customStyle="1" w:styleId="authoraffil">
    <w:name w:val="authoraffil"/>
    <w:basedOn w:val="Domylnaczcionkaakapitu"/>
    <w:rsid w:val="00D97E8B"/>
  </w:style>
  <w:style w:type="paragraph" w:customStyle="1" w:styleId="wp-block-kadence-listitem">
    <w:name w:val="wp-block-kadence-listitem"/>
    <w:basedOn w:val="Normalny"/>
    <w:rsid w:val="00D97E8B"/>
    <w:pPr>
      <w:spacing w:before="100" w:beforeAutospacing="1" w:after="100" w:afterAutospacing="1" w:line="240" w:lineRule="auto"/>
    </w:pPr>
    <w:rPr>
      <w:rFonts w:ascii="Times New Roman" w:eastAsia="Times New Roman" w:hAnsi="Times New Roman" w:cs="Times New Roman"/>
      <w:kern w:val="0"/>
      <w:sz w:val="24"/>
      <w:szCs w:val="24"/>
      <w:lang w:eastAsia="pl-PL"/>
    </w:rPr>
  </w:style>
  <w:style w:type="character" w:customStyle="1" w:styleId="kt-svg-icon-list-text">
    <w:name w:val="kt-svg-icon-list-text"/>
    <w:basedOn w:val="Domylnaczcionkaakapitu"/>
    <w:rsid w:val="00D97E8B"/>
  </w:style>
  <w:style w:type="character" w:customStyle="1" w:styleId="Nagwek6Znak">
    <w:name w:val="Nagłówek 6 Znak"/>
    <w:basedOn w:val="Domylnaczcionkaakapitu"/>
    <w:link w:val="Nagwek6"/>
    <w:uiPriority w:val="9"/>
    <w:semiHidden/>
    <w:rsid w:val="00201593"/>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201593"/>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201593"/>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201593"/>
    <w:rPr>
      <w:rFonts w:eastAsiaTheme="majorEastAsia" w:cstheme="majorBidi"/>
      <w:color w:val="272727" w:themeColor="text1" w:themeTint="D8"/>
    </w:rPr>
  </w:style>
  <w:style w:type="paragraph" w:styleId="Tytu">
    <w:name w:val="Title"/>
    <w:basedOn w:val="Normalny"/>
    <w:next w:val="Normalny"/>
    <w:link w:val="TytuZnak"/>
    <w:uiPriority w:val="10"/>
    <w:qFormat/>
    <w:rsid w:val="0020159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20159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201593"/>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20159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201593"/>
    <w:pPr>
      <w:spacing w:before="160"/>
      <w:jc w:val="center"/>
    </w:pPr>
    <w:rPr>
      <w:i/>
      <w:iCs/>
      <w:color w:val="404040" w:themeColor="text1" w:themeTint="BF"/>
    </w:rPr>
  </w:style>
  <w:style w:type="character" w:customStyle="1" w:styleId="CytatZnak">
    <w:name w:val="Cytat Znak"/>
    <w:basedOn w:val="Domylnaczcionkaakapitu"/>
    <w:link w:val="Cytat"/>
    <w:uiPriority w:val="29"/>
    <w:rsid w:val="00201593"/>
    <w:rPr>
      <w:i/>
      <w:iCs/>
      <w:color w:val="404040" w:themeColor="text1" w:themeTint="BF"/>
    </w:rPr>
  </w:style>
  <w:style w:type="paragraph" w:styleId="Cytatintensywny">
    <w:name w:val="Intense Quote"/>
    <w:basedOn w:val="Normalny"/>
    <w:next w:val="Normalny"/>
    <w:link w:val="CytatintensywnyZnak"/>
    <w:uiPriority w:val="30"/>
    <w:qFormat/>
    <w:rsid w:val="0020159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201593"/>
    <w:rPr>
      <w:i/>
      <w:iCs/>
      <w:color w:val="2F5496" w:themeColor="accent1" w:themeShade="BF"/>
    </w:rPr>
  </w:style>
  <w:style w:type="character" w:styleId="Odwoanieintensywne">
    <w:name w:val="Intense Reference"/>
    <w:basedOn w:val="Domylnaczcionkaakapitu"/>
    <w:uiPriority w:val="32"/>
    <w:qFormat/>
    <w:rsid w:val="00201593"/>
    <w:rPr>
      <w:b/>
      <w:bCs/>
      <w:smallCaps/>
      <w:color w:val="2F5496" w:themeColor="accent1" w:themeShade="BF"/>
      <w:spacing w:val="5"/>
    </w:rPr>
  </w:style>
  <w:style w:type="paragraph" w:customStyle="1" w:styleId="USTustnpkodeksu">
    <w:name w:val="UST(§) – ust. (§ np. kodeksu)"/>
    <w:basedOn w:val="Normalny"/>
    <w:uiPriority w:val="12"/>
    <w:qFormat/>
    <w:rsid w:val="001F7A1E"/>
    <w:pPr>
      <w:suppressAutoHyphens/>
      <w:autoSpaceDE w:val="0"/>
      <w:autoSpaceDN w:val="0"/>
      <w:adjustRightInd w:val="0"/>
      <w:spacing w:after="0" w:line="360" w:lineRule="auto"/>
      <w:ind w:firstLine="510"/>
      <w:jc w:val="both"/>
    </w:pPr>
    <w:rPr>
      <w:rFonts w:ascii="Times" w:eastAsiaTheme="minorEastAsia" w:hAnsi="Times" w:cs="Arial"/>
      <w:bCs/>
      <w:kern w:val="0"/>
      <w:sz w:val="24"/>
      <w:szCs w:val="20"/>
      <w:lang w:eastAsia="pl-PL"/>
      <w14:ligatures w14:val="none"/>
    </w:rPr>
  </w:style>
  <w:style w:type="paragraph" w:customStyle="1" w:styleId="Default">
    <w:name w:val="Default"/>
    <w:rsid w:val="001F7A1E"/>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customStyle="1" w:styleId="DATAAKTUdatauchwalenialubwydaniaaktu">
    <w:name w:val="DATA_AKTU – data uchwalenia lub wydania aktu"/>
    <w:next w:val="TYTUAKTUprzedmiotregulacjiustawylubrozporzdzenia"/>
    <w:uiPriority w:val="6"/>
    <w:qFormat/>
    <w:rsid w:val="001F7A1E"/>
    <w:pPr>
      <w:keepNext/>
      <w:suppressAutoHyphens/>
      <w:spacing w:before="120" w:after="120" w:line="360" w:lineRule="auto"/>
      <w:jc w:val="center"/>
    </w:pPr>
    <w:rPr>
      <w:rFonts w:ascii="Times" w:eastAsiaTheme="minorEastAsia" w:hAnsi="Times" w:cs="Arial"/>
      <w:bCs/>
      <w:kern w:val="0"/>
      <w:sz w:val="24"/>
      <w:szCs w:val="24"/>
      <w:lang w:eastAsia="pl-PL"/>
      <w14:ligatures w14:val="none"/>
    </w:rPr>
  </w:style>
  <w:style w:type="paragraph" w:customStyle="1" w:styleId="TYTUAKTUprzedmiotregulacjiustawylubrozporzdzenia">
    <w:name w:val="TYTUŁ_AKTU – przedmiot regulacji ustawy lub rozporządzenia"/>
    <w:next w:val="Normalny"/>
    <w:uiPriority w:val="6"/>
    <w:qFormat/>
    <w:rsid w:val="001F7A1E"/>
    <w:pPr>
      <w:keepNext/>
      <w:suppressAutoHyphens/>
      <w:spacing w:before="120" w:after="360" w:line="360" w:lineRule="auto"/>
      <w:jc w:val="center"/>
    </w:pPr>
    <w:rPr>
      <w:rFonts w:ascii="Times" w:eastAsiaTheme="minorEastAsia" w:hAnsi="Times" w:cs="Arial"/>
      <w:b/>
      <w:bCs/>
      <w:kern w:val="0"/>
      <w:sz w:val="24"/>
      <w:szCs w:val="24"/>
      <w:lang w:eastAsia="pl-PL"/>
      <w14:ligatures w14:val="none"/>
    </w:rPr>
  </w:style>
  <w:style w:type="paragraph" w:customStyle="1" w:styleId="OZNRODZAKTUtznustawalubrozporzdzenieiorganwydajcy">
    <w:name w:val="OZN_RODZ_AKTU – tzn. ustawa lub rozporządzenie i organ wydający"/>
    <w:next w:val="DATAAKTUdatauchwalenialubwydaniaaktu"/>
    <w:uiPriority w:val="5"/>
    <w:qFormat/>
    <w:rsid w:val="001F7A1E"/>
    <w:pPr>
      <w:keepNext/>
      <w:suppressAutoHyphens/>
      <w:spacing w:after="120" w:line="360" w:lineRule="auto"/>
      <w:jc w:val="center"/>
    </w:pPr>
    <w:rPr>
      <w:rFonts w:ascii="Times" w:eastAsia="Times New Roman" w:hAnsi="Times" w:cs="Times New Roman"/>
      <w:b/>
      <w:bCs/>
      <w:caps/>
      <w:spacing w:val="54"/>
      <w:kern w:val="24"/>
      <w:sz w:val="24"/>
      <w:szCs w:val="24"/>
      <w:lang w:eastAsia="pl-PL"/>
      <w14:ligatures w14:val="none"/>
    </w:rPr>
  </w:style>
  <w:style w:type="paragraph" w:customStyle="1" w:styleId="ODNONIKtreodnonika">
    <w:name w:val="ODNOŚNIK – treść odnośnika"/>
    <w:uiPriority w:val="19"/>
    <w:qFormat/>
    <w:rsid w:val="001F7A1E"/>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customStyle="1" w:styleId="IGindeksgrny">
    <w:name w:val="_IG_ – indeks górny"/>
    <w:basedOn w:val="Domylnaczcionkaakapitu"/>
    <w:uiPriority w:val="2"/>
    <w:qFormat/>
    <w:rsid w:val="001F7A1E"/>
    <w:rPr>
      <w:b w:val="0"/>
      <w:i w:val="0"/>
      <w:vanish w:val="0"/>
      <w:spacing w:val="0"/>
      <w:vertAlign w:val="superscript"/>
    </w:rPr>
  </w:style>
  <w:style w:type="paragraph" w:styleId="HTML-wstpniesformatowany">
    <w:name w:val="HTML Preformatted"/>
    <w:basedOn w:val="Normalny"/>
    <w:link w:val="HTML-wstpniesformatowanyZnak"/>
    <w:uiPriority w:val="99"/>
    <w:semiHidden/>
    <w:unhideWhenUsed/>
    <w:rsid w:val="001F7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pl-PL"/>
      <w14:ligatures w14:val="none"/>
    </w:rPr>
  </w:style>
  <w:style w:type="character" w:customStyle="1" w:styleId="HTML-wstpniesformatowanyZnak">
    <w:name w:val="HTML - wstępnie sformatowany Znak"/>
    <w:basedOn w:val="Domylnaczcionkaakapitu"/>
    <w:link w:val="HTML-wstpniesformatowany"/>
    <w:uiPriority w:val="99"/>
    <w:semiHidden/>
    <w:rsid w:val="001F7A1E"/>
    <w:rPr>
      <w:rFonts w:ascii="Courier New" w:eastAsia="Times New Roman" w:hAnsi="Courier New" w:cs="Courier New"/>
      <w:kern w:val="0"/>
      <w:sz w:val="20"/>
      <w:szCs w:val="20"/>
      <w:lang w:eastAsia="pl-PL"/>
      <w14:ligatures w14:val="none"/>
    </w:rPr>
  </w:style>
  <w:style w:type="character" w:customStyle="1" w:styleId="y2iqfc">
    <w:name w:val="y2iqfc"/>
    <w:basedOn w:val="Domylnaczcionkaakapitu"/>
    <w:rsid w:val="001F7A1E"/>
  </w:style>
  <w:style w:type="character" w:customStyle="1" w:styleId="mw-headline">
    <w:name w:val="mw-headline"/>
    <w:basedOn w:val="Domylnaczcionkaakapitu"/>
    <w:rsid w:val="001F7A1E"/>
  </w:style>
  <w:style w:type="character" w:customStyle="1" w:styleId="lang-code">
    <w:name w:val="lang-code"/>
    <w:basedOn w:val="Domylnaczcionkaakapitu"/>
    <w:rsid w:val="001F7A1E"/>
  </w:style>
  <w:style w:type="character" w:customStyle="1" w:styleId="mw-editsection">
    <w:name w:val="mw-editsection"/>
    <w:basedOn w:val="Domylnaczcionkaakapitu"/>
    <w:rsid w:val="001F7A1E"/>
  </w:style>
  <w:style w:type="character" w:customStyle="1" w:styleId="mw-editsection-bracket">
    <w:name w:val="mw-editsection-bracket"/>
    <w:basedOn w:val="Domylnaczcionkaakapitu"/>
    <w:rsid w:val="001F7A1E"/>
  </w:style>
  <w:style w:type="character" w:customStyle="1" w:styleId="field">
    <w:name w:val="field"/>
    <w:basedOn w:val="Domylnaczcionkaakapitu"/>
    <w:rsid w:val="001F7A1E"/>
  </w:style>
  <w:style w:type="paragraph" w:customStyle="1" w:styleId="text-pl">
    <w:name w:val="text-pl"/>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term-num">
    <w:name w:val="term-num"/>
    <w:basedOn w:val="Domylnaczcionkaakapitu"/>
    <w:rsid w:val="001F7A1E"/>
  </w:style>
  <w:style w:type="paragraph" w:customStyle="1" w:styleId="ti-art">
    <w:name w:val="ti-art"/>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sti-art">
    <w:name w:val="sti-art"/>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Normalny1">
    <w:name w:val="Normalny1"/>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ti-section-2">
    <w:name w:val="ti-section-2"/>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italic">
    <w:name w:val="italic"/>
    <w:basedOn w:val="Domylnaczcionkaakapitu"/>
    <w:rsid w:val="001F7A1E"/>
  </w:style>
  <w:style w:type="paragraph" w:customStyle="1" w:styleId="ti-section-1">
    <w:name w:val="ti-section-1"/>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citation-line">
    <w:name w:val="citation-line"/>
    <w:basedOn w:val="Domylnaczcionkaakapitu"/>
    <w:rsid w:val="001F7A1E"/>
  </w:style>
  <w:style w:type="character" w:customStyle="1" w:styleId="validity-dates">
    <w:name w:val="validity-dates"/>
    <w:basedOn w:val="Domylnaczcionkaakapitu"/>
    <w:rsid w:val="001F7A1E"/>
  </w:style>
  <w:style w:type="character" w:styleId="Numerwiersza">
    <w:name w:val="line number"/>
    <w:basedOn w:val="Domylnaczcionkaakapitu"/>
    <w:uiPriority w:val="99"/>
    <w:semiHidden/>
    <w:unhideWhenUsed/>
    <w:rsid w:val="00016B51"/>
  </w:style>
  <w:style w:type="character" w:customStyle="1" w:styleId="Nierozpoznanawzmianka2">
    <w:name w:val="Nierozpoznana wzmianka2"/>
    <w:basedOn w:val="Domylnaczcionkaakapitu"/>
    <w:uiPriority w:val="99"/>
    <w:semiHidden/>
    <w:unhideWhenUsed/>
    <w:rsid w:val="00311C30"/>
    <w:rPr>
      <w:color w:val="605E5C"/>
      <w:shd w:val="clear" w:color="auto" w:fill="E1DFDD"/>
    </w:rPr>
  </w:style>
  <w:style w:type="paragraph" w:customStyle="1" w:styleId="Styl2Kwartalnik">
    <w:name w:val="Styl2Kwartalnik"/>
    <w:basedOn w:val="int-recipient"/>
    <w:link w:val="Styl2KwartalnikZnak"/>
    <w:autoRedefine/>
    <w:rsid w:val="00BA0CAC"/>
    <w:pPr>
      <w:shd w:val="clear" w:color="auto" w:fill="FFFFFF"/>
      <w:spacing w:before="0" w:beforeAutospacing="0" w:after="0" w:afterAutospacing="0"/>
      <w:ind w:left="284"/>
    </w:pPr>
    <w:rPr>
      <w:rFonts w:asciiTheme="minorHAnsi" w:hAnsiTheme="minorHAnsi" w:cstheme="minorHAnsi"/>
      <w:b/>
      <w:bCs/>
      <w:sz w:val="26"/>
      <w:szCs w:val="26"/>
    </w:rPr>
  </w:style>
  <w:style w:type="paragraph" w:customStyle="1" w:styleId="Styl1Kwartalnik1">
    <w:name w:val="Styl1Kwartalnik1"/>
    <w:basedOn w:val="Normalny"/>
    <w:link w:val="Styl1Kwartalnik1Znak"/>
    <w:rsid w:val="00C76802"/>
    <w:pPr>
      <w:jc w:val="center"/>
    </w:pPr>
    <w:rPr>
      <w:color w:val="E7E6E6" w:themeColor="background2"/>
      <w:sz w:val="72"/>
      <w:szCs w:val="72"/>
    </w:rPr>
  </w:style>
  <w:style w:type="character" w:customStyle="1" w:styleId="int-recipientZnak">
    <w:name w:val="int-recipient Znak"/>
    <w:basedOn w:val="Domylnaczcionkaakapitu"/>
    <w:link w:val="int-recipient"/>
    <w:rsid w:val="00BA0CAC"/>
    <w:rPr>
      <w:rFonts w:ascii="Times New Roman" w:eastAsia="Times New Roman" w:hAnsi="Times New Roman" w:cs="Times New Roman"/>
      <w:kern w:val="0"/>
      <w:sz w:val="24"/>
      <w:szCs w:val="24"/>
      <w:lang w:eastAsia="pl-PL"/>
      <w14:ligatures w14:val="none"/>
    </w:rPr>
  </w:style>
  <w:style w:type="character" w:customStyle="1" w:styleId="Styl2KwartalnikZnak">
    <w:name w:val="Styl2Kwartalnik Znak"/>
    <w:basedOn w:val="int-recipientZnak"/>
    <w:link w:val="Styl2Kwartalnik"/>
    <w:rsid w:val="00BA0CAC"/>
    <w:rPr>
      <w:rFonts w:ascii="Times New Roman" w:eastAsia="Times New Roman" w:hAnsi="Times New Roman" w:cstheme="minorHAnsi"/>
      <w:b/>
      <w:bCs/>
      <w:kern w:val="0"/>
      <w:sz w:val="26"/>
      <w:szCs w:val="26"/>
      <w:shd w:val="clear" w:color="auto" w:fill="FFFFFF"/>
      <w:lang w:eastAsia="pl-PL"/>
      <w14:ligatures w14:val="none"/>
    </w:rPr>
  </w:style>
  <w:style w:type="paragraph" w:styleId="Nagwekspisutreci">
    <w:name w:val="TOC Heading"/>
    <w:basedOn w:val="Nagwek1"/>
    <w:next w:val="Normalny"/>
    <w:uiPriority w:val="39"/>
    <w:unhideWhenUsed/>
    <w:qFormat/>
    <w:rsid w:val="00FE0125"/>
    <w:pPr>
      <w:keepNext/>
      <w:keepLines/>
      <w:spacing w:before="240" w:beforeAutospacing="0" w:after="0" w:afterAutospacing="0" w:line="259" w:lineRule="auto"/>
      <w:outlineLvl w:val="9"/>
    </w:pPr>
    <w:rPr>
      <w:rFonts w:eastAsiaTheme="majorEastAsia" w:cstheme="majorBidi"/>
      <w:b w:val="0"/>
      <w:bCs w:val="0"/>
      <w:color w:val="2F5496" w:themeColor="accent1" w:themeShade="BF"/>
      <w:kern w:val="0"/>
      <w:sz w:val="32"/>
      <w:szCs w:val="32"/>
    </w:rPr>
  </w:style>
  <w:style w:type="character" w:customStyle="1" w:styleId="Styl1Kwartalnik1Znak">
    <w:name w:val="Styl1Kwartalnik1 Znak"/>
    <w:basedOn w:val="Domylnaczcionkaakapitu"/>
    <w:link w:val="Styl1Kwartalnik1"/>
    <w:rsid w:val="00C76802"/>
    <w:rPr>
      <w:color w:val="E7E6E6" w:themeColor="background2"/>
      <w:sz w:val="72"/>
      <w:szCs w:val="72"/>
    </w:rPr>
  </w:style>
  <w:style w:type="paragraph" w:styleId="Spistreci2">
    <w:name w:val="toc 2"/>
    <w:basedOn w:val="Normalny"/>
    <w:next w:val="Normalny"/>
    <w:autoRedefine/>
    <w:uiPriority w:val="39"/>
    <w:unhideWhenUsed/>
    <w:rsid w:val="00B7601C"/>
    <w:pPr>
      <w:numPr>
        <w:numId w:val="63"/>
      </w:numPr>
      <w:tabs>
        <w:tab w:val="right" w:leader="dot" w:pos="9742"/>
      </w:tabs>
      <w:spacing w:after="100"/>
    </w:pPr>
    <w:rPr>
      <w:bCs/>
      <w:noProof/>
    </w:rPr>
  </w:style>
  <w:style w:type="paragraph" w:styleId="Spistreci3">
    <w:name w:val="toc 3"/>
    <w:basedOn w:val="Normalny"/>
    <w:next w:val="Normalny"/>
    <w:autoRedefine/>
    <w:uiPriority w:val="39"/>
    <w:unhideWhenUsed/>
    <w:rsid w:val="0007485A"/>
    <w:pPr>
      <w:tabs>
        <w:tab w:val="right" w:leader="dot" w:pos="9742"/>
      </w:tabs>
      <w:spacing w:after="100"/>
      <w:ind w:left="709" w:hanging="1"/>
    </w:pPr>
  </w:style>
  <w:style w:type="paragraph" w:styleId="Spistreci1">
    <w:name w:val="toc 1"/>
    <w:basedOn w:val="Normalny"/>
    <w:next w:val="Normalny"/>
    <w:autoRedefine/>
    <w:uiPriority w:val="39"/>
    <w:unhideWhenUsed/>
    <w:rsid w:val="008E4310"/>
    <w:pPr>
      <w:tabs>
        <w:tab w:val="right" w:leader="dot" w:pos="9742"/>
      </w:tabs>
      <w:spacing w:after="100"/>
    </w:pPr>
  </w:style>
  <w:style w:type="paragraph" w:styleId="Bezodstpw">
    <w:name w:val="No Spacing"/>
    <w:uiPriority w:val="1"/>
    <w:qFormat/>
    <w:rsid w:val="00EA0FA9"/>
    <w:pPr>
      <w:spacing w:after="0" w:line="240" w:lineRule="auto"/>
    </w:pPr>
  </w:style>
  <w:style w:type="paragraph" w:styleId="Spistreci4">
    <w:name w:val="toc 4"/>
    <w:basedOn w:val="Normalny"/>
    <w:next w:val="Normalny"/>
    <w:autoRedefine/>
    <w:uiPriority w:val="39"/>
    <w:unhideWhenUsed/>
    <w:rsid w:val="00667D6B"/>
    <w:pPr>
      <w:spacing w:after="100"/>
      <w:ind w:left="660"/>
    </w:pPr>
    <w:rPr>
      <w:rFonts w:eastAsiaTheme="minorEastAsia"/>
      <w:kern w:val="0"/>
      <w:lang w:eastAsia="pl-PL"/>
      <w14:ligatures w14:val="none"/>
    </w:rPr>
  </w:style>
  <w:style w:type="paragraph" w:styleId="Spistreci5">
    <w:name w:val="toc 5"/>
    <w:basedOn w:val="Normalny"/>
    <w:next w:val="Normalny"/>
    <w:autoRedefine/>
    <w:uiPriority w:val="39"/>
    <w:unhideWhenUsed/>
    <w:rsid w:val="00667D6B"/>
    <w:pPr>
      <w:spacing w:after="100"/>
      <w:ind w:left="880"/>
    </w:pPr>
    <w:rPr>
      <w:rFonts w:eastAsiaTheme="minorEastAsia"/>
      <w:kern w:val="0"/>
      <w:lang w:eastAsia="pl-PL"/>
      <w14:ligatures w14:val="none"/>
    </w:rPr>
  </w:style>
  <w:style w:type="paragraph" w:styleId="Spistreci6">
    <w:name w:val="toc 6"/>
    <w:basedOn w:val="Normalny"/>
    <w:next w:val="Normalny"/>
    <w:autoRedefine/>
    <w:uiPriority w:val="39"/>
    <w:unhideWhenUsed/>
    <w:rsid w:val="00667D6B"/>
    <w:pPr>
      <w:spacing w:after="100"/>
      <w:ind w:left="1100"/>
    </w:pPr>
    <w:rPr>
      <w:rFonts w:eastAsiaTheme="minorEastAsia"/>
      <w:kern w:val="0"/>
      <w:lang w:eastAsia="pl-PL"/>
      <w14:ligatures w14:val="none"/>
    </w:rPr>
  </w:style>
  <w:style w:type="paragraph" w:styleId="Spistreci7">
    <w:name w:val="toc 7"/>
    <w:basedOn w:val="Normalny"/>
    <w:next w:val="Normalny"/>
    <w:autoRedefine/>
    <w:uiPriority w:val="39"/>
    <w:unhideWhenUsed/>
    <w:rsid w:val="00667D6B"/>
    <w:pPr>
      <w:spacing w:after="100"/>
      <w:ind w:left="1320"/>
    </w:pPr>
    <w:rPr>
      <w:rFonts w:eastAsiaTheme="minorEastAsia"/>
      <w:kern w:val="0"/>
      <w:lang w:eastAsia="pl-PL"/>
      <w14:ligatures w14:val="none"/>
    </w:rPr>
  </w:style>
  <w:style w:type="paragraph" w:styleId="Spistreci8">
    <w:name w:val="toc 8"/>
    <w:basedOn w:val="Normalny"/>
    <w:next w:val="Normalny"/>
    <w:autoRedefine/>
    <w:uiPriority w:val="39"/>
    <w:unhideWhenUsed/>
    <w:rsid w:val="00667D6B"/>
    <w:pPr>
      <w:spacing w:after="100"/>
      <w:ind w:left="1540"/>
    </w:pPr>
    <w:rPr>
      <w:rFonts w:eastAsiaTheme="minorEastAsia"/>
      <w:kern w:val="0"/>
      <w:lang w:eastAsia="pl-PL"/>
      <w14:ligatures w14:val="none"/>
    </w:rPr>
  </w:style>
  <w:style w:type="paragraph" w:styleId="Spistreci9">
    <w:name w:val="toc 9"/>
    <w:basedOn w:val="Normalny"/>
    <w:next w:val="Normalny"/>
    <w:autoRedefine/>
    <w:uiPriority w:val="39"/>
    <w:unhideWhenUsed/>
    <w:rsid w:val="00667D6B"/>
    <w:pPr>
      <w:spacing w:after="100"/>
      <w:ind w:left="1760"/>
    </w:pPr>
    <w:rPr>
      <w:rFonts w:eastAsiaTheme="minorEastAsia"/>
      <w:kern w:val="0"/>
      <w:lang w:eastAsia="pl-PL"/>
      <w14:ligatures w14:val="none"/>
    </w:rPr>
  </w:style>
  <w:style w:type="paragraph" w:customStyle="1" w:styleId="NumeracjaRozdzial">
    <w:name w:val="NumeracjaRozdzial"/>
    <w:basedOn w:val="Normalny"/>
    <w:link w:val="NumeracjaRozdzialZnak"/>
    <w:qFormat/>
    <w:rsid w:val="00397CF8"/>
    <w:pPr>
      <w:spacing w:after="0"/>
    </w:pPr>
    <w:rPr>
      <w:rFonts w:cstheme="minorHAnsi"/>
      <w:b/>
      <w:bCs/>
      <w:sz w:val="42"/>
      <w:szCs w:val="42"/>
    </w:rPr>
  </w:style>
  <w:style w:type="character" w:customStyle="1" w:styleId="NumeracjaRozdzialZnak">
    <w:name w:val="NumeracjaRozdzial Znak"/>
    <w:basedOn w:val="Domylnaczcionkaakapitu"/>
    <w:link w:val="NumeracjaRozdzial"/>
    <w:rsid w:val="00397CF8"/>
    <w:rPr>
      <w:rFonts w:cstheme="minorHAnsi"/>
      <w:b/>
      <w:bCs/>
      <w:sz w:val="42"/>
      <w:szCs w:val="42"/>
    </w:rPr>
  </w:style>
  <w:style w:type="character" w:customStyle="1" w:styleId="Nierozpoznanawzmianka3">
    <w:name w:val="Nierozpoznana wzmianka3"/>
    <w:basedOn w:val="Domylnaczcionkaakapitu"/>
    <w:uiPriority w:val="99"/>
    <w:semiHidden/>
    <w:unhideWhenUsed/>
    <w:rsid w:val="004659A1"/>
    <w:rPr>
      <w:color w:val="605E5C"/>
      <w:shd w:val="clear" w:color="auto" w:fill="E1DFDD"/>
    </w:rPr>
  </w:style>
  <w:style w:type="character" w:styleId="Nierozpoznanawzmianka">
    <w:name w:val="Unresolved Mention"/>
    <w:basedOn w:val="Domylnaczcionkaakapitu"/>
    <w:uiPriority w:val="99"/>
    <w:semiHidden/>
    <w:unhideWhenUsed/>
    <w:rsid w:val="00F505B7"/>
    <w:rPr>
      <w:color w:val="605E5C"/>
      <w:shd w:val="clear" w:color="auto" w:fill="E1DFDD"/>
    </w:rPr>
  </w:style>
  <w:style w:type="character" w:customStyle="1" w:styleId="related--image-title">
    <w:name w:val="related--image-title"/>
    <w:basedOn w:val="Domylnaczcionkaakapitu"/>
    <w:rsid w:val="009271FD"/>
  </w:style>
  <w:style w:type="character" w:customStyle="1" w:styleId="related--image-author">
    <w:name w:val="related--image-author"/>
    <w:basedOn w:val="Domylnaczcionkaakapitu"/>
    <w:rsid w:val="009271FD"/>
  </w:style>
  <w:style w:type="paragraph" w:customStyle="1" w:styleId="haslatematyczne">
    <w:name w:val="hasla_tematyczne"/>
    <w:basedOn w:val="Normalny"/>
    <w:rsid w:val="00CB1817"/>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haslo">
    <w:name w:val="haslo"/>
    <w:basedOn w:val="Domylnaczcionkaakapitu"/>
    <w:rsid w:val="00CB1817"/>
  </w:style>
  <w:style w:type="character" w:customStyle="1" w:styleId="ydpab8cdcbcyiv2528135843apple-tab-span">
    <w:name w:val="ydpab8cdcbcyiv2528135843apple-tab-span"/>
    <w:basedOn w:val="Domylnaczcionkaakapitu"/>
    <w:rsid w:val="00394EC2"/>
  </w:style>
  <w:style w:type="paragraph" w:customStyle="1" w:styleId="ydp438e120dmz12ndqf">
    <w:name w:val="ydp438e120dm_z12ndqf"/>
    <w:basedOn w:val="Normalny"/>
    <w:rsid w:val="002F7E5D"/>
    <w:pPr>
      <w:spacing w:before="100" w:beforeAutospacing="1" w:after="100" w:afterAutospacing="1" w:line="240" w:lineRule="auto"/>
    </w:pPr>
    <w:rPr>
      <w:rFonts w:ascii="Aptos" w:hAnsi="Aptos" w:cs="Aptos"/>
      <w:kern w:val="0"/>
      <w:sz w:val="24"/>
      <w:szCs w:val="24"/>
      <w:lang w:eastAsia="pl-PL"/>
      <w14:ligatures w14:val="none"/>
    </w:rPr>
  </w:style>
  <w:style w:type="paragraph" w:customStyle="1" w:styleId="ydp65553df7msonormal">
    <w:name w:val="ydp65553df7msonormal"/>
    <w:basedOn w:val="Normalny"/>
    <w:rsid w:val="002F7E5D"/>
    <w:pPr>
      <w:spacing w:before="100" w:beforeAutospacing="1" w:after="100" w:afterAutospacing="1" w:line="240" w:lineRule="auto"/>
    </w:pPr>
    <w:rPr>
      <w:rFonts w:ascii="Aptos" w:hAnsi="Aptos" w:cs="Aptos"/>
      <w:kern w:val="0"/>
      <w:sz w:val="24"/>
      <w:szCs w:val="24"/>
      <w:lang w:eastAsia="pl-PL"/>
      <w14:ligatures w14:val="none"/>
    </w:rPr>
  </w:style>
  <w:style w:type="paragraph" w:customStyle="1" w:styleId="nrbrzegowy">
    <w:name w:val="nr brzegowy"/>
    <w:basedOn w:val="Normalny"/>
    <w:link w:val="nrbrzegowyZnak"/>
    <w:qFormat/>
    <w:rsid w:val="005F3768"/>
    <w:pPr>
      <w:spacing w:after="0" w:line="240" w:lineRule="auto"/>
    </w:pPr>
    <w:rPr>
      <w:rFonts w:ascii="Times New Roman" w:eastAsia="Times New Roman" w:hAnsi="Times New Roman" w:cs="Times New Roman"/>
      <w:kern w:val="0"/>
      <w:sz w:val="20"/>
      <w:szCs w:val="20"/>
      <w:lang w:eastAsia="pl-PL"/>
      <w14:ligatures w14:val="none"/>
    </w:rPr>
  </w:style>
  <w:style w:type="character" w:customStyle="1" w:styleId="nrbrzegowyZnak">
    <w:name w:val="nr brzegowy Znak"/>
    <w:basedOn w:val="Domylnaczcionkaakapitu"/>
    <w:link w:val="nrbrzegowy"/>
    <w:rsid w:val="005F3768"/>
    <w:rPr>
      <w:rFonts w:ascii="Times New Roman" w:eastAsia="Times New Roman" w:hAnsi="Times New Roman" w:cs="Times New Roman"/>
      <w:kern w:val="0"/>
      <w:sz w:val="20"/>
      <w:szCs w:val="20"/>
      <w:lang w:eastAsia="pl-PL"/>
      <w14:ligatures w14:val="none"/>
    </w:rPr>
  </w:style>
  <w:style w:type="paragraph" w:customStyle="1" w:styleId="nrbrzegowy2">
    <w:name w:val="nr brzegowy 2"/>
    <w:basedOn w:val="nrbrzegowy"/>
    <w:link w:val="nrbrzegowy2Znak"/>
    <w:qFormat/>
    <w:rsid w:val="002557FF"/>
    <w:pPr>
      <w:numPr>
        <w:numId w:val="65"/>
      </w:numPr>
      <w:jc w:val="both"/>
    </w:pPr>
    <w:rPr>
      <w:rFonts w:ascii="Calibri" w:hAnsi="Calibri"/>
      <w:bCs/>
      <w:sz w:val="24"/>
    </w:rPr>
  </w:style>
  <w:style w:type="character" w:customStyle="1" w:styleId="nrbrzegowy2Znak">
    <w:name w:val="nr brzegowy 2 Znak"/>
    <w:basedOn w:val="nrbrzegowyZnak"/>
    <w:link w:val="nrbrzegowy2"/>
    <w:rsid w:val="002557FF"/>
    <w:rPr>
      <w:rFonts w:ascii="Calibri" w:eastAsia="Times New Roman" w:hAnsi="Calibri" w:cs="Times New Roman"/>
      <w:bCs/>
      <w:kern w:val="0"/>
      <w:sz w:val="24"/>
      <w:szCs w:val="20"/>
      <w:lang w:eastAsia="pl-PL"/>
      <w14:ligatures w14:val="none"/>
    </w:rPr>
  </w:style>
  <w:style w:type="paragraph" w:styleId="Lista2">
    <w:name w:val="List 2"/>
    <w:basedOn w:val="Normalny"/>
    <w:uiPriority w:val="99"/>
    <w:unhideWhenUsed/>
    <w:rsid w:val="0034262F"/>
    <w:pPr>
      <w:ind w:left="566" w:hanging="283"/>
      <w:contextualSpacing/>
    </w:pPr>
  </w:style>
  <w:style w:type="paragraph" w:styleId="Lista3">
    <w:name w:val="List 3"/>
    <w:basedOn w:val="Normalny"/>
    <w:uiPriority w:val="99"/>
    <w:unhideWhenUsed/>
    <w:rsid w:val="0034262F"/>
    <w:pPr>
      <w:ind w:left="849" w:hanging="283"/>
      <w:contextualSpacing/>
    </w:pPr>
  </w:style>
  <w:style w:type="paragraph" w:styleId="Lista4">
    <w:name w:val="List 4"/>
    <w:basedOn w:val="Normalny"/>
    <w:uiPriority w:val="99"/>
    <w:unhideWhenUsed/>
    <w:rsid w:val="0034262F"/>
    <w:pPr>
      <w:ind w:left="1132" w:hanging="283"/>
      <w:contextualSpacing/>
    </w:pPr>
  </w:style>
  <w:style w:type="paragraph" w:styleId="Zwrotgrzecznociowy">
    <w:name w:val="Salutation"/>
    <w:basedOn w:val="Normalny"/>
    <w:next w:val="Normalny"/>
    <w:link w:val="ZwrotgrzecznociowyZnak"/>
    <w:uiPriority w:val="99"/>
    <w:unhideWhenUsed/>
    <w:rsid w:val="0034262F"/>
  </w:style>
  <w:style w:type="character" w:customStyle="1" w:styleId="ZwrotgrzecznociowyZnak">
    <w:name w:val="Zwrot grzecznościowy Znak"/>
    <w:basedOn w:val="Domylnaczcionkaakapitu"/>
    <w:link w:val="Zwrotgrzecznociowy"/>
    <w:uiPriority w:val="99"/>
    <w:rsid w:val="0034262F"/>
  </w:style>
  <w:style w:type="paragraph" w:styleId="Listapunktowana2">
    <w:name w:val="List Bullet 2"/>
    <w:basedOn w:val="Normalny"/>
    <w:uiPriority w:val="99"/>
    <w:unhideWhenUsed/>
    <w:rsid w:val="0034262F"/>
    <w:pPr>
      <w:numPr>
        <w:numId w:val="75"/>
      </w:numPr>
      <w:contextualSpacing/>
    </w:pPr>
  </w:style>
  <w:style w:type="paragraph" w:styleId="Listapunktowana3">
    <w:name w:val="List Bullet 3"/>
    <w:basedOn w:val="Normalny"/>
    <w:uiPriority w:val="99"/>
    <w:unhideWhenUsed/>
    <w:rsid w:val="0034262F"/>
    <w:pPr>
      <w:numPr>
        <w:numId w:val="76"/>
      </w:numPr>
      <w:contextualSpacing/>
    </w:pPr>
  </w:style>
  <w:style w:type="paragraph" w:styleId="Lista-kontynuacja">
    <w:name w:val="List Continue"/>
    <w:basedOn w:val="Normalny"/>
    <w:uiPriority w:val="99"/>
    <w:unhideWhenUsed/>
    <w:rsid w:val="0034262F"/>
    <w:pPr>
      <w:spacing w:after="120"/>
      <w:ind w:left="283"/>
      <w:contextualSpacing/>
    </w:pPr>
  </w:style>
  <w:style w:type="paragraph" w:customStyle="1" w:styleId="Adresodbiorcy">
    <w:name w:val="Adres odbiorcy"/>
    <w:basedOn w:val="Normalny"/>
    <w:rsid w:val="0034262F"/>
  </w:style>
  <w:style w:type="paragraph" w:styleId="Legenda">
    <w:name w:val="caption"/>
    <w:basedOn w:val="Normalny"/>
    <w:next w:val="Normalny"/>
    <w:uiPriority w:val="35"/>
    <w:unhideWhenUsed/>
    <w:qFormat/>
    <w:rsid w:val="0034262F"/>
    <w:pPr>
      <w:spacing w:after="200" w:line="240" w:lineRule="auto"/>
    </w:pPr>
    <w:rPr>
      <w:i/>
      <w:iCs/>
      <w:color w:val="44546A" w:themeColor="text2"/>
      <w:sz w:val="18"/>
      <w:szCs w:val="18"/>
    </w:rPr>
  </w:style>
  <w:style w:type="paragraph" w:styleId="Wcicienormalne">
    <w:name w:val="Normal Indent"/>
    <w:basedOn w:val="Normalny"/>
    <w:uiPriority w:val="99"/>
    <w:unhideWhenUsed/>
    <w:rsid w:val="0034262F"/>
    <w:pPr>
      <w:ind w:left="708"/>
    </w:pPr>
  </w:style>
  <w:style w:type="paragraph" w:styleId="Tekstpodstawowyzwciciem">
    <w:name w:val="Body Text First Indent"/>
    <w:basedOn w:val="Tekstpodstawowy"/>
    <w:link w:val="TekstpodstawowyzwciciemZnak"/>
    <w:uiPriority w:val="99"/>
    <w:unhideWhenUsed/>
    <w:rsid w:val="0034262F"/>
    <w:pPr>
      <w:shd w:val="clear" w:color="auto" w:fill="auto"/>
      <w:suppressAutoHyphens w:val="0"/>
      <w:spacing w:after="160" w:line="259" w:lineRule="auto"/>
      <w:ind w:right="0" w:firstLine="360"/>
      <w:jc w:val="left"/>
    </w:pPr>
    <w:rPr>
      <w:rFonts w:asciiTheme="minorHAnsi" w:eastAsiaTheme="minorHAnsi" w:hAnsiTheme="minorHAnsi" w:cstheme="minorBidi"/>
      <w:color w:val="auto"/>
      <w:w w:val="100"/>
      <w:kern w:val="2"/>
      <w:sz w:val="22"/>
      <w:szCs w:val="22"/>
      <w:lang w:eastAsia="en-US"/>
      <w14:ligatures w14:val="standardContextual"/>
    </w:rPr>
  </w:style>
  <w:style w:type="character" w:customStyle="1" w:styleId="TekstpodstawowyzwciciemZnak">
    <w:name w:val="Tekst podstawowy z wcięciem Znak"/>
    <w:basedOn w:val="TekstpodstawowyZnak"/>
    <w:link w:val="Tekstpodstawowyzwciciem"/>
    <w:uiPriority w:val="99"/>
    <w:rsid w:val="0034262F"/>
    <w:rPr>
      <w:rFonts w:ascii="Times New Roman" w:eastAsia="Times New Roman" w:hAnsi="Times New Roman" w:cs="Times New Roman"/>
      <w:color w:val="000000"/>
      <w:w w:val="101"/>
      <w:kern w:val="0"/>
      <w:sz w:val="24"/>
      <w:szCs w:val="23"/>
      <w:shd w:val="clear" w:color="auto" w:fill="FFFFFF"/>
      <w:lang w:eastAsia="ar-SA"/>
      <w14:ligatures w14:val="none"/>
    </w:rPr>
  </w:style>
  <w:style w:type="paragraph" w:styleId="Tekstpodstawowyzwciciem2">
    <w:name w:val="Body Text First Indent 2"/>
    <w:basedOn w:val="Tekstpodstawowywcity"/>
    <w:link w:val="Tekstpodstawowyzwciciem2Znak"/>
    <w:uiPriority w:val="99"/>
    <w:unhideWhenUsed/>
    <w:rsid w:val="0034262F"/>
    <w:pPr>
      <w:shd w:val="clear" w:color="auto" w:fill="auto"/>
      <w:suppressAutoHyphens w:val="0"/>
      <w:spacing w:before="0" w:after="160" w:line="259" w:lineRule="auto"/>
      <w:ind w:left="360" w:firstLine="360"/>
      <w:jc w:val="left"/>
    </w:pPr>
    <w:rPr>
      <w:rFonts w:asciiTheme="minorHAnsi" w:eastAsiaTheme="minorHAnsi" w:hAnsiTheme="minorHAnsi" w:cstheme="minorBidi"/>
      <w:color w:val="auto"/>
      <w:w w:val="100"/>
      <w:kern w:val="2"/>
      <w:sz w:val="22"/>
      <w:szCs w:val="22"/>
      <w:lang w:eastAsia="en-US"/>
      <w14:ligatures w14:val="standardContextual"/>
    </w:rPr>
  </w:style>
  <w:style w:type="character" w:customStyle="1" w:styleId="Tekstpodstawowyzwciciem2Znak">
    <w:name w:val="Tekst podstawowy z wcięciem 2 Znak"/>
    <w:basedOn w:val="TekstpodstawowywcityZnak"/>
    <w:link w:val="Tekstpodstawowyzwciciem2"/>
    <w:uiPriority w:val="99"/>
    <w:rsid w:val="0034262F"/>
    <w:rPr>
      <w:rFonts w:ascii="Arial" w:eastAsia="Times New Roman" w:hAnsi="Arial" w:cs="Arial"/>
      <w:color w:val="000000"/>
      <w:w w:val="69"/>
      <w:kern w:val="0"/>
      <w:sz w:val="46"/>
      <w:szCs w:val="46"/>
      <w:shd w:val="clear" w:color="auto" w:fill="FFFFFF"/>
      <w:lang w:eastAsia="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77602">
      <w:bodyDiv w:val="1"/>
      <w:marLeft w:val="0"/>
      <w:marRight w:val="0"/>
      <w:marTop w:val="0"/>
      <w:marBottom w:val="0"/>
      <w:divBdr>
        <w:top w:val="none" w:sz="0" w:space="0" w:color="auto"/>
        <w:left w:val="none" w:sz="0" w:space="0" w:color="auto"/>
        <w:bottom w:val="none" w:sz="0" w:space="0" w:color="auto"/>
        <w:right w:val="none" w:sz="0" w:space="0" w:color="auto"/>
      </w:divBdr>
    </w:div>
    <w:div w:id="29112703">
      <w:bodyDiv w:val="1"/>
      <w:marLeft w:val="0"/>
      <w:marRight w:val="0"/>
      <w:marTop w:val="0"/>
      <w:marBottom w:val="0"/>
      <w:divBdr>
        <w:top w:val="none" w:sz="0" w:space="0" w:color="auto"/>
        <w:left w:val="none" w:sz="0" w:space="0" w:color="auto"/>
        <w:bottom w:val="none" w:sz="0" w:space="0" w:color="auto"/>
        <w:right w:val="none" w:sz="0" w:space="0" w:color="auto"/>
      </w:divBdr>
    </w:div>
    <w:div w:id="31197677">
      <w:bodyDiv w:val="1"/>
      <w:marLeft w:val="0"/>
      <w:marRight w:val="0"/>
      <w:marTop w:val="0"/>
      <w:marBottom w:val="0"/>
      <w:divBdr>
        <w:top w:val="none" w:sz="0" w:space="0" w:color="auto"/>
        <w:left w:val="none" w:sz="0" w:space="0" w:color="auto"/>
        <w:bottom w:val="none" w:sz="0" w:space="0" w:color="auto"/>
        <w:right w:val="none" w:sz="0" w:space="0" w:color="auto"/>
      </w:divBdr>
    </w:div>
    <w:div w:id="41367862">
      <w:bodyDiv w:val="1"/>
      <w:marLeft w:val="0"/>
      <w:marRight w:val="0"/>
      <w:marTop w:val="0"/>
      <w:marBottom w:val="0"/>
      <w:divBdr>
        <w:top w:val="none" w:sz="0" w:space="0" w:color="auto"/>
        <w:left w:val="none" w:sz="0" w:space="0" w:color="auto"/>
        <w:bottom w:val="none" w:sz="0" w:space="0" w:color="auto"/>
        <w:right w:val="none" w:sz="0" w:space="0" w:color="auto"/>
      </w:divBdr>
    </w:div>
    <w:div w:id="46415909">
      <w:bodyDiv w:val="1"/>
      <w:marLeft w:val="0"/>
      <w:marRight w:val="0"/>
      <w:marTop w:val="0"/>
      <w:marBottom w:val="0"/>
      <w:divBdr>
        <w:top w:val="none" w:sz="0" w:space="0" w:color="auto"/>
        <w:left w:val="none" w:sz="0" w:space="0" w:color="auto"/>
        <w:bottom w:val="none" w:sz="0" w:space="0" w:color="auto"/>
        <w:right w:val="none" w:sz="0" w:space="0" w:color="auto"/>
      </w:divBdr>
    </w:div>
    <w:div w:id="52701544">
      <w:bodyDiv w:val="1"/>
      <w:marLeft w:val="0"/>
      <w:marRight w:val="0"/>
      <w:marTop w:val="0"/>
      <w:marBottom w:val="0"/>
      <w:divBdr>
        <w:top w:val="none" w:sz="0" w:space="0" w:color="auto"/>
        <w:left w:val="none" w:sz="0" w:space="0" w:color="auto"/>
        <w:bottom w:val="none" w:sz="0" w:space="0" w:color="auto"/>
        <w:right w:val="none" w:sz="0" w:space="0" w:color="auto"/>
      </w:divBdr>
      <w:divsChild>
        <w:div w:id="779952920">
          <w:marLeft w:val="0"/>
          <w:marRight w:val="0"/>
          <w:marTop w:val="150"/>
          <w:marBottom w:val="168"/>
          <w:divBdr>
            <w:top w:val="none" w:sz="0" w:space="0" w:color="auto"/>
            <w:left w:val="none" w:sz="0" w:space="0" w:color="auto"/>
            <w:bottom w:val="none" w:sz="0" w:space="0" w:color="auto"/>
            <w:right w:val="none" w:sz="0" w:space="0" w:color="auto"/>
          </w:divBdr>
        </w:div>
        <w:div w:id="1930966375">
          <w:marLeft w:val="0"/>
          <w:marRight w:val="0"/>
          <w:marTop w:val="0"/>
          <w:marBottom w:val="0"/>
          <w:divBdr>
            <w:top w:val="none" w:sz="0" w:space="0" w:color="auto"/>
            <w:left w:val="none" w:sz="0" w:space="0" w:color="auto"/>
            <w:bottom w:val="none" w:sz="0" w:space="0" w:color="auto"/>
            <w:right w:val="none" w:sz="0" w:space="0" w:color="auto"/>
          </w:divBdr>
          <w:divsChild>
            <w:div w:id="1712533080">
              <w:marLeft w:val="0"/>
              <w:marRight w:val="0"/>
              <w:marTop w:val="105"/>
              <w:marBottom w:val="0"/>
              <w:divBdr>
                <w:top w:val="none" w:sz="0" w:space="0" w:color="auto"/>
                <w:left w:val="none" w:sz="0" w:space="0" w:color="auto"/>
                <w:bottom w:val="none" w:sz="0" w:space="0" w:color="auto"/>
                <w:right w:val="none" w:sz="0" w:space="0" w:color="auto"/>
              </w:divBdr>
            </w:div>
          </w:divsChild>
        </w:div>
        <w:div w:id="1886285619">
          <w:marLeft w:val="0"/>
          <w:marRight w:val="0"/>
          <w:marTop w:val="0"/>
          <w:marBottom w:val="0"/>
          <w:divBdr>
            <w:top w:val="none" w:sz="0" w:space="0" w:color="auto"/>
            <w:left w:val="none" w:sz="0" w:space="0" w:color="auto"/>
            <w:bottom w:val="none" w:sz="0" w:space="0" w:color="auto"/>
            <w:right w:val="none" w:sz="0" w:space="0" w:color="auto"/>
          </w:divBdr>
          <w:divsChild>
            <w:div w:id="1441951251">
              <w:marLeft w:val="0"/>
              <w:marRight w:val="0"/>
              <w:marTop w:val="105"/>
              <w:marBottom w:val="0"/>
              <w:divBdr>
                <w:top w:val="none" w:sz="0" w:space="0" w:color="auto"/>
                <w:left w:val="none" w:sz="0" w:space="0" w:color="auto"/>
                <w:bottom w:val="none" w:sz="0" w:space="0" w:color="auto"/>
                <w:right w:val="none" w:sz="0" w:space="0" w:color="auto"/>
              </w:divBdr>
            </w:div>
          </w:divsChild>
        </w:div>
        <w:div w:id="1774325263">
          <w:marLeft w:val="0"/>
          <w:marRight w:val="0"/>
          <w:marTop w:val="0"/>
          <w:marBottom w:val="0"/>
          <w:divBdr>
            <w:top w:val="none" w:sz="0" w:space="0" w:color="auto"/>
            <w:left w:val="none" w:sz="0" w:space="0" w:color="auto"/>
            <w:bottom w:val="none" w:sz="0" w:space="0" w:color="auto"/>
            <w:right w:val="none" w:sz="0" w:space="0" w:color="auto"/>
          </w:divBdr>
          <w:divsChild>
            <w:div w:id="700933800">
              <w:marLeft w:val="0"/>
              <w:marRight w:val="0"/>
              <w:marTop w:val="105"/>
              <w:marBottom w:val="0"/>
              <w:divBdr>
                <w:top w:val="none" w:sz="0" w:space="0" w:color="auto"/>
                <w:left w:val="none" w:sz="0" w:space="0" w:color="auto"/>
                <w:bottom w:val="none" w:sz="0" w:space="0" w:color="auto"/>
                <w:right w:val="none" w:sz="0" w:space="0" w:color="auto"/>
              </w:divBdr>
            </w:div>
          </w:divsChild>
        </w:div>
        <w:div w:id="1445035263">
          <w:marLeft w:val="0"/>
          <w:marRight w:val="0"/>
          <w:marTop w:val="0"/>
          <w:marBottom w:val="0"/>
          <w:divBdr>
            <w:top w:val="none" w:sz="0" w:space="0" w:color="auto"/>
            <w:left w:val="none" w:sz="0" w:space="0" w:color="auto"/>
            <w:bottom w:val="none" w:sz="0" w:space="0" w:color="auto"/>
            <w:right w:val="none" w:sz="0" w:space="0" w:color="auto"/>
          </w:divBdr>
          <w:divsChild>
            <w:div w:id="1707875953">
              <w:marLeft w:val="0"/>
              <w:marRight w:val="0"/>
              <w:marTop w:val="105"/>
              <w:marBottom w:val="0"/>
              <w:divBdr>
                <w:top w:val="none" w:sz="0" w:space="0" w:color="auto"/>
                <w:left w:val="none" w:sz="0" w:space="0" w:color="auto"/>
                <w:bottom w:val="none" w:sz="0" w:space="0" w:color="auto"/>
                <w:right w:val="none" w:sz="0" w:space="0" w:color="auto"/>
              </w:divBdr>
            </w:div>
          </w:divsChild>
        </w:div>
        <w:div w:id="604046896">
          <w:marLeft w:val="0"/>
          <w:marRight w:val="0"/>
          <w:marTop w:val="0"/>
          <w:marBottom w:val="0"/>
          <w:divBdr>
            <w:top w:val="none" w:sz="0" w:space="0" w:color="auto"/>
            <w:left w:val="none" w:sz="0" w:space="0" w:color="auto"/>
            <w:bottom w:val="none" w:sz="0" w:space="0" w:color="auto"/>
            <w:right w:val="none" w:sz="0" w:space="0" w:color="auto"/>
          </w:divBdr>
          <w:divsChild>
            <w:div w:id="1979215137">
              <w:marLeft w:val="0"/>
              <w:marRight w:val="0"/>
              <w:marTop w:val="105"/>
              <w:marBottom w:val="0"/>
              <w:divBdr>
                <w:top w:val="none" w:sz="0" w:space="0" w:color="auto"/>
                <w:left w:val="none" w:sz="0" w:space="0" w:color="auto"/>
                <w:bottom w:val="none" w:sz="0" w:space="0" w:color="auto"/>
                <w:right w:val="none" w:sz="0" w:space="0" w:color="auto"/>
              </w:divBdr>
            </w:div>
          </w:divsChild>
        </w:div>
        <w:div w:id="191504702">
          <w:marLeft w:val="0"/>
          <w:marRight w:val="0"/>
          <w:marTop w:val="0"/>
          <w:marBottom w:val="0"/>
          <w:divBdr>
            <w:top w:val="none" w:sz="0" w:space="0" w:color="auto"/>
            <w:left w:val="none" w:sz="0" w:space="0" w:color="auto"/>
            <w:bottom w:val="none" w:sz="0" w:space="0" w:color="auto"/>
            <w:right w:val="none" w:sz="0" w:space="0" w:color="auto"/>
          </w:divBdr>
          <w:divsChild>
            <w:div w:id="1515921727">
              <w:marLeft w:val="0"/>
              <w:marRight w:val="0"/>
              <w:marTop w:val="105"/>
              <w:marBottom w:val="0"/>
              <w:divBdr>
                <w:top w:val="none" w:sz="0" w:space="0" w:color="auto"/>
                <w:left w:val="none" w:sz="0" w:space="0" w:color="auto"/>
                <w:bottom w:val="none" w:sz="0" w:space="0" w:color="auto"/>
                <w:right w:val="none" w:sz="0" w:space="0" w:color="auto"/>
              </w:divBdr>
            </w:div>
          </w:divsChild>
        </w:div>
        <w:div w:id="1076590521">
          <w:marLeft w:val="0"/>
          <w:marRight w:val="0"/>
          <w:marTop w:val="0"/>
          <w:marBottom w:val="0"/>
          <w:divBdr>
            <w:top w:val="none" w:sz="0" w:space="0" w:color="auto"/>
            <w:left w:val="none" w:sz="0" w:space="0" w:color="auto"/>
            <w:bottom w:val="none" w:sz="0" w:space="0" w:color="auto"/>
            <w:right w:val="none" w:sz="0" w:space="0" w:color="auto"/>
          </w:divBdr>
          <w:divsChild>
            <w:div w:id="1690061090">
              <w:marLeft w:val="0"/>
              <w:marRight w:val="0"/>
              <w:marTop w:val="105"/>
              <w:marBottom w:val="0"/>
              <w:divBdr>
                <w:top w:val="none" w:sz="0" w:space="0" w:color="auto"/>
                <w:left w:val="none" w:sz="0" w:space="0" w:color="auto"/>
                <w:bottom w:val="none" w:sz="0" w:space="0" w:color="auto"/>
                <w:right w:val="none" w:sz="0" w:space="0" w:color="auto"/>
              </w:divBdr>
            </w:div>
          </w:divsChild>
        </w:div>
        <w:div w:id="1111433550">
          <w:marLeft w:val="0"/>
          <w:marRight w:val="0"/>
          <w:marTop w:val="0"/>
          <w:marBottom w:val="0"/>
          <w:divBdr>
            <w:top w:val="none" w:sz="0" w:space="0" w:color="auto"/>
            <w:left w:val="none" w:sz="0" w:space="0" w:color="auto"/>
            <w:bottom w:val="none" w:sz="0" w:space="0" w:color="auto"/>
            <w:right w:val="none" w:sz="0" w:space="0" w:color="auto"/>
          </w:divBdr>
          <w:divsChild>
            <w:div w:id="431171448">
              <w:marLeft w:val="0"/>
              <w:marRight w:val="0"/>
              <w:marTop w:val="105"/>
              <w:marBottom w:val="0"/>
              <w:divBdr>
                <w:top w:val="none" w:sz="0" w:space="0" w:color="auto"/>
                <w:left w:val="none" w:sz="0" w:space="0" w:color="auto"/>
                <w:bottom w:val="none" w:sz="0" w:space="0" w:color="auto"/>
                <w:right w:val="none" w:sz="0" w:space="0" w:color="auto"/>
              </w:divBdr>
            </w:div>
          </w:divsChild>
        </w:div>
        <w:div w:id="1075129530">
          <w:marLeft w:val="0"/>
          <w:marRight w:val="0"/>
          <w:marTop w:val="0"/>
          <w:marBottom w:val="0"/>
          <w:divBdr>
            <w:top w:val="none" w:sz="0" w:space="0" w:color="auto"/>
            <w:left w:val="none" w:sz="0" w:space="0" w:color="auto"/>
            <w:bottom w:val="none" w:sz="0" w:space="0" w:color="auto"/>
            <w:right w:val="none" w:sz="0" w:space="0" w:color="auto"/>
          </w:divBdr>
          <w:divsChild>
            <w:div w:id="102348051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56754344">
      <w:bodyDiv w:val="1"/>
      <w:marLeft w:val="0"/>
      <w:marRight w:val="0"/>
      <w:marTop w:val="0"/>
      <w:marBottom w:val="0"/>
      <w:divBdr>
        <w:top w:val="none" w:sz="0" w:space="0" w:color="auto"/>
        <w:left w:val="none" w:sz="0" w:space="0" w:color="auto"/>
        <w:bottom w:val="none" w:sz="0" w:space="0" w:color="auto"/>
        <w:right w:val="none" w:sz="0" w:space="0" w:color="auto"/>
      </w:divBdr>
    </w:div>
    <w:div w:id="69625767">
      <w:bodyDiv w:val="1"/>
      <w:marLeft w:val="0"/>
      <w:marRight w:val="0"/>
      <w:marTop w:val="0"/>
      <w:marBottom w:val="0"/>
      <w:divBdr>
        <w:top w:val="none" w:sz="0" w:space="0" w:color="auto"/>
        <w:left w:val="none" w:sz="0" w:space="0" w:color="auto"/>
        <w:bottom w:val="none" w:sz="0" w:space="0" w:color="auto"/>
        <w:right w:val="none" w:sz="0" w:space="0" w:color="auto"/>
      </w:divBdr>
    </w:div>
    <w:div w:id="78328750">
      <w:bodyDiv w:val="1"/>
      <w:marLeft w:val="0"/>
      <w:marRight w:val="0"/>
      <w:marTop w:val="0"/>
      <w:marBottom w:val="0"/>
      <w:divBdr>
        <w:top w:val="none" w:sz="0" w:space="0" w:color="auto"/>
        <w:left w:val="none" w:sz="0" w:space="0" w:color="auto"/>
        <w:bottom w:val="none" w:sz="0" w:space="0" w:color="auto"/>
        <w:right w:val="none" w:sz="0" w:space="0" w:color="auto"/>
      </w:divBdr>
    </w:div>
    <w:div w:id="96414443">
      <w:bodyDiv w:val="1"/>
      <w:marLeft w:val="0"/>
      <w:marRight w:val="0"/>
      <w:marTop w:val="0"/>
      <w:marBottom w:val="0"/>
      <w:divBdr>
        <w:top w:val="none" w:sz="0" w:space="0" w:color="auto"/>
        <w:left w:val="none" w:sz="0" w:space="0" w:color="auto"/>
        <w:bottom w:val="none" w:sz="0" w:space="0" w:color="auto"/>
        <w:right w:val="none" w:sz="0" w:space="0" w:color="auto"/>
      </w:divBdr>
    </w:div>
    <w:div w:id="136193493">
      <w:bodyDiv w:val="1"/>
      <w:marLeft w:val="0"/>
      <w:marRight w:val="0"/>
      <w:marTop w:val="0"/>
      <w:marBottom w:val="0"/>
      <w:divBdr>
        <w:top w:val="none" w:sz="0" w:space="0" w:color="auto"/>
        <w:left w:val="none" w:sz="0" w:space="0" w:color="auto"/>
        <w:bottom w:val="none" w:sz="0" w:space="0" w:color="auto"/>
        <w:right w:val="none" w:sz="0" w:space="0" w:color="auto"/>
      </w:divBdr>
    </w:div>
    <w:div w:id="139735798">
      <w:bodyDiv w:val="1"/>
      <w:marLeft w:val="0"/>
      <w:marRight w:val="0"/>
      <w:marTop w:val="0"/>
      <w:marBottom w:val="0"/>
      <w:divBdr>
        <w:top w:val="none" w:sz="0" w:space="0" w:color="auto"/>
        <w:left w:val="none" w:sz="0" w:space="0" w:color="auto"/>
        <w:bottom w:val="none" w:sz="0" w:space="0" w:color="auto"/>
        <w:right w:val="none" w:sz="0" w:space="0" w:color="auto"/>
      </w:divBdr>
    </w:div>
    <w:div w:id="158545406">
      <w:bodyDiv w:val="1"/>
      <w:marLeft w:val="0"/>
      <w:marRight w:val="0"/>
      <w:marTop w:val="0"/>
      <w:marBottom w:val="0"/>
      <w:divBdr>
        <w:top w:val="none" w:sz="0" w:space="0" w:color="auto"/>
        <w:left w:val="none" w:sz="0" w:space="0" w:color="auto"/>
        <w:bottom w:val="none" w:sz="0" w:space="0" w:color="auto"/>
        <w:right w:val="none" w:sz="0" w:space="0" w:color="auto"/>
      </w:divBdr>
    </w:div>
    <w:div w:id="186725551">
      <w:bodyDiv w:val="1"/>
      <w:marLeft w:val="0"/>
      <w:marRight w:val="0"/>
      <w:marTop w:val="0"/>
      <w:marBottom w:val="0"/>
      <w:divBdr>
        <w:top w:val="none" w:sz="0" w:space="0" w:color="auto"/>
        <w:left w:val="none" w:sz="0" w:space="0" w:color="auto"/>
        <w:bottom w:val="none" w:sz="0" w:space="0" w:color="auto"/>
        <w:right w:val="none" w:sz="0" w:space="0" w:color="auto"/>
      </w:divBdr>
    </w:div>
    <w:div w:id="265112685">
      <w:bodyDiv w:val="1"/>
      <w:marLeft w:val="0"/>
      <w:marRight w:val="0"/>
      <w:marTop w:val="0"/>
      <w:marBottom w:val="0"/>
      <w:divBdr>
        <w:top w:val="none" w:sz="0" w:space="0" w:color="auto"/>
        <w:left w:val="none" w:sz="0" w:space="0" w:color="auto"/>
        <w:bottom w:val="none" w:sz="0" w:space="0" w:color="auto"/>
        <w:right w:val="none" w:sz="0" w:space="0" w:color="auto"/>
      </w:divBdr>
    </w:div>
    <w:div w:id="316613335">
      <w:bodyDiv w:val="1"/>
      <w:marLeft w:val="0"/>
      <w:marRight w:val="0"/>
      <w:marTop w:val="0"/>
      <w:marBottom w:val="0"/>
      <w:divBdr>
        <w:top w:val="none" w:sz="0" w:space="0" w:color="auto"/>
        <w:left w:val="none" w:sz="0" w:space="0" w:color="auto"/>
        <w:bottom w:val="none" w:sz="0" w:space="0" w:color="auto"/>
        <w:right w:val="none" w:sz="0" w:space="0" w:color="auto"/>
      </w:divBdr>
    </w:div>
    <w:div w:id="319235808">
      <w:bodyDiv w:val="1"/>
      <w:marLeft w:val="0"/>
      <w:marRight w:val="0"/>
      <w:marTop w:val="0"/>
      <w:marBottom w:val="0"/>
      <w:divBdr>
        <w:top w:val="none" w:sz="0" w:space="0" w:color="auto"/>
        <w:left w:val="none" w:sz="0" w:space="0" w:color="auto"/>
        <w:bottom w:val="none" w:sz="0" w:space="0" w:color="auto"/>
        <w:right w:val="none" w:sz="0" w:space="0" w:color="auto"/>
      </w:divBdr>
    </w:div>
    <w:div w:id="323704965">
      <w:bodyDiv w:val="1"/>
      <w:marLeft w:val="0"/>
      <w:marRight w:val="0"/>
      <w:marTop w:val="0"/>
      <w:marBottom w:val="0"/>
      <w:divBdr>
        <w:top w:val="none" w:sz="0" w:space="0" w:color="auto"/>
        <w:left w:val="none" w:sz="0" w:space="0" w:color="auto"/>
        <w:bottom w:val="none" w:sz="0" w:space="0" w:color="auto"/>
        <w:right w:val="none" w:sz="0" w:space="0" w:color="auto"/>
      </w:divBdr>
      <w:divsChild>
        <w:div w:id="621111623">
          <w:marLeft w:val="0"/>
          <w:marRight w:val="0"/>
          <w:marTop w:val="150"/>
          <w:marBottom w:val="168"/>
          <w:divBdr>
            <w:top w:val="none" w:sz="0" w:space="0" w:color="auto"/>
            <w:left w:val="none" w:sz="0" w:space="0" w:color="auto"/>
            <w:bottom w:val="none" w:sz="0" w:space="0" w:color="auto"/>
            <w:right w:val="none" w:sz="0" w:space="0" w:color="auto"/>
          </w:divBdr>
        </w:div>
        <w:div w:id="1053843982">
          <w:marLeft w:val="0"/>
          <w:marRight w:val="0"/>
          <w:marTop w:val="0"/>
          <w:marBottom w:val="0"/>
          <w:divBdr>
            <w:top w:val="none" w:sz="0" w:space="0" w:color="auto"/>
            <w:left w:val="none" w:sz="0" w:space="0" w:color="auto"/>
            <w:bottom w:val="none" w:sz="0" w:space="0" w:color="auto"/>
            <w:right w:val="none" w:sz="0" w:space="0" w:color="auto"/>
          </w:divBdr>
          <w:divsChild>
            <w:div w:id="2072457560">
              <w:marLeft w:val="0"/>
              <w:marRight w:val="0"/>
              <w:marTop w:val="105"/>
              <w:marBottom w:val="0"/>
              <w:divBdr>
                <w:top w:val="none" w:sz="0" w:space="0" w:color="auto"/>
                <w:left w:val="none" w:sz="0" w:space="0" w:color="auto"/>
                <w:bottom w:val="none" w:sz="0" w:space="0" w:color="auto"/>
                <w:right w:val="none" w:sz="0" w:space="0" w:color="auto"/>
              </w:divBdr>
            </w:div>
            <w:div w:id="151525673">
              <w:marLeft w:val="0"/>
              <w:marRight w:val="0"/>
              <w:marTop w:val="0"/>
              <w:marBottom w:val="0"/>
              <w:divBdr>
                <w:top w:val="none" w:sz="0" w:space="0" w:color="auto"/>
                <w:left w:val="none" w:sz="0" w:space="0" w:color="auto"/>
                <w:bottom w:val="none" w:sz="0" w:space="0" w:color="auto"/>
                <w:right w:val="none" w:sz="0" w:space="0" w:color="auto"/>
              </w:divBdr>
              <w:divsChild>
                <w:div w:id="185753497">
                  <w:marLeft w:val="255"/>
                  <w:marRight w:val="0"/>
                  <w:marTop w:val="0"/>
                  <w:marBottom w:val="0"/>
                  <w:divBdr>
                    <w:top w:val="none" w:sz="0" w:space="0" w:color="auto"/>
                    <w:left w:val="none" w:sz="0" w:space="0" w:color="auto"/>
                    <w:bottom w:val="none" w:sz="0" w:space="0" w:color="auto"/>
                    <w:right w:val="none" w:sz="0" w:space="0" w:color="auto"/>
                  </w:divBdr>
                </w:div>
              </w:divsChild>
            </w:div>
            <w:div w:id="100034430">
              <w:marLeft w:val="0"/>
              <w:marRight w:val="0"/>
              <w:marTop w:val="0"/>
              <w:marBottom w:val="0"/>
              <w:divBdr>
                <w:top w:val="none" w:sz="0" w:space="0" w:color="auto"/>
                <w:left w:val="none" w:sz="0" w:space="0" w:color="auto"/>
                <w:bottom w:val="none" w:sz="0" w:space="0" w:color="auto"/>
                <w:right w:val="none" w:sz="0" w:space="0" w:color="auto"/>
              </w:divBdr>
              <w:divsChild>
                <w:div w:id="1487284894">
                  <w:marLeft w:val="255"/>
                  <w:marRight w:val="0"/>
                  <w:marTop w:val="0"/>
                  <w:marBottom w:val="0"/>
                  <w:divBdr>
                    <w:top w:val="none" w:sz="0" w:space="0" w:color="auto"/>
                    <w:left w:val="none" w:sz="0" w:space="0" w:color="auto"/>
                    <w:bottom w:val="none" w:sz="0" w:space="0" w:color="auto"/>
                    <w:right w:val="none" w:sz="0" w:space="0" w:color="auto"/>
                  </w:divBdr>
                </w:div>
              </w:divsChild>
            </w:div>
            <w:div w:id="738476747">
              <w:marLeft w:val="0"/>
              <w:marRight w:val="0"/>
              <w:marTop w:val="0"/>
              <w:marBottom w:val="0"/>
              <w:divBdr>
                <w:top w:val="none" w:sz="0" w:space="0" w:color="auto"/>
                <w:left w:val="none" w:sz="0" w:space="0" w:color="auto"/>
                <w:bottom w:val="none" w:sz="0" w:space="0" w:color="auto"/>
                <w:right w:val="none" w:sz="0" w:space="0" w:color="auto"/>
              </w:divBdr>
              <w:divsChild>
                <w:div w:id="1856649845">
                  <w:marLeft w:val="255"/>
                  <w:marRight w:val="0"/>
                  <w:marTop w:val="0"/>
                  <w:marBottom w:val="0"/>
                  <w:divBdr>
                    <w:top w:val="none" w:sz="0" w:space="0" w:color="auto"/>
                    <w:left w:val="none" w:sz="0" w:space="0" w:color="auto"/>
                    <w:bottom w:val="none" w:sz="0" w:space="0" w:color="auto"/>
                    <w:right w:val="none" w:sz="0" w:space="0" w:color="auto"/>
                  </w:divBdr>
                </w:div>
              </w:divsChild>
            </w:div>
            <w:div w:id="79252042">
              <w:marLeft w:val="0"/>
              <w:marRight w:val="0"/>
              <w:marTop w:val="0"/>
              <w:marBottom w:val="0"/>
              <w:divBdr>
                <w:top w:val="none" w:sz="0" w:space="0" w:color="auto"/>
                <w:left w:val="none" w:sz="0" w:space="0" w:color="auto"/>
                <w:bottom w:val="none" w:sz="0" w:space="0" w:color="auto"/>
                <w:right w:val="none" w:sz="0" w:space="0" w:color="auto"/>
              </w:divBdr>
              <w:divsChild>
                <w:div w:id="1948810919">
                  <w:marLeft w:val="255"/>
                  <w:marRight w:val="0"/>
                  <w:marTop w:val="0"/>
                  <w:marBottom w:val="0"/>
                  <w:divBdr>
                    <w:top w:val="none" w:sz="0" w:space="0" w:color="auto"/>
                    <w:left w:val="none" w:sz="0" w:space="0" w:color="auto"/>
                    <w:bottom w:val="none" w:sz="0" w:space="0" w:color="auto"/>
                    <w:right w:val="none" w:sz="0" w:space="0" w:color="auto"/>
                  </w:divBdr>
                </w:div>
              </w:divsChild>
            </w:div>
            <w:div w:id="1635058680">
              <w:marLeft w:val="0"/>
              <w:marRight w:val="0"/>
              <w:marTop w:val="0"/>
              <w:marBottom w:val="0"/>
              <w:divBdr>
                <w:top w:val="none" w:sz="0" w:space="0" w:color="auto"/>
                <w:left w:val="none" w:sz="0" w:space="0" w:color="auto"/>
                <w:bottom w:val="none" w:sz="0" w:space="0" w:color="auto"/>
                <w:right w:val="none" w:sz="0" w:space="0" w:color="auto"/>
              </w:divBdr>
              <w:divsChild>
                <w:div w:id="660356690">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 w:id="1806389931">
          <w:marLeft w:val="0"/>
          <w:marRight w:val="0"/>
          <w:marTop w:val="0"/>
          <w:marBottom w:val="0"/>
          <w:divBdr>
            <w:top w:val="none" w:sz="0" w:space="0" w:color="auto"/>
            <w:left w:val="none" w:sz="0" w:space="0" w:color="auto"/>
            <w:bottom w:val="none" w:sz="0" w:space="0" w:color="auto"/>
            <w:right w:val="none" w:sz="0" w:space="0" w:color="auto"/>
          </w:divBdr>
          <w:divsChild>
            <w:div w:id="148589865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332799862">
      <w:bodyDiv w:val="1"/>
      <w:marLeft w:val="0"/>
      <w:marRight w:val="0"/>
      <w:marTop w:val="0"/>
      <w:marBottom w:val="0"/>
      <w:divBdr>
        <w:top w:val="none" w:sz="0" w:space="0" w:color="auto"/>
        <w:left w:val="none" w:sz="0" w:space="0" w:color="auto"/>
        <w:bottom w:val="none" w:sz="0" w:space="0" w:color="auto"/>
        <w:right w:val="none" w:sz="0" w:space="0" w:color="auto"/>
      </w:divBdr>
    </w:div>
    <w:div w:id="337000772">
      <w:bodyDiv w:val="1"/>
      <w:marLeft w:val="0"/>
      <w:marRight w:val="0"/>
      <w:marTop w:val="0"/>
      <w:marBottom w:val="0"/>
      <w:divBdr>
        <w:top w:val="none" w:sz="0" w:space="0" w:color="auto"/>
        <w:left w:val="none" w:sz="0" w:space="0" w:color="auto"/>
        <w:bottom w:val="none" w:sz="0" w:space="0" w:color="auto"/>
        <w:right w:val="none" w:sz="0" w:space="0" w:color="auto"/>
      </w:divBdr>
    </w:div>
    <w:div w:id="368068892">
      <w:bodyDiv w:val="1"/>
      <w:marLeft w:val="0"/>
      <w:marRight w:val="0"/>
      <w:marTop w:val="0"/>
      <w:marBottom w:val="0"/>
      <w:divBdr>
        <w:top w:val="none" w:sz="0" w:space="0" w:color="auto"/>
        <w:left w:val="none" w:sz="0" w:space="0" w:color="auto"/>
        <w:bottom w:val="none" w:sz="0" w:space="0" w:color="auto"/>
        <w:right w:val="none" w:sz="0" w:space="0" w:color="auto"/>
      </w:divBdr>
    </w:div>
    <w:div w:id="377243123">
      <w:bodyDiv w:val="1"/>
      <w:marLeft w:val="0"/>
      <w:marRight w:val="0"/>
      <w:marTop w:val="0"/>
      <w:marBottom w:val="0"/>
      <w:divBdr>
        <w:top w:val="none" w:sz="0" w:space="0" w:color="auto"/>
        <w:left w:val="none" w:sz="0" w:space="0" w:color="auto"/>
        <w:bottom w:val="none" w:sz="0" w:space="0" w:color="auto"/>
        <w:right w:val="none" w:sz="0" w:space="0" w:color="auto"/>
      </w:divBdr>
    </w:div>
    <w:div w:id="389424246">
      <w:bodyDiv w:val="1"/>
      <w:marLeft w:val="0"/>
      <w:marRight w:val="0"/>
      <w:marTop w:val="0"/>
      <w:marBottom w:val="0"/>
      <w:divBdr>
        <w:top w:val="none" w:sz="0" w:space="0" w:color="auto"/>
        <w:left w:val="none" w:sz="0" w:space="0" w:color="auto"/>
        <w:bottom w:val="none" w:sz="0" w:space="0" w:color="auto"/>
        <w:right w:val="none" w:sz="0" w:space="0" w:color="auto"/>
      </w:divBdr>
    </w:div>
    <w:div w:id="403064457">
      <w:bodyDiv w:val="1"/>
      <w:marLeft w:val="0"/>
      <w:marRight w:val="0"/>
      <w:marTop w:val="0"/>
      <w:marBottom w:val="0"/>
      <w:divBdr>
        <w:top w:val="none" w:sz="0" w:space="0" w:color="auto"/>
        <w:left w:val="none" w:sz="0" w:space="0" w:color="auto"/>
        <w:bottom w:val="none" w:sz="0" w:space="0" w:color="auto"/>
        <w:right w:val="none" w:sz="0" w:space="0" w:color="auto"/>
      </w:divBdr>
      <w:divsChild>
        <w:div w:id="1052120379">
          <w:marLeft w:val="0"/>
          <w:marRight w:val="0"/>
          <w:marTop w:val="150"/>
          <w:marBottom w:val="168"/>
          <w:divBdr>
            <w:top w:val="none" w:sz="0" w:space="0" w:color="auto"/>
            <w:left w:val="none" w:sz="0" w:space="0" w:color="auto"/>
            <w:bottom w:val="none" w:sz="0" w:space="0" w:color="auto"/>
            <w:right w:val="none" w:sz="0" w:space="0" w:color="auto"/>
          </w:divBdr>
        </w:div>
      </w:divsChild>
    </w:div>
    <w:div w:id="405227715">
      <w:bodyDiv w:val="1"/>
      <w:marLeft w:val="0"/>
      <w:marRight w:val="0"/>
      <w:marTop w:val="0"/>
      <w:marBottom w:val="0"/>
      <w:divBdr>
        <w:top w:val="none" w:sz="0" w:space="0" w:color="auto"/>
        <w:left w:val="none" w:sz="0" w:space="0" w:color="auto"/>
        <w:bottom w:val="none" w:sz="0" w:space="0" w:color="auto"/>
        <w:right w:val="none" w:sz="0" w:space="0" w:color="auto"/>
      </w:divBdr>
    </w:div>
    <w:div w:id="425730101">
      <w:bodyDiv w:val="1"/>
      <w:marLeft w:val="0"/>
      <w:marRight w:val="0"/>
      <w:marTop w:val="0"/>
      <w:marBottom w:val="0"/>
      <w:divBdr>
        <w:top w:val="none" w:sz="0" w:space="0" w:color="auto"/>
        <w:left w:val="none" w:sz="0" w:space="0" w:color="auto"/>
        <w:bottom w:val="none" w:sz="0" w:space="0" w:color="auto"/>
        <w:right w:val="none" w:sz="0" w:space="0" w:color="auto"/>
      </w:divBdr>
    </w:div>
    <w:div w:id="442656379">
      <w:bodyDiv w:val="1"/>
      <w:marLeft w:val="0"/>
      <w:marRight w:val="0"/>
      <w:marTop w:val="0"/>
      <w:marBottom w:val="0"/>
      <w:divBdr>
        <w:top w:val="none" w:sz="0" w:space="0" w:color="auto"/>
        <w:left w:val="none" w:sz="0" w:space="0" w:color="auto"/>
        <w:bottom w:val="none" w:sz="0" w:space="0" w:color="auto"/>
        <w:right w:val="none" w:sz="0" w:space="0" w:color="auto"/>
      </w:divBdr>
    </w:div>
    <w:div w:id="454566938">
      <w:bodyDiv w:val="1"/>
      <w:marLeft w:val="0"/>
      <w:marRight w:val="0"/>
      <w:marTop w:val="0"/>
      <w:marBottom w:val="0"/>
      <w:divBdr>
        <w:top w:val="none" w:sz="0" w:space="0" w:color="auto"/>
        <w:left w:val="none" w:sz="0" w:space="0" w:color="auto"/>
        <w:bottom w:val="none" w:sz="0" w:space="0" w:color="auto"/>
        <w:right w:val="none" w:sz="0" w:space="0" w:color="auto"/>
      </w:divBdr>
    </w:div>
    <w:div w:id="520705859">
      <w:bodyDiv w:val="1"/>
      <w:marLeft w:val="0"/>
      <w:marRight w:val="0"/>
      <w:marTop w:val="0"/>
      <w:marBottom w:val="0"/>
      <w:divBdr>
        <w:top w:val="none" w:sz="0" w:space="0" w:color="auto"/>
        <w:left w:val="none" w:sz="0" w:space="0" w:color="auto"/>
        <w:bottom w:val="none" w:sz="0" w:space="0" w:color="auto"/>
        <w:right w:val="none" w:sz="0" w:space="0" w:color="auto"/>
      </w:divBdr>
    </w:div>
    <w:div w:id="538055306">
      <w:bodyDiv w:val="1"/>
      <w:marLeft w:val="0"/>
      <w:marRight w:val="0"/>
      <w:marTop w:val="0"/>
      <w:marBottom w:val="0"/>
      <w:divBdr>
        <w:top w:val="none" w:sz="0" w:space="0" w:color="auto"/>
        <w:left w:val="none" w:sz="0" w:space="0" w:color="auto"/>
        <w:bottom w:val="none" w:sz="0" w:space="0" w:color="auto"/>
        <w:right w:val="none" w:sz="0" w:space="0" w:color="auto"/>
      </w:divBdr>
    </w:div>
    <w:div w:id="547566623">
      <w:bodyDiv w:val="1"/>
      <w:marLeft w:val="0"/>
      <w:marRight w:val="0"/>
      <w:marTop w:val="0"/>
      <w:marBottom w:val="0"/>
      <w:divBdr>
        <w:top w:val="none" w:sz="0" w:space="0" w:color="auto"/>
        <w:left w:val="none" w:sz="0" w:space="0" w:color="auto"/>
        <w:bottom w:val="none" w:sz="0" w:space="0" w:color="auto"/>
        <w:right w:val="none" w:sz="0" w:space="0" w:color="auto"/>
      </w:divBdr>
    </w:div>
    <w:div w:id="552472833">
      <w:bodyDiv w:val="1"/>
      <w:marLeft w:val="0"/>
      <w:marRight w:val="0"/>
      <w:marTop w:val="0"/>
      <w:marBottom w:val="0"/>
      <w:divBdr>
        <w:top w:val="none" w:sz="0" w:space="0" w:color="auto"/>
        <w:left w:val="none" w:sz="0" w:space="0" w:color="auto"/>
        <w:bottom w:val="none" w:sz="0" w:space="0" w:color="auto"/>
        <w:right w:val="none" w:sz="0" w:space="0" w:color="auto"/>
      </w:divBdr>
      <w:divsChild>
        <w:div w:id="1475489988">
          <w:marLeft w:val="0"/>
          <w:marRight w:val="0"/>
          <w:marTop w:val="0"/>
          <w:marBottom w:val="0"/>
          <w:divBdr>
            <w:top w:val="none" w:sz="0" w:space="0" w:color="auto"/>
            <w:left w:val="none" w:sz="0" w:space="0" w:color="auto"/>
            <w:bottom w:val="none" w:sz="0" w:space="0" w:color="auto"/>
            <w:right w:val="none" w:sz="0" w:space="0" w:color="auto"/>
          </w:divBdr>
          <w:divsChild>
            <w:div w:id="1448937104">
              <w:marLeft w:val="0"/>
              <w:marRight w:val="0"/>
              <w:marTop w:val="0"/>
              <w:marBottom w:val="0"/>
              <w:divBdr>
                <w:top w:val="none" w:sz="0" w:space="0" w:color="auto"/>
                <w:left w:val="none" w:sz="0" w:space="0" w:color="auto"/>
                <w:bottom w:val="none" w:sz="0" w:space="0" w:color="auto"/>
                <w:right w:val="none" w:sz="0" w:space="0" w:color="auto"/>
              </w:divBdr>
              <w:divsChild>
                <w:div w:id="549539557">
                  <w:marLeft w:val="0"/>
                  <w:marRight w:val="0"/>
                  <w:marTop w:val="0"/>
                  <w:marBottom w:val="0"/>
                  <w:divBdr>
                    <w:top w:val="none" w:sz="0" w:space="0" w:color="auto"/>
                    <w:left w:val="none" w:sz="0" w:space="0" w:color="auto"/>
                    <w:bottom w:val="none" w:sz="0" w:space="0" w:color="auto"/>
                    <w:right w:val="none" w:sz="0" w:space="0" w:color="auto"/>
                  </w:divBdr>
                  <w:divsChild>
                    <w:div w:id="611207170">
                      <w:marLeft w:val="0"/>
                      <w:marRight w:val="0"/>
                      <w:marTop w:val="0"/>
                      <w:marBottom w:val="0"/>
                      <w:divBdr>
                        <w:top w:val="none" w:sz="0" w:space="0" w:color="auto"/>
                        <w:left w:val="none" w:sz="0" w:space="0" w:color="auto"/>
                        <w:bottom w:val="none" w:sz="0" w:space="0" w:color="auto"/>
                        <w:right w:val="none" w:sz="0" w:space="0" w:color="auto"/>
                      </w:divBdr>
                      <w:divsChild>
                        <w:div w:id="1715349301">
                          <w:marLeft w:val="0"/>
                          <w:marRight w:val="0"/>
                          <w:marTop w:val="0"/>
                          <w:marBottom w:val="0"/>
                          <w:divBdr>
                            <w:top w:val="none" w:sz="0" w:space="0" w:color="auto"/>
                            <w:left w:val="none" w:sz="0" w:space="0" w:color="auto"/>
                            <w:bottom w:val="none" w:sz="0" w:space="0" w:color="auto"/>
                            <w:right w:val="none" w:sz="0" w:space="0" w:color="auto"/>
                          </w:divBdr>
                          <w:divsChild>
                            <w:div w:id="1239514660">
                              <w:marLeft w:val="0"/>
                              <w:marRight w:val="0"/>
                              <w:marTop w:val="0"/>
                              <w:marBottom w:val="0"/>
                              <w:divBdr>
                                <w:top w:val="none" w:sz="0" w:space="0" w:color="auto"/>
                                <w:left w:val="none" w:sz="0" w:space="0" w:color="auto"/>
                                <w:bottom w:val="none" w:sz="0" w:space="0" w:color="auto"/>
                                <w:right w:val="none" w:sz="0" w:space="0" w:color="auto"/>
                              </w:divBdr>
                              <w:divsChild>
                                <w:div w:id="170293118">
                                  <w:marLeft w:val="0"/>
                                  <w:marRight w:val="0"/>
                                  <w:marTop w:val="0"/>
                                  <w:marBottom w:val="0"/>
                                  <w:divBdr>
                                    <w:top w:val="none" w:sz="0" w:space="0" w:color="auto"/>
                                    <w:left w:val="none" w:sz="0" w:space="0" w:color="auto"/>
                                    <w:bottom w:val="none" w:sz="0" w:space="0" w:color="auto"/>
                                    <w:right w:val="none" w:sz="0" w:space="0" w:color="auto"/>
                                  </w:divBdr>
                                  <w:divsChild>
                                    <w:div w:id="819463102">
                                      <w:marLeft w:val="0"/>
                                      <w:marRight w:val="0"/>
                                      <w:marTop w:val="0"/>
                                      <w:marBottom w:val="0"/>
                                      <w:divBdr>
                                        <w:top w:val="none" w:sz="0" w:space="0" w:color="auto"/>
                                        <w:left w:val="none" w:sz="0" w:space="0" w:color="auto"/>
                                        <w:bottom w:val="none" w:sz="0" w:space="0" w:color="auto"/>
                                        <w:right w:val="none" w:sz="0" w:space="0" w:color="auto"/>
                                      </w:divBdr>
                                    </w:div>
                                    <w:div w:id="685715780">
                                      <w:marLeft w:val="0"/>
                                      <w:marRight w:val="0"/>
                                      <w:marTop w:val="0"/>
                                      <w:marBottom w:val="0"/>
                                      <w:divBdr>
                                        <w:top w:val="none" w:sz="0" w:space="0" w:color="auto"/>
                                        <w:left w:val="none" w:sz="0" w:space="0" w:color="auto"/>
                                        <w:bottom w:val="none" w:sz="0" w:space="0" w:color="auto"/>
                                        <w:right w:val="none" w:sz="0" w:space="0" w:color="auto"/>
                                      </w:divBdr>
                                      <w:divsChild>
                                        <w:div w:id="2108033559">
                                          <w:marLeft w:val="0"/>
                                          <w:marRight w:val="165"/>
                                          <w:marTop w:val="150"/>
                                          <w:marBottom w:val="0"/>
                                          <w:divBdr>
                                            <w:top w:val="none" w:sz="0" w:space="0" w:color="auto"/>
                                            <w:left w:val="none" w:sz="0" w:space="0" w:color="auto"/>
                                            <w:bottom w:val="none" w:sz="0" w:space="0" w:color="auto"/>
                                            <w:right w:val="none" w:sz="0" w:space="0" w:color="auto"/>
                                          </w:divBdr>
                                          <w:divsChild>
                                            <w:div w:id="1597638573">
                                              <w:marLeft w:val="0"/>
                                              <w:marRight w:val="0"/>
                                              <w:marTop w:val="0"/>
                                              <w:marBottom w:val="0"/>
                                              <w:divBdr>
                                                <w:top w:val="none" w:sz="0" w:space="0" w:color="auto"/>
                                                <w:left w:val="none" w:sz="0" w:space="0" w:color="auto"/>
                                                <w:bottom w:val="none" w:sz="0" w:space="0" w:color="auto"/>
                                                <w:right w:val="none" w:sz="0" w:space="0" w:color="auto"/>
                                              </w:divBdr>
                                              <w:divsChild>
                                                <w:div w:id="60007210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7983550">
      <w:bodyDiv w:val="1"/>
      <w:marLeft w:val="0"/>
      <w:marRight w:val="0"/>
      <w:marTop w:val="0"/>
      <w:marBottom w:val="0"/>
      <w:divBdr>
        <w:top w:val="none" w:sz="0" w:space="0" w:color="auto"/>
        <w:left w:val="none" w:sz="0" w:space="0" w:color="auto"/>
        <w:bottom w:val="none" w:sz="0" w:space="0" w:color="auto"/>
        <w:right w:val="none" w:sz="0" w:space="0" w:color="auto"/>
      </w:divBdr>
    </w:div>
    <w:div w:id="560024394">
      <w:bodyDiv w:val="1"/>
      <w:marLeft w:val="0"/>
      <w:marRight w:val="0"/>
      <w:marTop w:val="0"/>
      <w:marBottom w:val="0"/>
      <w:divBdr>
        <w:top w:val="none" w:sz="0" w:space="0" w:color="auto"/>
        <w:left w:val="none" w:sz="0" w:space="0" w:color="auto"/>
        <w:bottom w:val="none" w:sz="0" w:space="0" w:color="auto"/>
        <w:right w:val="none" w:sz="0" w:space="0" w:color="auto"/>
      </w:divBdr>
    </w:div>
    <w:div w:id="583103910">
      <w:bodyDiv w:val="1"/>
      <w:marLeft w:val="0"/>
      <w:marRight w:val="0"/>
      <w:marTop w:val="0"/>
      <w:marBottom w:val="0"/>
      <w:divBdr>
        <w:top w:val="none" w:sz="0" w:space="0" w:color="auto"/>
        <w:left w:val="none" w:sz="0" w:space="0" w:color="auto"/>
        <w:bottom w:val="none" w:sz="0" w:space="0" w:color="auto"/>
        <w:right w:val="none" w:sz="0" w:space="0" w:color="auto"/>
      </w:divBdr>
    </w:div>
    <w:div w:id="585652743">
      <w:bodyDiv w:val="1"/>
      <w:marLeft w:val="0"/>
      <w:marRight w:val="0"/>
      <w:marTop w:val="0"/>
      <w:marBottom w:val="0"/>
      <w:divBdr>
        <w:top w:val="none" w:sz="0" w:space="0" w:color="auto"/>
        <w:left w:val="none" w:sz="0" w:space="0" w:color="auto"/>
        <w:bottom w:val="none" w:sz="0" w:space="0" w:color="auto"/>
        <w:right w:val="none" w:sz="0" w:space="0" w:color="auto"/>
      </w:divBdr>
    </w:div>
    <w:div w:id="596669089">
      <w:bodyDiv w:val="1"/>
      <w:marLeft w:val="0"/>
      <w:marRight w:val="0"/>
      <w:marTop w:val="0"/>
      <w:marBottom w:val="0"/>
      <w:divBdr>
        <w:top w:val="none" w:sz="0" w:space="0" w:color="auto"/>
        <w:left w:val="none" w:sz="0" w:space="0" w:color="auto"/>
        <w:bottom w:val="none" w:sz="0" w:space="0" w:color="auto"/>
        <w:right w:val="none" w:sz="0" w:space="0" w:color="auto"/>
      </w:divBdr>
    </w:div>
    <w:div w:id="654186614">
      <w:bodyDiv w:val="1"/>
      <w:marLeft w:val="0"/>
      <w:marRight w:val="0"/>
      <w:marTop w:val="0"/>
      <w:marBottom w:val="0"/>
      <w:divBdr>
        <w:top w:val="none" w:sz="0" w:space="0" w:color="auto"/>
        <w:left w:val="none" w:sz="0" w:space="0" w:color="auto"/>
        <w:bottom w:val="none" w:sz="0" w:space="0" w:color="auto"/>
        <w:right w:val="none" w:sz="0" w:space="0" w:color="auto"/>
      </w:divBdr>
    </w:div>
    <w:div w:id="680084389">
      <w:bodyDiv w:val="1"/>
      <w:marLeft w:val="0"/>
      <w:marRight w:val="0"/>
      <w:marTop w:val="0"/>
      <w:marBottom w:val="0"/>
      <w:divBdr>
        <w:top w:val="none" w:sz="0" w:space="0" w:color="auto"/>
        <w:left w:val="none" w:sz="0" w:space="0" w:color="auto"/>
        <w:bottom w:val="none" w:sz="0" w:space="0" w:color="auto"/>
        <w:right w:val="none" w:sz="0" w:space="0" w:color="auto"/>
      </w:divBdr>
    </w:div>
    <w:div w:id="688527999">
      <w:bodyDiv w:val="1"/>
      <w:marLeft w:val="0"/>
      <w:marRight w:val="0"/>
      <w:marTop w:val="0"/>
      <w:marBottom w:val="0"/>
      <w:divBdr>
        <w:top w:val="none" w:sz="0" w:space="0" w:color="auto"/>
        <w:left w:val="none" w:sz="0" w:space="0" w:color="auto"/>
        <w:bottom w:val="none" w:sz="0" w:space="0" w:color="auto"/>
        <w:right w:val="none" w:sz="0" w:space="0" w:color="auto"/>
      </w:divBdr>
    </w:div>
    <w:div w:id="711997037">
      <w:bodyDiv w:val="1"/>
      <w:marLeft w:val="0"/>
      <w:marRight w:val="0"/>
      <w:marTop w:val="0"/>
      <w:marBottom w:val="0"/>
      <w:divBdr>
        <w:top w:val="none" w:sz="0" w:space="0" w:color="auto"/>
        <w:left w:val="none" w:sz="0" w:space="0" w:color="auto"/>
        <w:bottom w:val="none" w:sz="0" w:space="0" w:color="auto"/>
        <w:right w:val="none" w:sz="0" w:space="0" w:color="auto"/>
      </w:divBdr>
    </w:div>
    <w:div w:id="754666478">
      <w:bodyDiv w:val="1"/>
      <w:marLeft w:val="0"/>
      <w:marRight w:val="0"/>
      <w:marTop w:val="0"/>
      <w:marBottom w:val="0"/>
      <w:divBdr>
        <w:top w:val="none" w:sz="0" w:space="0" w:color="auto"/>
        <w:left w:val="none" w:sz="0" w:space="0" w:color="auto"/>
        <w:bottom w:val="none" w:sz="0" w:space="0" w:color="auto"/>
        <w:right w:val="none" w:sz="0" w:space="0" w:color="auto"/>
      </w:divBdr>
      <w:divsChild>
        <w:div w:id="104542542">
          <w:marLeft w:val="0"/>
          <w:marRight w:val="0"/>
          <w:marTop w:val="150"/>
          <w:marBottom w:val="168"/>
          <w:divBdr>
            <w:top w:val="none" w:sz="0" w:space="0" w:color="auto"/>
            <w:left w:val="none" w:sz="0" w:space="0" w:color="auto"/>
            <w:bottom w:val="none" w:sz="0" w:space="0" w:color="auto"/>
            <w:right w:val="none" w:sz="0" w:space="0" w:color="auto"/>
          </w:divBdr>
        </w:div>
        <w:div w:id="274097128">
          <w:marLeft w:val="0"/>
          <w:marRight w:val="0"/>
          <w:marTop w:val="0"/>
          <w:marBottom w:val="0"/>
          <w:divBdr>
            <w:top w:val="none" w:sz="0" w:space="0" w:color="auto"/>
            <w:left w:val="none" w:sz="0" w:space="0" w:color="auto"/>
            <w:bottom w:val="none" w:sz="0" w:space="0" w:color="auto"/>
            <w:right w:val="none" w:sz="0" w:space="0" w:color="auto"/>
          </w:divBdr>
          <w:divsChild>
            <w:div w:id="478379368">
              <w:marLeft w:val="0"/>
              <w:marRight w:val="0"/>
              <w:marTop w:val="105"/>
              <w:marBottom w:val="0"/>
              <w:divBdr>
                <w:top w:val="none" w:sz="0" w:space="0" w:color="auto"/>
                <w:left w:val="none" w:sz="0" w:space="0" w:color="auto"/>
                <w:bottom w:val="none" w:sz="0" w:space="0" w:color="auto"/>
                <w:right w:val="none" w:sz="0" w:space="0" w:color="auto"/>
              </w:divBdr>
            </w:div>
            <w:div w:id="1242907863">
              <w:marLeft w:val="0"/>
              <w:marRight w:val="0"/>
              <w:marTop w:val="0"/>
              <w:marBottom w:val="0"/>
              <w:divBdr>
                <w:top w:val="none" w:sz="0" w:space="0" w:color="auto"/>
                <w:left w:val="none" w:sz="0" w:space="0" w:color="auto"/>
                <w:bottom w:val="none" w:sz="0" w:space="0" w:color="auto"/>
                <w:right w:val="none" w:sz="0" w:space="0" w:color="auto"/>
              </w:divBdr>
              <w:divsChild>
                <w:div w:id="1014185039">
                  <w:marLeft w:val="255"/>
                  <w:marRight w:val="0"/>
                  <w:marTop w:val="0"/>
                  <w:marBottom w:val="0"/>
                  <w:divBdr>
                    <w:top w:val="none" w:sz="0" w:space="0" w:color="auto"/>
                    <w:left w:val="none" w:sz="0" w:space="0" w:color="auto"/>
                    <w:bottom w:val="none" w:sz="0" w:space="0" w:color="auto"/>
                    <w:right w:val="none" w:sz="0" w:space="0" w:color="auto"/>
                  </w:divBdr>
                </w:div>
              </w:divsChild>
            </w:div>
            <w:div w:id="879392529">
              <w:marLeft w:val="0"/>
              <w:marRight w:val="0"/>
              <w:marTop w:val="0"/>
              <w:marBottom w:val="0"/>
              <w:divBdr>
                <w:top w:val="none" w:sz="0" w:space="0" w:color="auto"/>
                <w:left w:val="none" w:sz="0" w:space="0" w:color="auto"/>
                <w:bottom w:val="none" w:sz="0" w:space="0" w:color="auto"/>
                <w:right w:val="none" w:sz="0" w:space="0" w:color="auto"/>
              </w:divBdr>
              <w:divsChild>
                <w:div w:id="270477439">
                  <w:marLeft w:val="255"/>
                  <w:marRight w:val="0"/>
                  <w:marTop w:val="0"/>
                  <w:marBottom w:val="0"/>
                  <w:divBdr>
                    <w:top w:val="none" w:sz="0" w:space="0" w:color="auto"/>
                    <w:left w:val="none" w:sz="0" w:space="0" w:color="auto"/>
                    <w:bottom w:val="none" w:sz="0" w:space="0" w:color="auto"/>
                    <w:right w:val="none" w:sz="0" w:space="0" w:color="auto"/>
                  </w:divBdr>
                </w:div>
              </w:divsChild>
            </w:div>
            <w:div w:id="1534924247">
              <w:marLeft w:val="0"/>
              <w:marRight w:val="0"/>
              <w:marTop w:val="0"/>
              <w:marBottom w:val="0"/>
              <w:divBdr>
                <w:top w:val="none" w:sz="0" w:space="0" w:color="auto"/>
                <w:left w:val="none" w:sz="0" w:space="0" w:color="auto"/>
                <w:bottom w:val="none" w:sz="0" w:space="0" w:color="auto"/>
                <w:right w:val="none" w:sz="0" w:space="0" w:color="auto"/>
              </w:divBdr>
              <w:divsChild>
                <w:div w:id="1949923499">
                  <w:marLeft w:val="255"/>
                  <w:marRight w:val="0"/>
                  <w:marTop w:val="0"/>
                  <w:marBottom w:val="0"/>
                  <w:divBdr>
                    <w:top w:val="none" w:sz="0" w:space="0" w:color="auto"/>
                    <w:left w:val="none" w:sz="0" w:space="0" w:color="auto"/>
                    <w:bottom w:val="none" w:sz="0" w:space="0" w:color="auto"/>
                    <w:right w:val="none" w:sz="0" w:space="0" w:color="auto"/>
                  </w:divBdr>
                </w:div>
              </w:divsChild>
            </w:div>
            <w:div w:id="1181427868">
              <w:marLeft w:val="0"/>
              <w:marRight w:val="0"/>
              <w:marTop w:val="0"/>
              <w:marBottom w:val="0"/>
              <w:divBdr>
                <w:top w:val="none" w:sz="0" w:space="0" w:color="auto"/>
                <w:left w:val="none" w:sz="0" w:space="0" w:color="auto"/>
                <w:bottom w:val="none" w:sz="0" w:space="0" w:color="auto"/>
                <w:right w:val="none" w:sz="0" w:space="0" w:color="auto"/>
              </w:divBdr>
              <w:divsChild>
                <w:div w:id="1815247949">
                  <w:marLeft w:val="255"/>
                  <w:marRight w:val="0"/>
                  <w:marTop w:val="0"/>
                  <w:marBottom w:val="0"/>
                  <w:divBdr>
                    <w:top w:val="none" w:sz="0" w:space="0" w:color="auto"/>
                    <w:left w:val="none" w:sz="0" w:space="0" w:color="auto"/>
                    <w:bottom w:val="none" w:sz="0" w:space="0" w:color="auto"/>
                    <w:right w:val="none" w:sz="0" w:space="0" w:color="auto"/>
                  </w:divBdr>
                </w:div>
              </w:divsChild>
            </w:div>
            <w:div w:id="1158301067">
              <w:marLeft w:val="0"/>
              <w:marRight w:val="0"/>
              <w:marTop w:val="0"/>
              <w:marBottom w:val="0"/>
              <w:divBdr>
                <w:top w:val="none" w:sz="0" w:space="0" w:color="auto"/>
                <w:left w:val="none" w:sz="0" w:space="0" w:color="auto"/>
                <w:bottom w:val="none" w:sz="0" w:space="0" w:color="auto"/>
                <w:right w:val="none" w:sz="0" w:space="0" w:color="auto"/>
              </w:divBdr>
              <w:divsChild>
                <w:div w:id="105001849">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 w:id="112553612">
          <w:marLeft w:val="0"/>
          <w:marRight w:val="0"/>
          <w:marTop w:val="0"/>
          <w:marBottom w:val="0"/>
          <w:divBdr>
            <w:top w:val="none" w:sz="0" w:space="0" w:color="auto"/>
            <w:left w:val="none" w:sz="0" w:space="0" w:color="auto"/>
            <w:bottom w:val="none" w:sz="0" w:space="0" w:color="auto"/>
            <w:right w:val="none" w:sz="0" w:space="0" w:color="auto"/>
          </w:divBdr>
          <w:divsChild>
            <w:div w:id="1797407272">
              <w:marLeft w:val="0"/>
              <w:marRight w:val="0"/>
              <w:marTop w:val="105"/>
              <w:marBottom w:val="0"/>
              <w:divBdr>
                <w:top w:val="none" w:sz="0" w:space="0" w:color="auto"/>
                <w:left w:val="none" w:sz="0" w:space="0" w:color="auto"/>
                <w:bottom w:val="none" w:sz="0" w:space="0" w:color="auto"/>
                <w:right w:val="none" w:sz="0" w:space="0" w:color="auto"/>
              </w:divBdr>
            </w:div>
          </w:divsChild>
        </w:div>
        <w:div w:id="1483497545">
          <w:marLeft w:val="0"/>
          <w:marRight w:val="0"/>
          <w:marTop w:val="0"/>
          <w:marBottom w:val="0"/>
          <w:divBdr>
            <w:top w:val="none" w:sz="0" w:space="0" w:color="auto"/>
            <w:left w:val="none" w:sz="0" w:space="0" w:color="auto"/>
            <w:bottom w:val="none" w:sz="0" w:space="0" w:color="auto"/>
            <w:right w:val="none" w:sz="0" w:space="0" w:color="auto"/>
          </w:divBdr>
          <w:divsChild>
            <w:div w:id="190192641">
              <w:marLeft w:val="0"/>
              <w:marRight w:val="0"/>
              <w:marTop w:val="105"/>
              <w:marBottom w:val="0"/>
              <w:divBdr>
                <w:top w:val="none" w:sz="0" w:space="0" w:color="auto"/>
                <w:left w:val="none" w:sz="0" w:space="0" w:color="auto"/>
                <w:bottom w:val="none" w:sz="0" w:space="0" w:color="auto"/>
                <w:right w:val="none" w:sz="0" w:space="0" w:color="auto"/>
              </w:divBdr>
            </w:div>
          </w:divsChild>
        </w:div>
        <w:div w:id="1417899560">
          <w:marLeft w:val="0"/>
          <w:marRight w:val="0"/>
          <w:marTop w:val="0"/>
          <w:marBottom w:val="0"/>
          <w:divBdr>
            <w:top w:val="none" w:sz="0" w:space="0" w:color="auto"/>
            <w:left w:val="none" w:sz="0" w:space="0" w:color="auto"/>
            <w:bottom w:val="none" w:sz="0" w:space="0" w:color="auto"/>
            <w:right w:val="none" w:sz="0" w:space="0" w:color="auto"/>
          </w:divBdr>
          <w:divsChild>
            <w:div w:id="205372250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760836306">
      <w:bodyDiv w:val="1"/>
      <w:marLeft w:val="0"/>
      <w:marRight w:val="0"/>
      <w:marTop w:val="0"/>
      <w:marBottom w:val="0"/>
      <w:divBdr>
        <w:top w:val="none" w:sz="0" w:space="0" w:color="auto"/>
        <w:left w:val="none" w:sz="0" w:space="0" w:color="auto"/>
        <w:bottom w:val="none" w:sz="0" w:space="0" w:color="auto"/>
        <w:right w:val="none" w:sz="0" w:space="0" w:color="auto"/>
      </w:divBdr>
    </w:div>
    <w:div w:id="768896124">
      <w:bodyDiv w:val="1"/>
      <w:marLeft w:val="0"/>
      <w:marRight w:val="0"/>
      <w:marTop w:val="0"/>
      <w:marBottom w:val="0"/>
      <w:divBdr>
        <w:top w:val="none" w:sz="0" w:space="0" w:color="auto"/>
        <w:left w:val="none" w:sz="0" w:space="0" w:color="auto"/>
        <w:bottom w:val="none" w:sz="0" w:space="0" w:color="auto"/>
        <w:right w:val="none" w:sz="0" w:space="0" w:color="auto"/>
      </w:divBdr>
    </w:div>
    <w:div w:id="775029322">
      <w:bodyDiv w:val="1"/>
      <w:marLeft w:val="0"/>
      <w:marRight w:val="0"/>
      <w:marTop w:val="0"/>
      <w:marBottom w:val="0"/>
      <w:divBdr>
        <w:top w:val="none" w:sz="0" w:space="0" w:color="auto"/>
        <w:left w:val="none" w:sz="0" w:space="0" w:color="auto"/>
        <w:bottom w:val="none" w:sz="0" w:space="0" w:color="auto"/>
        <w:right w:val="none" w:sz="0" w:space="0" w:color="auto"/>
      </w:divBdr>
    </w:div>
    <w:div w:id="780304338">
      <w:bodyDiv w:val="1"/>
      <w:marLeft w:val="0"/>
      <w:marRight w:val="0"/>
      <w:marTop w:val="0"/>
      <w:marBottom w:val="0"/>
      <w:divBdr>
        <w:top w:val="none" w:sz="0" w:space="0" w:color="auto"/>
        <w:left w:val="none" w:sz="0" w:space="0" w:color="auto"/>
        <w:bottom w:val="none" w:sz="0" w:space="0" w:color="auto"/>
        <w:right w:val="none" w:sz="0" w:space="0" w:color="auto"/>
      </w:divBdr>
    </w:div>
    <w:div w:id="820929160">
      <w:bodyDiv w:val="1"/>
      <w:marLeft w:val="0"/>
      <w:marRight w:val="0"/>
      <w:marTop w:val="0"/>
      <w:marBottom w:val="0"/>
      <w:divBdr>
        <w:top w:val="none" w:sz="0" w:space="0" w:color="auto"/>
        <w:left w:val="none" w:sz="0" w:space="0" w:color="auto"/>
        <w:bottom w:val="none" w:sz="0" w:space="0" w:color="auto"/>
        <w:right w:val="none" w:sz="0" w:space="0" w:color="auto"/>
      </w:divBdr>
    </w:div>
    <w:div w:id="841089547">
      <w:bodyDiv w:val="1"/>
      <w:marLeft w:val="0"/>
      <w:marRight w:val="0"/>
      <w:marTop w:val="0"/>
      <w:marBottom w:val="0"/>
      <w:divBdr>
        <w:top w:val="none" w:sz="0" w:space="0" w:color="auto"/>
        <w:left w:val="none" w:sz="0" w:space="0" w:color="auto"/>
        <w:bottom w:val="none" w:sz="0" w:space="0" w:color="auto"/>
        <w:right w:val="none" w:sz="0" w:space="0" w:color="auto"/>
      </w:divBdr>
      <w:divsChild>
        <w:div w:id="1593927789">
          <w:marLeft w:val="0"/>
          <w:marRight w:val="0"/>
          <w:marTop w:val="150"/>
          <w:marBottom w:val="168"/>
          <w:divBdr>
            <w:top w:val="none" w:sz="0" w:space="0" w:color="auto"/>
            <w:left w:val="none" w:sz="0" w:space="0" w:color="auto"/>
            <w:bottom w:val="none" w:sz="0" w:space="0" w:color="auto"/>
            <w:right w:val="none" w:sz="0" w:space="0" w:color="auto"/>
          </w:divBdr>
        </w:div>
      </w:divsChild>
    </w:div>
    <w:div w:id="865484789">
      <w:bodyDiv w:val="1"/>
      <w:marLeft w:val="0"/>
      <w:marRight w:val="0"/>
      <w:marTop w:val="0"/>
      <w:marBottom w:val="0"/>
      <w:divBdr>
        <w:top w:val="none" w:sz="0" w:space="0" w:color="auto"/>
        <w:left w:val="none" w:sz="0" w:space="0" w:color="auto"/>
        <w:bottom w:val="none" w:sz="0" w:space="0" w:color="auto"/>
        <w:right w:val="none" w:sz="0" w:space="0" w:color="auto"/>
      </w:divBdr>
    </w:div>
    <w:div w:id="866217089">
      <w:bodyDiv w:val="1"/>
      <w:marLeft w:val="0"/>
      <w:marRight w:val="0"/>
      <w:marTop w:val="0"/>
      <w:marBottom w:val="0"/>
      <w:divBdr>
        <w:top w:val="none" w:sz="0" w:space="0" w:color="auto"/>
        <w:left w:val="none" w:sz="0" w:space="0" w:color="auto"/>
        <w:bottom w:val="none" w:sz="0" w:space="0" w:color="auto"/>
        <w:right w:val="none" w:sz="0" w:space="0" w:color="auto"/>
      </w:divBdr>
    </w:div>
    <w:div w:id="893153140">
      <w:bodyDiv w:val="1"/>
      <w:marLeft w:val="0"/>
      <w:marRight w:val="0"/>
      <w:marTop w:val="0"/>
      <w:marBottom w:val="0"/>
      <w:divBdr>
        <w:top w:val="none" w:sz="0" w:space="0" w:color="auto"/>
        <w:left w:val="none" w:sz="0" w:space="0" w:color="auto"/>
        <w:bottom w:val="none" w:sz="0" w:space="0" w:color="auto"/>
        <w:right w:val="none" w:sz="0" w:space="0" w:color="auto"/>
      </w:divBdr>
    </w:div>
    <w:div w:id="904608757">
      <w:bodyDiv w:val="1"/>
      <w:marLeft w:val="0"/>
      <w:marRight w:val="0"/>
      <w:marTop w:val="0"/>
      <w:marBottom w:val="0"/>
      <w:divBdr>
        <w:top w:val="none" w:sz="0" w:space="0" w:color="auto"/>
        <w:left w:val="none" w:sz="0" w:space="0" w:color="auto"/>
        <w:bottom w:val="none" w:sz="0" w:space="0" w:color="auto"/>
        <w:right w:val="none" w:sz="0" w:space="0" w:color="auto"/>
      </w:divBdr>
    </w:div>
    <w:div w:id="965891685">
      <w:bodyDiv w:val="1"/>
      <w:marLeft w:val="0"/>
      <w:marRight w:val="0"/>
      <w:marTop w:val="0"/>
      <w:marBottom w:val="0"/>
      <w:divBdr>
        <w:top w:val="none" w:sz="0" w:space="0" w:color="auto"/>
        <w:left w:val="none" w:sz="0" w:space="0" w:color="auto"/>
        <w:bottom w:val="none" w:sz="0" w:space="0" w:color="auto"/>
        <w:right w:val="none" w:sz="0" w:space="0" w:color="auto"/>
      </w:divBdr>
    </w:div>
    <w:div w:id="970790800">
      <w:bodyDiv w:val="1"/>
      <w:marLeft w:val="0"/>
      <w:marRight w:val="0"/>
      <w:marTop w:val="0"/>
      <w:marBottom w:val="0"/>
      <w:divBdr>
        <w:top w:val="none" w:sz="0" w:space="0" w:color="auto"/>
        <w:left w:val="none" w:sz="0" w:space="0" w:color="auto"/>
        <w:bottom w:val="none" w:sz="0" w:space="0" w:color="auto"/>
        <w:right w:val="none" w:sz="0" w:space="0" w:color="auto"/>
      </w:divBdr>
    </w:div>
    <w:div w:id="1047292261">
      <w:bodyDiv w:val="1"/>
      <w:marLeft w:val="0"/>
      <w:marRight w:val="0"/>
      <w:marTop w:val="0"/>
      <w:marBottom w:val="0"/>
      <w:divBdr>
        <w:top w:val="none" w:sz="0" w:space="0" w:color="auto"/>
        <w:left w:val="none" w:sz="0" w:space="0" w:color="auto"/>
        <w:bottom w:val="none" w:sz="0" w:space="0" w:color="auto"/>
        <w:right w:val="none" w:sz="0" w:space="0" w:color="auto"/>
      </w:divBdr>
    </w:div>
    <w:div w:id="1055084257">
      <w:bodyDiv w:val="1"/>
      <w:marLeft w:val="0"/>
      <w:marRight w:val="0"/>
      <w:marTop w:val="0"/>
      <w:marBottom w:val="0"/>
      <w:divBdr>
        <w:top w:val="none" w:sz="0" w:space="0" w:color="auto"/>
        <w:left w:val="none" w:sz="0" w:space="0" w:color="auto"/>
        <w:bottom w:val="none" w:sz="0" w:space="0" w:color="auto"/>
        <w:right w:val="none" w:sz="0" w:space="0" w:color="auto"/>
      </w:divBdr>
    </w:div>
    <w:div w:id="1063678494">
      <w:bodyDiv w:val="1"/>
      <w:marLeft w:val="0"/>
      <w:marRight w:val="0"/>
      <w:marTop w:val="0"/>
      <w:marBottom w:val="0"/>
      <w:divBdr>
        <w:top w:val="none" w:sz="0" w:space="0" w:color="auto"/>
        <w:left w:val="none" w:sz="0" w:space="0" w:color="auto"/>
        <w:bottom w:val="none" w:sz="0" w:space="0" w:color="auto"/>
        <w:right w:val="none" w:sz="0" w:space="0" w:color="auto"/>
      </w:divBdr>
    </w:div>
    <w:div w:id="1077477705">
      <w:bodyDiv w:val="1"/>
      <w:marLeft w:val="0"/>
      <w:marRight w:val="0"/>
      <w:marTop w:val="0"/>
      <w:marBottom w:val="0"/>
      <w:divBdr>
        <w:top w:val="none" w:sz="0" w:space="0" w:color="auto"/>
        <w:left w:val="none" w:sz="0" w:space="0" w:color="auto"/>
        <w:bottom w:val="none" w:sz="0" w:space="0" w:color="auto"/>
        <w:right w:val="none" w:sz="0" w:space="0" w:color="auto"/>
      </w:divBdr>
    </w:div>
    <w:div w:id="1081368689">
      <w:bodyDiv w:val="1"/>
      <w:marLeft w:val="0"/>
      <w:marRight w:val="0"/>
      <w:marTop w:val="0"/>
      <w:marBottom w:val="0"/>
      <w:divBdr>
        <w:top w:val="none" w:sz="0" w:space="0" w:color="auto"/>
        <w:left w:val="none" w:sz="0" w:space="0" w:color="auto"/>
        <w:bottom w:val="none" w:sz="0" w:space="0" w:color="auto"/>
        <w:right w:val="none" w:sz="0" w:space="0" w:color="auto"/>
      </w:divBdr>
    </w:div>
    <w:div w:id="1130245256">
      <w:bodyDiv w:val="1"/>
      <w:marLeft w:val="0"/>
      <w:marRight w:val="0"/>
      <w:marTop w:val="0"/>
      <w:marBottom w:val="0"/>
      <w:divBdr>
        <w:top w:val="none" w:sz="0" w:space="0" w:color="auto"/>
        <w:left w:val="none" w:sz="0" w:space="0" w:color="auto"/>
        <w:bottom w:val="none" w:sz="0" w:space="0" w:color="auto"/>
        <w:right w:val="none" w:sz="0" w:space="0" w:color="auto"/>
      </w:divBdr>
    </w:div>
    <w:div w:id="1147014628">
      <w:bodyDiv w:val="1"/>
      <w:marLeft w:val="0"/>
      <w:marRight w:val="0"/>
      <w:marTop w:val="0"/>
      <w:marBottom w:val="0"/>
      <w:divBdr>
        <w:top w:val="none" w:sz="0" w:space="0" w:color="auto"/>
        <w:left w:val="none" w:sz="0" w:space="0" w:color="auto"/>
        <w:bottom w:val="none" w:sz="0" w:space="0" w:color="auto"/>
        <w:right w:val="none" w:sz="0" w:space="0" w:color="auto"/>
      </w:divBdr>
    </w:div>
    <w:div w:id="1199204632">
      <w:bodyDiv w:val="1"/>
      <w:marLeft w:val="0"/>
      <w:marRight w:val="0"/>
      <w:marTop w:val="0"/>
      <w:marBottom w:val="0"/>
      <w:divBdr>
        <w:top w:val="none" w:sz="0" w:space="0" w:color="auto"/>
        <w:left w:val="none" w:sz="0" w:space="0" w:color="auto"/>
        <w:bottom w:val="none" w:sz="0" w:space="0" w:color="auto"/>
        <w:right w:val="none" w:sz="0" w:space="0" w:color="auto"/>
      </w:divBdr>
    </w:div>
    <w:div w:id="1208646923">
      <w:bodyDiv w:val="1"/>
      <w:marLeft w:val="0"/>
      <w:marRight w:val="0"/>
      <w:marTop w:val="0"/>
      <w:marBottom w:val="0"/>
      <w:divBdr>
        <w:top w:val="none" w:sz="0" w:space="0" w:color="auto"/>
        <w:left w:val="none" w:sz="0" w:space="0" w:color="auto"/>
        <w:bottom w:val="none" w:sz="0" w:space="0" w:color="auto"/>
        <w:right w:val="none" w:sz="0" w:space="0" w:color="auto"/>
      </w:divBdr>
      <w:divsChild>
        <w:div w:id="1460805945">
          <w:marLeft w:val="0"/>
          <w:marRight w:val="0"/>
          <w:marTop w:val="0"/>
          <w:marBottom w:val="0"/>
          <w:divBdr>
            <w:top w:val="none" w:sz="0" w:space="0" w:color="auto"/>
            <w:left w:val="none" w:sz="0" w:space="0" w:color="auto"/>
            <w:bottom w:val="none" w:sz="0" w:space="0" w:color="auto"/>
            <w:right w:val="none" w:sz="0" w:space="0" w:color="auto"/>
          </w:divBdr>
        </w:div>
        <w:div w:id="826478401">
          <w:marLeft w:val="0"/>
          <w:marRight w:val="0"/>
          <w:marTop w:val="0"/>
          <w:marBottom w:val="0"/>
          <w:divBdr>
            <w:top w:val="none" w:sz="0" w:space="0" w:color="auto"/>
            <w:left w:val="none" w:sz="0" w:space="0" w:color="auto"/>
            <w:bottom w:val="none" w:sz="0" w:space="0" w:color="auto"/>
            <w:right w:val="none" w:sz="0" w:space="0" w:color="auto"/>
          </w:divBdr>
          <w:divsChild>
            <w:div w:id="528034466">
              <w:marLeft w:val="0"/>
              <w:marRight w:val="165"/>
              <w:marTop w:val="150"/>
              <w:marBottom w:val="0"/>
              <w:divBdr>
                <w:top w:val="none" w:sz="0" w:space="0" w:color="auto"/>
                <w:left w:val="none" w:sz="0" w:space="0" w:color="auto"/>
                <w:bottom w:val="none" w:sz="0" w:space="0" w:color="auto"/>
                <w:right w:val="none" w:sz="0" w:space="0" w:color="auto"/>
              </w:divBdr>
              <w:divsChild>
                <w:div w:id="1868522417">
                  <w:marLeft w:val="0"/>
                  <w:marRight w:val="0"/>
                  <w:marTop w:val="0"/>
                  <w:marBottom w:val="0"/>
                  <w:divBdr>
                    <w:top w:val="none" w:sz="0" w:space="0" w:color="auto"/>
                    <w:left w:val="none" w:sz="0" w:space="0" w:color="auto"/>
                    <w:bottom w:val="none" w:sz="0" w:space="0" w:color="auto"/>
                    <w:right w:val="none" w:sz="0" w:space="0" w:color="auto"/>
                  </w:divBdr>
                  <w:divsChild>
                    <w:div w:id="22946876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039224">
      <w:bodyDiv w:val="1"/>
      <w:marLeft w:val="0"/>
      <w:marRight w:val="0"/>
      <w:marTop w:val="0"/>
      <w:marBottom w:val="0"/>
      <w:divBdr>
        <w:top w:val="none" w:sz="0" w:space="0" w:color="auto"/>
        <w:left w:val="none" w:sz="0" w:space="0" w:color="auto"/>
        <w:bottom w:val="none" w:sz="0" w:space="0" w:color="auto"/>
        <w:right w:val="none" w:sz="0" w:space="0" w:color="auto"/>
      </w:divBdr>
      <w:divsChild>
        <w:div w:id="591935977">
          <w:marLeft w:val="0"/>
          <w:marRight w:val="0"/>
          <w:marTop w:val="150"/>
          <w:marBottom w:val="168"/>
          <w:divBdr>
            <w:top w:val="none" w:sz="0" w:space="0" w:color="auto"/>
            <w:left w:val="none" w:sz="0" w:space="0" w:color="auto"/>
            <w:bottom w:val="none" w:sz="0" w:space="0" w:color="auto"/>
            <w:right w:val="none" w:sz="0" w:space="0" w:color="auto"/>
          </w:divBdr>
        </w:div>
        <w:div w:id="1597904399">
          <w:marLeft w:val="0"/>
          <w:marRight w:val="0"/>
          <w:marTop w:val="0"/>
          <w:marBottom w:val="0"/>
          <w:divBdr>
            <w:top w:val="none" w:sz="0" w:space="0" w:color="auto"/>
            <w:left w:val="none" w:sz="0" w:space="0" w:color="auto"/>
            <w:bottom w:val="none" w:sz="0" w:space="0" w:color="auto"/>
            <w:right w:val="none" w:sz="0" w:space="0" w:color="auto"/>
          </w:divBdr>
          <w:divsChild>
            <w:div w:id="1258296567">
              <w:marLeft w:val="0"/>
              <w:marRight w:val="0"/>
              <w:marTop w:val="105"/>
              <w:marBottom w:val="0"/>
              <w:divBdr>
                <w:top w:val="none" w:sz="0" w:space="0" w:color="auto"/>
                <w:left w:val="none" w:sz="0" w:space="0" w:color="auto"/>
                <w:bottom w:val="none" w:sz="0" w:space="0" w:color="auto"/>
                <w:right w:val="none" w:sz="0" w:space="0" w:color="auto"/>
              </w:divBdr>
            </w:div>
          </w:divsChild>
        </w:div>
        <w:div w:id="923420025">
          <w:marLeft w:val="0"/>
          <w:marRight w:val="0"/>
          <w:marTop w:val="0"/>
          <w:marBottom w:val="0"/>
          <w:divBdr>
            <w:top w:val="none" w:sz="0" w:space="0" w:color="auto"/>
            <w:left w:val="none" w:sz="0" w:space="0" w:color="auto"/>
            <w:bottom w:val="none" w:sz="0" w:space="0" w:color="auto"/>
            <w:right w:val="none" w:sz="0" w:space="0" w:color="auto"/>
          </w:divBdr>
          <w:divsChild>
            <w:div w:id="104602697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234781066">
      <w:bodyDiv w:val="1"/>
      <w:marLeft w:val="0"/>
      <w:marRight w:val="0"/>
      <w:marTop w:val="0"/>
      <w:marBottom w:val="0"/>
      <w:divBdr>
        <w:top w:val="none" w:sz="0" w:space="0" w:color="auto"/>
        <w:left w:val="none" w:sz="0" w:space="0" w:color="auto"/>
        <w:bottom w:val="none" w:sz="0" w:space="0" w:color="auto"/>
        <w:right w:val="none" w:sz="0" w:space="0" w:color="auto"/>
      </w:divBdr>
    </w:div>
    <w:div w:id="1263147122">
      <w:bodyDiv w:val="1"/>
      <w:marLeft w:val="0"/>
      <w:marRight w:val="0"/>
      <w:marTop w:val="0"/>
      <w:marBottom w:val="0"/>
      <w:divBdr>
        <w:top w:val="none" w:sz="0" w:space="0" w:color="auto"/>
        <w:left w:val="none" w:sz="0" w:space="0" w:color="auto"/>
        <w:bottom w:val="none" w:sz="0" w:space="0" w:color="auto"/>
        <w:right w:val="none" w:sz="0" w:space="0" w:color="auto"/>
      </w:divBdr>
      <w:divsChild>
        <w:div w:id="1962876798">
          <w:marLeft w:val="0"/>
          <w:marRight w:val="0"/>
          <w:marTop w:val="0"/>
          <w:marBottom w:val="0"/>
          <w:divBdr>
            <w:top w:val="none" w:sz="0" w:space="0" w:color="auto"/>
            <w:left w:val="none" w:sz="0" w:space="0" w:color="auto"/>
            <w:bottom w:val="none" w:sz="0" w:space="0" w:color="auto"/>
            <w:right w:val="none" w:sz="0" w:space="0" w:color="auto"/>
          </w:divBdr>
        </w:div>
        <w:div w:id="218638698">
          <w:marLeft w:val="0"/>
          <w:marRight w:val="0"/>
          <w:marTop w:val="0"/>
          <w:marBottom w:val="0"/>
          <w:divBdr>
            <w:top w:val="none" w:sz="0" w:space="0" w:color="auto"/>
            <w:left w:val="none" w:sz="0" w:space="0" w:color="auto"/>
            <w:bottom w:val="none" w:sz="0" w:space="0" w:color="auto"/>
            <w:right w:val="none" w:sz="0" w:space="0" w:color="auto"/>
          </w:divBdr>
          <w:divsChild>
            <w:div w:id="1979987856">
              <w:marLeft w:val="0"/>
              <w:marRight w:val="165"/>
              <w:marTop w:val="150"/>
              <w:marBottom w:val="0"/>
              <w:divBdr>
                <w:top w:val="none" w:sz="0" w:space="0" w:color="auto"/>
                <w:left w:val="none" w:sz="0" w:space="0" w:color="auto"/>
                <w:bottom w:val="none" w:sz="0" w:space="0" w:color="auto"/>
                <w:right w:val="none" w:sz="0" w:space="0" w:color="auto"/>
              </w:divBdr>
              <w:divsChild>
                <w:div w:id="1011640497">
                  <w:marLeft w:val="0"/>
                  <w:marRight w:val="0"/>
                  <w:marTop w:val="0"/>
                  <w:marBottom w:val="0"/>
                  <w:divBdr>
                    <w:top w:val="none" w:sz="0" w:space="0" w:color="auto"/>
                    <w:left w:val="none" w:sz="0" w:space="0" w:color="auto"/>
                    <w:bottom w:val="none" w:sz="0" w:space="0" w:color="auto"/>
                    <w:right w:val="none" w:sz="0" w:space="0" w:color="auto"/>
                  </w:divBdr>
                  <w:divsChild>
                    <w:div w:id="110646697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803739">
      <w:bodyDiv w:val="1"/>
      <w:marLeft w:val="0"/>
      <w:marRight w:val="0"/>
      <w:marTop w:val="0"/>
      <w:marBottom w:val="0"/>
      <w:divBdr>
        <w:top w:val="none" w:sz="0" w:space="0" w:color="auto"/>
        <w:left w:val="none" w:sz="0" w:space="0" w:color="auto"/>
        <w:bottom w:val="none" w:sz="0" w:space="0" w:color="auto"/>
        <w:right w:val="none" w:sz="0" w:space="0" w:color="auto"/>
      </w:divBdr>
    </w:div>
    <w:div w:id="1286232468">
      <w:bodyDiv w:val="1"/>
      <w:marLeft w:val="0"/>
      <w:marRight w:val="0"/>
      <w:marTop w:val="0"/>
      <w:marBottom w:val="0"/>
      <w:divBdr>
        <w:top w:val="none" w:sz="0" w:space="0" w:color="auto"/>
        <w:left w:val="none" w:sz="0" w:space="0" w:color="auto"/>
        <w:bottom w:val="none" w:sz="0" w:space="0" w:color="auto"/>
        <w:right w:val="none" w:sz="0" w:space="0" w:color="auto"/>
      </w:divBdr>
    </w:div>
    <w:div w:id="1302074008">
      <w:bodyDiv w:val="1"/>
      <w:marLeft w:val="0"/>
      <w:marRight w:val="0"/>
      <w:marTop w:val="0"/>
      <w:marBottom w:val="0"/>
      <w:divBdr>
        <w:top w:val="none" w:sz="0" w:space="0" w:color="auto"/>
        <w:left w:val="none" w:sz="0" w:space="0" w:color="auto"/>
        <w:bottom w:val="none" w:sz="0" w:space="0" w:color="auto"/>
        <w:right w:val="none" w:sz="0" w:space="0" w:color="auto"/>
      </w:divBdr>
    </w:div>
    <w:div w:id="1314599867">
      <w:bodyDiv w:val="1"/>
      <w:marLeft w:val="0"/>
      <w:marRight w:val="0"/>
      <w:marTop w:val="0"/>
      <w:marBottom w:val="0"/>
      <w:divBdr>
        <w:top w:val="none" w:sz="0" w:space="0" w:color="auto"/>
        <w:left w:val="none" w:sz="0" w:space="0" w:color="auto"/>
        <w:bottom w:val="none" w:sz="0" w:space="0" w:color="auto"/>
        <w:right w:val="none" w:sz="0" w:space="0" w:color="auto"/>
      </w:divBdr>
      <w:divsChild>
        <w:div w:id="69010999">
          <w:marLeft w:val="0"/>
          <w:marRight w:val="0"/>
          <w:marTop w:val="0"/>
          <w:marBottom w:val="0"/>
          <w:divBdr>
            <w:top w:val="none" w:sz="0" w:space="0" w:color="auto"/>
            <w:left w:val="none" w:sz="0" w:space="0" w:color="auto"/>
            <w:bottom w:val="none" w:sz="0" w:space="0" w:color="auto"/>
            <w:right w:val="none" w:sz="0" w:space="0" w:color="auto"/>
          </w:divBdr>
          <w:divsChild>
            <w:div w:id="796875333">
              <w:marLeft w:val="0"/>
              <w:marRight w:val="0"/>
              <w:marTop w:val="150"/>
              <w:marBottom w:val="168"/>
              <w:divBdr>
                <w:top w:val="none" w:sz="0" w:space="0" w:color="auto"/>
                <w:left w:val="none" w:sz="0" w:space="0" w:color="auto"/>
                <w:bottom w:val="none" w:sz="0" w:space="0" w:color="auto"/>
                <w:right w:val="none" w:sz="0" w:space="0" w:color="auto"/>
              </w:divBdr>
            </w:div>
            <w:div w:id="1597442377">
              <w:marLeft w:val="0"/>
              <w:marRight w:val="0"/>
              <w:marTop w:val="0"/>
              <w:marBottom w:val="0"/>
              <w:divBdr>
                <w:top w:val="none" w:sz="0" w:space="0" w:color="auto"/>
                <w:left w:val="none" w:sz="0" w:space="0" w:color="auto"/>
                <w:bottom w:val="none" w:sz="0" w:space="0" w:color="auto"/>
                <w:right w:val="none" w:sz="0" w:space="0" w:color="auto"/>
              </w:divBdr>
              <w:divsChild>
                <w:div w:id="1041319726">
                  <w:marLeft w:val="0"/>
                  <w:marRight w:val="0"/>
                  <w:marTop w:val="105"/>
                  <w:marBottom w:val="0"/>
                  <w:divBdr>
                    <w:top w:val="none" w:sz="0" w:space="0" w:color="auto"/>
                    <w:left w:val="none" w:sz="0" w:space="0" w:color="auto"/>
                    <w:bottom w:val="none" w:sz="0" w:space="0" w:color="auto"/>
                    <w:right w:val="none" w:sz="0" w:space="0" w:color="auto"/>
                  </w:divBdr>
                </w:div>
              </w:divsChild>
            </w:div>
            <w:div w:id="291207000">
              <w:marLeft w:val="0"/>
              <w:marRight w:val="0"/>
              <w:marTop w:val="0"/>
              <w:marBottom w:val="0"/>
              <w:divBdr>
                <w:top w:val="none" w:sz="0" w:space="0" w:color="auto"/>
                <w:left w:val="none" w:sz="0" w:space="0" w:color="auto"/>
                <w:bottom w:val="none" w:sz="0" w:space="0" w:color="auto"/>
                <w:right w:val="none" w:sz="0" w:space="0" w:color="auto"/>
              </w:divBdr>
              <w:divsChild>
                <w:div w:id="1281182008">
                  <w:marLeft w:val="0"/>
                  <w:marRight w:val="0"/>
                  <w:marTop w:val="105"/>
                  <w:marBottom w:val="0"/>
                  <w:divBdr>
                    <w:top w:val="none" w:sz="0" w:space="0" w:color="auto"/>
                    <w:left w:val="none" w:sz="0" w:space="0" w:color="auto"/>
                    <w:bottom w:val="none" w:sz="0" w:space="0" w:color="auto"/>
                    <w:right w:val="none" w:sz="0" w:space="0" w:color="auto"/>
                  </w:divBdr>
                </w:div>
              </w:divsChild>
            </w:div>
            <w:div w:id="207884536">
              <w:marLeft w:val="0"/>
              <w:marRight w:val="0"/>
              <w:marTop w:val="0"/>
              <w:marBottom w:val="0"/>
              <w:divBdr>
                <w:top w:val="none" w:sz="0" w:space="0" w:color="auto"/>
                <w:left w:val="none" w:sz="0" w:space="0" w:color="auto"/>
                <w:bottom w:val="none" w:sz="0" w:space="0" w:color="auto"/>
                <w:right w:val="none" w:sz="0" w:space="0" w:color="auto"/>
              </w:divBdr>
              <w:divsChild>
                <w:div w:id="316570529">
                  <w:marLeft w:val="0"/>
                  <w:marRight w:val="0"/>
                  <w:marTop w:val="105"/>
                  <w:marBottom w:val="0"/>
                  <w:divBdr>
                    <w:top w:val="none" w:sz="0" w:space="0" w:color="auto"/>
                    <w:left w:val="none" w:sz="0" w:space="0" w:color="auto"/>
                    <w:bottom w:val="none" w:sz="0" w:space="0" w:color="auto"/>
                    <w:right w:val="none" w:sz="0" w:space="0" w:color="auto"/>
                  </w:divBdr>
                </w:div>
              </w:divsChild>
            </w:div>
            <w:div w:id="1047409499">
              <w:marLeft w:val="0"/>
              <w:marRight w:val="0"/>
              <w:marTop w:val="0"/>
              <w:marBottom w:val="0"/>
              <w:divBdr>
                <w:top w:val="none" w:sz="0" w:space="0" w:color="auto"/>
                <w:left w:val="none" w:sz="0" w:space="0" w:color="auto"/>
                <w:bottom w:val="none" w:sz="0" w:space="0" w:color="auto"/>
                <w:right w:val="none" w:sz="0" w:space="0" w:color="auto"/>
              </w:divBdr>
              <w:divsChild>
                <w:div w:id="2136485486">
                  <w:marLeft w:val="0"/>
                  <w:marRight w:val="0"/>
                  <w:marTop w:val="105"/>
                  <w:marBottom w:val="0"/>
                  <w:divBdr>
                    <w:top w:val="none" w:sz="0" w:space="0" w:color="auto"/>
                    <w:left w:val="none" w:sz="0" w:space="0" w:color="auto"/>
                    <w:bottom w:val="none" w:sz="0" w:space="0" w:color="auto"/>
                    <w:right w:val="none" w:sz="0" w:space="0" w:color="auto"/>
                  </w:divBdr>
                </w:div>
              </w:divsChild>
            </w:div>
            <w:div w:id="2088646213">
              <w:marLeft w:val="0"/>
              <w:marRight w:val="0"/>
              <w:marTop w:val="0"/>
              <w:marBottom w:val="0"/>
              <w:divBdr>
                <w:top w:val="none" w:sz="0" w:space="0" w:color="auto"/>
                <w:left w:val="none" w:sz="0" w:space="0" w:color="auto"/>
                <w:bottom w:val="none" w:sz="0" w:space="0" w:color="auto"/>
                <w:right w:val="none" w:sz="0" w:space="0" w:color="auto"/>
              </w:divBdr>
              <w:divsChild>
                <w:div w:id="83646211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294525068">
          <w:marLeft w:val="0"/>
          <w:marRight w:val="0"/>
          <w:marTop w:val="0"/>
          <w:marBottom w:val="0"/>
          <w:divBdr>
            <w:top w:val="none" w:sz="0" w:space="0" w:color="auto"/>
            <w:left w:val="none" w:sz="0" w:space="0" w:color="auto"/>
            <w:bottom w:val="none" w:sz="0" w:space="0" w:color="auto"/>
            <w:right w:val="none" w:sz="0" w:space="0" w:color="auto"/>
          </w:divBdr>
          <w:divsChild>
            <w:div w:id="1762483029">
              <w:marLeft w:val="0"/>
              <w:marRight w:val="0"/>
              <w:marTop w:val="150"/>
              <w:marBottom w:val="168"/>
              <w:divBdr>
                <w:top w:val="none" w:sz="0" w:space="0" w:color="auto"/>
                <w:left w:val="none" w:sz="0" w:space="0" w:color="auto"/>
                <w:bottom w:val="none" w:sz="0" w:space="0" w:color="auto"/>
                <w:right w:val="none" w:sz="0" w:space="0" w:color="auto"/>
              </w:divBdr>
            </w:div>
            <w:div w:id="866336739">
              <w:marLeft w:val="0"/>
              <w:marRight w:val="0"/>
              <w:marTop w:val="0"/>
              <w:marBottom w:val="0"/>
              <w:divBdr>
                <w:top w:val="none" w:sz="0" w:space="0" w:color="auto"/>
                <w:left w:val="none" w:sz="0" w:space="0" w:color="auto"/>
                <w:bottom w:val="none" w:sz="0" w:space="0" w:color="auto"/>
                <w:right w:val="none" w:sz="0" w:space="0" w:color="auto"/>
              </w:divBdr>
              <w:divsChild>
                <w:div w:id="2082167349">
                  <w:marLeft w:val="0"/>
                  <w:marRight w:val="0"/>
                  <w:marTop w:val="105"/>
                  <w:marBottom w:val="0"/>
                  <w:divBdr>
                    <w:top w:val="none" w:sz="0" w:space="0" w:color="auto"/>
                    <w:left w:val="none" w:sz="0" w:space="0" w:color="auto"/>
                    <w:bottom w:val="none" w:sz="0" w:space="0" w:color="auto"/>
                    <w:right w:val="none" w:sz="0" w:space="0" w:color="auto"/>
                  </w:divBdr>
                </w:div>
              </w:divsChild>
            </w:div>
            <w:div w:id="1786651377">
              <w:marLeft w:val="0"/>
              <w:marRight w:val="0"/>
              <w:marTop w:val="0"/>
              <w:marBottom w:val="0"/>
              <w:divBdr>
                <w:top w:val="none" w:sz="0" w:space="0" w:color="auto"/>
                <w:left w:val="none" w:sz="0" w:space="0" w:color="auto"/>
                <w:bottom w:val="none" w:sz="0" w:space="0" w:color="auto"/>
                <w:right w:val="none" w:sz="0" w:space="0" w:color="auto"/>
              </w:divBdr>
              <w:divsChild>
                <w:div w:id="118497719">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32124339">
          <w:marLeft w:val="0"/>
          <w:marRight w:val="0"/>
          <w:marTop w:val="0"/>
          <w:marBottom w:val="0"/>
          <w:divBdr>
            <w:top w:val="none" w:sz="0" w:space="0" w:color="auto"/>
            <w:left w:val="none" w:sz="0" w:space="0" w:color="auto"/>
            <w:bottom w:val="none" w:sz="0" w:space="0" w:color="auto"/>
            <w:right w:val="none" w:sz="0" w:space="0" w:color="auto"/>
          </w:divBdr>
          <w:divsChild>
            <w:div w:id="1325552162">
              <w:marLeft w:val="0"/>
              <w:marRight w:val="0"/>
              <w:marTop w:val="150"/>
              <w:marBottom w:val="168"/>
              <w:divBdr>
                <w:top w:val="none" w:sz="0" w:space="0" w:color="auto"/>
                <w:left w:val="none" w:sz="0" w:space="0" w:color="auto"/>
                <w:bottom w:val="none" w:sz="0" w:space="0" w:color="auto"/>
                <w:right w:val="none" w:sz="0" w:space="0" w:color="auto"/>
              </w:divBdr>
            </w:div>
          </w:divsChild>
        </w:div>
      </w:divsChild>
    </w:div>
    <w:div w:id="1316840238">
      <w:bodyDiv w:val="1"/>
      <w:marLeft w:val="0"/>
      <w:marRight w:val="0"/>
      <w:marTop w:val="0"/>
      <w:marBottom w:val="0"/>
      <w:divBdr>
        <w:top w:val="none" w:sz="0" w:space="0" w:color="auto"/>
        <w:left w:val="none" w:sz="0" w:space="0" w:color="auto"/>
        <w:bottom w:val="none" w:sz="0" w:space="0" w:color="auto"/>
        <w:right w:val="none" w:sz="0" w:space="0" w:color="auto"/>
      </w:divBdr>
    </w:div>
    <w:div w:id="1371030899">
      <w:bodyDiv w:val="1"/>
      <w:marLeft w:val="0"/>
      <w:marRight w:val="0"/>
      <w:marTop w:val="0"/>
      <w:marBottom w:val="0"/>
      <w:divBdr>
        <w:top w:val="none" w:sz="0" w:space="0" w:color="auto"/>
        <w:left w:val="none" w:sz="0" w:space="0" w:color="auto"/>
        <w:bottom w:val="none" w:sz="0" w:space="0" w:color="auto"/>
        <w:right w:val="none" w:sz="0" w:space="0" w:color="auto"/>
      </w:divBdr>
    </w:div>
    <w:div w:id="1404568011">
      <w:bodyDiv w:val="1"/>
      <w:marLeft w:val="0"/>
      <w:marRight w:val="0"/>
      <w:marTop w:val="0"/>
      <w:marBottom w:val="0"/>
      <w:divBdr>
        <w:top w:val="none" w:sz="0" w:space="0" w:color="auto"/>
        <w:left w:val="none" w:sz="0" w:space="0" w:color="auto"/>
        <w:bottom w:val="none" w:sz="0" w:space="0" w:color="auto"/>
        <w:right w:val="none" w:sz="0" w:space="0" w:color="auto"/>
      </w:divBdr>
    </w:div>
    <w:div w:id="1415544407">
      <w:bodyDiv w:val="1"/>
      <w:marLeft w:val="0"/>
      <w:marRight w:val="0"/>
      <w:marTop w:val="0"/>
      <w:marBottom w:val="0"/>
      <w:divBdr>
        <w:top w:val="none" w:sz="0" w:space="0" w:color="auto"/>
        <w:left w:val="none" w:sz="0" w:space="0" w:color="auto"/>
        <w:bottom w:val="none" w:sz="0" w:space="0" w:color="auto"/>
        <w:right w:val="none" w:sz="0" w:space="0" w:color="auto"/>
      </w:divBdr>
    </w:div>
    <w:div w:id="1460952484">
      <w:bodyDiv w:val="1"/>
      <w:marLeft w:val="0"/>
      <w:marRight w:val="0"/>
      <w:marTop w:val="0"/>
      <w:marBottom w:val="0"/>
      <w:divBdr>
        <w:top w:val="none" w:sz="0" w:space="0" w:color="auto"/>
        <w:left w:val="none" w:sz="0" w:space="0" w:color="auto"/>
        <w:bottom w:val="none" w:sz="0" w:space="0" w:color="auto"/>
        <w:right w:val="none" w:sz="0" w:space="0" w:color="auto"/>
      </w:divBdr>
    </w:div>
    <w:div w:id="1461072835">
      <w:bodyDiv w:val="1"/>
      <w:marLeft w:val="0"/>
      <w:marRight w:val="0"/>
      <w:marTop w:val="0"/>
      <w:marBottom w:val="0"/>
      <w:divBdr>
        <w:top w:val="none" w:sz="0" w:space="0" w:color="auto"/>
        <w:left w:val="none" w:sz="0" w:space="0" w:color="auto"/>
        <w:bottom w:val="none" w:sz="0" w:space="0" w:color="auto"/>
        <w:right w:val="none" w:sz="0" w:space="0" w:color="auto"/>
      </w:divBdr>
    </w:div>
    <w:div w:id="1463042334">
      <w:bodyDiv w:val="1"/>
      <w:marLeft w:val="0"/>
      <w:marRight w:val="0"/>
      <w:marTop w:val="0"/>
      <w:marBottom w:val="0"/>
      <w:divBdr>
        <w:top w:val="none" w:sz="0" w:space="0" w:color="auto"/>
        <w:left w:val="none" w:sz="0" w:space="0" w:color="auto"/>
        <w:bottom w:val="none" w:sz="0" w:space="0" w:color="auto"/>
        <w:right w:val="none" w:sz="0" w:space="0" w:color="auto"/>
      </w:divBdr>
    </w:div>
    <w:div w:id="1473673756">
      <w:bodyDiv w:val="1"/>
      <w:marLeft w:val="0"/>
      <w:marRight w:val="0"/>
      <w:marTop w:val="0"/>
      <w:marBottom w:val="0"/>
      <w:divBdr>
        <w:top w:val="none" w:sz="0" w:space="0" w:color="auto"/>
        <w:left w:val="none" w:sz="0" w:space="0" w:color="auto"/>
        <w:bottom w:val="none" w:sz="0" w:space="0" w:color="auto"/>
        <w:right w:val="none" w:sz="0" w:space="0" w:color="auto"/>
      </w:divBdr>
    </w:div>
    <w:div w:id="1477841581">
      <w:bodyDiv w:val="1"/>
      <w:marLeft w:val="0"/>
      <w:marRight w:val="0"/>
      <w:marTop w:val="0"/>
      <w:marBottom w:val="0"/>
      <w:divBdr>
        <w:top w:val="none" w:sz="0" w:space="0" w:color="auto"/>
        <w:left w:val="none" w:sz="0" w:space="0" w:color="auto"/>
        <w:bottom w:val="none" w:sz="0" w:space="0" w:color="auto"/>
        <w:right w:val="none" w:sz="0" w:space="0" w:color="auto"/>
      </w:divBdr>
    </w:div>
    <w:div w:id="1485050374">
      <w:bodyDiv w:val="1"/>
      <w:marLeft w:val="0"/>
      <w:marRight w:val="0"/>
      <w:marTop w:val="0"/>
      <w:marBottom w:val="0"/>
      <w:divBdr>
        <w:top w:val="none" w:sz="0" w:space="0" w:color="auto"/>
        <w:left w:val="none" w:sz="0" w:space="0" w:color="auto"/>
        <w:bottom w:val="none" w:sz="0" w:space="0" w:color="auto"/>
        <w:right w:val="none" w:sz="0" w:space="0" w:color="auto"/>
      </w:divBdr>
    </w:div>
    <w:div w:id="1574318223">
      <w:bodyDiv w:val="1"/>
      <w:marLeft w:val="0"/>
      <w:marRight w:val="0"/>
      <w:marTop w:val="0"/>
      <w:marBottom w:val="0"/>
      <w:divBdr>
        <w:top w:val="none" w:sz="0" w:space="0" w:color="auto"/>
        <w:left w:val="none" w:sz="0" w:space="0" w:color="auto"/>
        <w:bottom w:val="none" w:sz="0" w:space="0" w:color="auto"/>
        <w:right w:val="none" w:sz="0" w:space="0" w:color="auto"/>
      </w:divBdr>
    </w:div>
    <w:div w:id="1589540685">
      <w:bodyDiv w:val="1"/>
      <w:marLeft w:val="0"/>
      <w:marRight w:val="0"/>
      <w:marTop w:val="0"/>
      <w:marBottom w:val="0"/>
      <w:divBdr>
        <w:top w:val="none" w:sz="0" w:space="0" w:color="auto"/>
        <w:left w:val="none" w:sz="0" w:space="0" w:color="auto"/>
        <w:bottom w:val="none" w:sz="0" w:space="0" w:color="auto"/>
        <w:right w:val="none" w:sz="0" w:space="0" w:color="auto"/>
      </w:divBdr>
      <w:divsChild>
        <w:div w:id="817694763">
          <w:marLeft w:val="0"/>
          <w:marRight w:val="0"/>
          <w:marTop w:val="150"/>
          <w:marBottom w:val="168"/>
          <w:divBdr>
            <w:top w:val="none" w:sz="0" w:space="0" w:color="auto"/>
            <w:left w:val="none" w:sz="0" w:space="0" w:color="auto"/>
            <w:bottom w:val="none" w:sz="0" w:space="0" w:color="auto"/>
            <w:right w:val="none" w:sz="0" w:space="0" w:color="auto"/>
          </w:divBdr>
        </w:div>
      </w:divsChild>
    </w:div>
    <w:div w:id="1612474898">
      <w:bodyDiv w:val="1"/>
      <w:marLeft w:val="0"/>
      <w:marRight w:val="0"/>
      <w:marTop w:val="0"/>
      <w:marBottom w:val="0"/>
      <w:divBdr>
        <w:top w:val="none" w:sz="0" w:space="0" w:color="auto"/>
        <w:left w:val="none" w:sz="0" w:space="0" w:color="auto"/>
        <w:bottom w:val="none" w:sz="0" w:space="0" w:color="auto"/>
        <w:right w:val="none" w:sz="0" w:space="0" w:color="auto"/>
      </w:divBdr>
    </w:div>
    <w:div w:id="1621451371">
      <w:bodyDiv w:val="1"/>
      <w:marLeft w:val="0"/>
      <w:marRight w:val="0"/>
      <w:marTop w:val="0"/>
      <w:marBottom w:val="0"/>
      <w:divBdr>
        <w:top w:val="none" w:sz="0" w:space="0" w:color="auto"/>
        <w:left w:val="none" w:sz="0" w:space="0" w:color="auto"/>
        <w:bottom w:val="none" w:sz="0" w:space="0" w:color="auto"/>
        <w:right w:val="none" w:sz="0" w:space="0" w:color="auto"/>
      </w:divBdr>
    </w:div>
    <w:div w:id="1659922077">
      <w:bodyDiv w:val="1"/>
      <w:marLeft w:val="0"/>
      <w:marRight w:val="0"/>
      <w:marTop w:val="0"/>
      <w:marBottom w:val="0"/>
      <w:divBdr>
        <w:top w:val="none" w:sz="0" w:space="0" w:color="auto"/>
        <w:left w:val="none" w:sz="0" w:space="0" w:color="auto"/>
        <w:bottom w:val="none" w:sz="0" w:space="0" w:color="auto"/>
        <w:right w:val="none" w:sz="0" w:space="0" w:color="auto"/>
      </w:divBdr>
    </w:div>
    <w:div w:id="1663195005">
      <w:bodyDiv w:val="1"/>
      <w:marLeft w:val="0"/>
      <w:marRight w:val="0"/>
      <w:marTop w:val="0"/>
      <w:marBottom w:val="0"/>
      <w:divBdr>
        <w:top w:val="none" w:sz="0" w:space="0" w:color="auto"/>
        <w:left w:val="none" w:sz="0" w:space="0" w:color="auto"/>
        <w:bottom w:val="none" w:sz="0" w:space="0" w:color="auto"/>
        <w:right w:val="none" w:sz="0" w:space="0" w:color="auto"/>
      </w:divBdr>
    </w:div>
    <w:div w:id="1669333522">
      <w:bodyDiv w:val="1"/>
      <w:marLeft w:val="0"/>
      <w:marRight w:val="0"/>
      <w:marTop w:val="0"/>
      <w:marBottom w:val="0"/>
      <w:divBdr>
        <w:top w:val="none" w:sz="0" w:space="0" w:color="auto"/>
        <w:left w:val="none" w:sz="0" w:space="0" w:color="auto"/>
        <w:bottom w:val="none" w:sz="0" w:space="0" w:color="auto"/>
        <w:right w:val="none" w:sz="0" w:space="0" w:color="auto"/>
      </w:divBdr>
    </w:div>
    <w:div w:id="1672176172">
      <w:bodyDiv w:val="1"/>
      <w:marLeft w:val="0"/>
      <w:marRight w:val="0"/>
      <w:marTop w:val="0"/>
      <w:marBottom w:val="0"/>
      <w:divBdr>
        <w:top w:val="none" w:sz="0" w:space="0" w:color="auto"/>
        <w:left w:val="none" w:sz="0" w:space="0" w:color="auto"/>
        <w:bottom w:val="none" w:sz="0" w:space="0" w:color="auto"/>
        <w:right w:val="none" w:sz="0" w:space="0" w:color="auto"/>
      </w:divBdr>
    </w:div>
    <w:div w:id="1693265177">
      <w:bodyDiv w:val="1"/>
      <w:marLeft w:val="0"/>
      <w:marRight w:val="0"/>
      <w:marTop w:val="0"/>
      <w:marBottom w:val="0"/>
      <w:divBdr>
        <w:top w:val="none" w:sz="0" w:space="0" w:color="auto"/>
        <w:left w:val="none" w:sz="0" w:space="0" w:color="auto"/>
        <w:bottom w:val="none" w:sz="0" w:space="0" w:color="auto"/>
        <w:right w:val="none" w:sz="0" w:space="0" w:color="auto"/>
      </w:divBdr>
    </w:div>
    <w:div w:id="1747991845">
      <w:bodyDiv w:val="1"/>
      <w:marLeft w:val="0"/>
      <w:marRight w:val="0"/>
      <w:marTop w:val="0"/>
      <w:marBottom w:val="0"/>
      <w:divBdr>
        <w:top w:val="none" w:sz="0" w:space="0" w:color="auto"/>
        <w:left w:val="none" w:sz="0" w:space="0" w:color="auto"/>
        <w:bottom w:val="none" w:sz="0" w:space="0" w:color="auto"/>
        <w:right w:val="none" w:sz="0" w:space="0" w:color="auto"/>
      </w:divBdr>
    </w:div>
    <w:div w:id="1752461687">
      <w:bodyDiv w:val="1"/>
      <w:marLeft w:val="0"/>
      <w:marRight w:val="0"/>
      <w:marTop w:val="0"/>
      <w:marBottom w:val="0"/>
      <w:divBdr>
        <w:top w:val="none" w:sz="0" w:space="0" w:color="auto"/>
        <w:left w:val="none" w:sz="0" w:space="0" w:color="auto"/>
        <w:bottom w:val="none" w:sz="0" w:space="0" w:color="auto"/>
        <w:right w:val="none" w:sz="0" w:space="0" w:color="auto"/>
      </w:divBdr>
    </w:div>
    <w:div w:id="1758355959">
      <w:bodyDiv w:val="1"/>
      <w:marLeft w:val="0"/>
      <w:marRight w:val="0"/>
      <w:marTop w:val="0"/>
      <w:marBottom w:val="0"/>
      <w:divBdr>
        <w:top w:val="none" w:sz="0" w:space="0" w:color="auto"/>
        <w:left w:val="none" w:sz="0" w:space="0" w:color="auto"/>
        <w:bottom w:val="none" w:sz="0" w:space="0" w:color="auto"/>
        <w:right w:val="none" w:sz="0" w:space="0" w:color="auto"/>
      </w:divBdr>
    </w:div>
    <w:div w:id="1761022708">
      <w:bodyDiv w:val="1"/>
      <w:marLeft w:val="0"/>
      <w:marRight w:val="0"/>
      <w:marTop w:val="0"/>
      <w:marBottom w:val="0"/>
      <w:divBdr>
        <w:top w:val="none" w:sz="0" w:space="0" w:color="auto"/>
        <w:left w:val="none" w:sz="0" w:space="0" w:color="auto"/>
        <w:bottom w:val="none" w:sz="0" w:space="0" w:color="auto"/>
        <w:right w:val="none" w:sz="0" w:space="0" w:color="auto"/>
      </w:divBdr>
    </w:div>
    <w:div w:id="1774399340">
      <w:bodyDiv w:val="1"/>
      <w:marLeft w:val="0"/>
      <w:marRight w:val="0"/>
      <w:marTop w:val="0"/>
      <w:marBottom w:val="0"/>
      <w:divBdr>
        <w:top w:val="none" w:sz="0" w:space="0" w:color="auto"/>
        <w:left w:val="none" w:sz="0" w:space="0" w:color="auto"/>
        <w:bottom w:val="none" w:sz="0" w:space="0" w:color="auto"/>
        <w:right w:val="none" w:sz="0" w:space="0" w:color="auto"/>
      </w:divBdr>
    </w:div>
    <w:div w:id="1778596186">
      <w:bodyDiv w:val="1"/>
      <w:marLeft w:val="0"/>
      <w:marRight w:val="0"/>
      <w:marTop w:val="0"/>
      <w:marBottom w:val="0"/>
      <w:divBdr>
        <w:top w:val="none" w:sz="0" w:space="0" w:color="auto"/>
        <w:left w:val="none" w:sz="0" w:space="0" w:color="auto"/>
        <w:bottom w:val="none" w:sz="0" w:space="0" w:color="auto"/>
        <w:right w:val="none" w:sz="0" w:space="0" w:color="auto"/>
      </w:divBdr>
    </w:div>
    <w:div w:id="1786315554">
      <w:bodyDiv w:val="1"/>
      <w:marLeft w:val="0"/>
      <w:marRight w:val="0"/>
      <w:marTop w:val="0"/>
      <w:marBottom w:val="0"/>
      <w:divBdr>
        <w:top w:val="none" w:sz="0" w:space="0" w:color="auto"/>
        <w:left w:val="none" w:sz="0" w:space="0" w:color="auto"/>
        <w:bottom w:val="none" w:sz="0" w:space="0" w:color="auto"/>
        <w:right w:val="none" w:sz="0" w:space="0" w:color="auto"/>
      </w:divBdr>
    </w:div>
    <w:div w:id="1788818433">
      <w:bodyDiv w:val="1"/>
      <w:marLeft w:val="0"/>
      <w:marRight w:val="0"/>
      <w:marTop w:val="0"/>
      <w:marBottom w:val="0"/>
      <w:divBdr>
        <w:top w:val="none" w:sz="0" w:space="0" w:color="auto"/>
        <w:left w:val="none" w:sz="0" w:space="0" w:color="auto"/>
        <w:bottom w:val="none" w:sz="0" w:space="0" w:color="auto"/>
        <w:right w:val="none" w:sz="0" w:space="0" w:color="auto"/>
      </w:divBdr>
    </w:div>
    <w:div w:id="1790784603">
      <w:bodyDiv w:val="1"/>
      <w:marLeft w:val="0"/>
      <w:marRight w:val="0"/>
      <w:marTop w:val="0"/>
      <w:marBottom w:val="0"/>
      <w:divBdr>
        <w:top w:val="none" w:sz="0" w:space="0" w:color="auto"/>
        <w:left w:val="none" w:sz="0" w:space="0" w:color="auto"/>
        <w:bottom w:val="none" w:sz="0" w:space="0" w:color="auto"/>
        <w:right w:val="none" w:sz="0" w:space="0" w:color="auto"/>
      </w:divBdr>
    </w:div>
    <w:div w:id="1798139363">
      <w:bodyDiv w:val="1"/>
      <w:marLeft w:val="0"/>
      <w:marRight w:val="0"/>
      <w:marTop w:val="0"/>
      <w:marBottom w:val="0"/>
      <w:divBdr>
        <w:top w:val="none" w:sz="0" w:space="0" w:color="auto"/>
        <w:left w:val="none" w:sz="0" w:space="0" w:color="auto"/>
        <w:bottom w:val="none" w:sz="0" w:space="0" w:color="auto"/>
        <w:right w:val="none" w:sz="0" w:space="0" w:color="auto"/>
      </w:divBdr>
    </w:div>
    <w:div w:id="1799371631">
      <w:bodyDiv w:val="1"/>
      <w:marLeft w:val="0"/>
      <w:marRight w:val="0"/>
      <w:marTop w:val="0"/>
      <w:marBottom w:val="0"/>
      <w:divBdr>
        <w:top w:val="none" w:sz="0" w:space="0" w:color="auto"/>
        <w:left w:val="none" w:sz="0" w:space="0" w:color="auto"/>
        <w:bottom w:val="none" w:sz="0" w:space="0" w:color="auto"/>
        <w:right w:val="none" w:sz="0" w:space="0" w:color="auto"/>
      </w:divBdr>
    </w:div>
    <w:div w:id="1849249523">
      <w:bodyDiv w:val="1"/>
      <w:marLeft w:val="0"/>
      <w:marRight w:val="0"/>
      <w:marTop w:val="0"/>
      <w:marBottom w:val="0"/>
      <w:divBdr>
        <w:top w:val="none" w:sz="0" w:space="0" w:color="auto"/>
        <w:left w:val="none" w:sz="0" w:space="0" w:color="auto"/>
        <w:bottom w:val="none" w:sz="0" w:space="0" w:color="auto"/>
        <w:right w:val="none" w:sz="0" w:space="0" w:color="auto"/>
      </w:divBdr>
    </w:div>
    <w:div w:id="1854341630">
      <w:bodyDiv w:val="1"/>
      <w:marLeft w:val="0"/>
      <w:marRight w:val="0"/>
      <w:marTop w:val="0"/>
      <w:marBottom w:val="0"/>
      <w:divBdr>
        <w:top w:val="none" w:sz="0" w:space="0" w:color="auto"/>
        <w:left w:val="none" w:sz="0" w:space="0" w:color="auto"/>
        <w:bottom w:val="none" w:sz="0" w:space="0" w:color="auto"/>
        <w:right w:val="none" w:sz="0" w:space="0" w:color="auto"/>
      </w:divBdr>
    </w:div>
    <w:div w:id="1858612891">
      <w:bodyDiv w:val="1"/>
      <w:marLeft w:val="0"/>
      <w:marRight w:val="0"/>
      <w:marTop w:val="0"/>
      <w:marBottom w:val="0"/>
      <w:divBdr>
        <w:top w:val="none" w:sz="0" w:space="0" w:color="auto"/>
        <w:left w:val="none" w:sz="0" w:space="0" w:color="auto"/>
        <w:bottom w:val="none" w:sz="0" w:space="0" w:color="auto"/>
        <w:right w:val="none" w:sz="0" w:space="0" w:color="auto"/>
      </w:divBdr>
    </w:div>
    <w:div w:id="1891113333">
      <w:bodyDiv w:val="1"/>
      <w:marLeft w:val="0"/>
      <w:marRight w:val="0"/>
      <w:marTop w:val="0"/>
      <w:marBottom w:val="0"/>
      <w:divBdr>
        <w:top w:val="none" w:sz="0" w:space="0" w:color="auto"/>
        <w:left w:val="none" w:sz="0" w:space="0" w:color="auto"/>
        <w:bottom w:val="none" w:sz="0" w:space="0" w:color="auto"/>
        <w:right w:val="none" w:sz="0" w:space="0" w:color="auto"/>
      </w:divBdr>
    </w:div>
    <w:div w:id="1893619487">
      <w:bodyDiv w:val="1"/>
      <w:marLeft w:val="0"/>
      <w:marRight w:val="0"/>
      <w:marTop w:val="0"/>
      <w:marBottom w:val="0"/>
      <w:divBdr>
        <w:top w:val="none" w:sz="0" w:space="0" w:color="auto"/>
        <w:left w:val="none" w:sz="0" w:space="0" w:color="auto"/>
        <w:bottom w:val="none" w:sz="0" w:space="0" w:color="auto"/>
        <w:right w:val="none" w:sz="0" w:space="0" w:color="auto"/>
      </w:divBdr>
    </w:div>
    <w:div w:id="1895845579">
      <w:bodyDiv w:val="1"/>
      <w:marLeft w:val="0"/>
      <w:marRight w:val="0"/>
      <w:marTop w:val="0"/>
      <w:marBottom w:val="0"/>
      <w:divBdr>
        <w:top w:val="none" w:sz="0" w:space="0" w:color="auto"/>
        <w:left w:val="none" w:sz="0" w:space="0" w:color="auto"/>
        <w:bottom w:val="none" w:sz="0" w:space="0" w:color="auto"/>
        <w:right w:val="none" w:sz="0" w:space="0" w:color="auto"/>
      </w:divBdr>
    </w:div>
    <w:div w:id="1947351041">
      <w:bodyDiv w:val="1"/>
      <w:marLeft w:val="0"/>
      <w:marRight w:val="0"/>
      <w:marTop w:val="0"/>
      <w:marBottom w:val="0"/>
      <w:divBdr>
        <w:top w:val="none" w:sz="0" w:space="0" w:color="auto"/>
        <w:left w:val="none" w:sz="0" w:space="0" w:color="auto"/>
        <w:bottom w:val="none" w:sz="0" w:space="0" w:color="auto"/>
        <w:right w:val="none" w:sz="0" w:space="0" w:color="auto"/>
      </w:divBdr>
      <w:divsChild>
        <w:div w:id="226259099">
          <w:marLeft w:val="0"/>
          <w:marRight w:val="0"/>
          <w:marTop w:val="150"/>
          <w:marBottom w:val="168"/>
          <w:divBdr>
            <w:top w:val="none" w:sz="0" w:space="0" w:color="auto"/>
            <w:left w:val="none" w:sz="0" w:space="0" w:color="auto"/>
            <w:bottom w:val="none" w:sz="0" w:space="0" w:color="auto"/>
            <w:right w:val="none" w:sz="0" w:space="0" w:color="auto"/>
          </w:divBdr>
        </w:div>
        <w:div w:id="1945067487">
          <w:marLeft w:val="0"/>
          <w:marRight w:val="0"/>
          <w:marTop w:val="0"/>
          <w:marBottom w:val="0"/>
          <w:divBdr>
            <w:top w:val="none" w:sz="0" w:space="0" w:color="auto"/>
            <w:left w:val="none" w:sz="0" w:space="0" w:color="auto"/>
            <w:bottom w:val="none" w:sz="0" w:space="0" w:color="auto"/>
            <w:right w:val="none" w:sz="0" w:space="0" w:color="auto"/>
          </w:divBdr>
          <w:divsChild>
            <w:div w:id="72163236">
              <w:marLeft w:val="0"/>
              <w:marRight w:val="0"/>
              <w:marTop w:val="105"/>
              <w:marBottom w:val="0"/>
              <w:divBdr>
                <w:top w:val="none" w:sz="0" w:space="0" w:color="auto"/>
                <w:left w:val="none" w:sz="0" w:space="0" w:color="auto"/>
                <w:bottom w:val="none" w:sz="0" w:space="0" w:color="auto"/>
                <w:right w:val="none" w:sz="0" w:space="0" w:color="auto"/>
              </w:divBdr>
            </w:div>
          </w:divsChild>
        </w:div>
        <w:div w:id="949700583">
          <w:marLeft w:val="0"/>
          <w:marRight w:val="0"/>
          <w:marTop w:val="0"/>
          <w:marBottom w:val="0"/>
          <w:divBdr>
            <w:top w:val="none" w:sz="0" w:space="0" w:color="auto"/>
            <w:left w:val="none" w:sz="0" w:space="0" w:color="auto"/>
            <w:bottom w:val="none" w:sz="0" w:space="0" w:color="auto"/>
            <w:right w:val="none" w:sz="0" w:space="0" w:color="auto"/>
          </w:divBdr>
          <w:divsChild>
            <w:div w:id="394160640">
              <w:marLeft w:val="0"/>
              <w:marRight w:val="0"/>
              <w:marTop w:val="105"/>
              <w:marBottom w:val="0"/>
              <w:divBdr>
                <w:top w:val="none" w:sz="0" w:space="0" w:color="auto"/>
                <w:left w:val="none" w:sz="0" w:space="0" w:color="auto"/>
                <w:bottom w:val="none" w:sz="0" w:space="0" w:color="auto"/>
                <w:right w:val="none" w:sz="0" w:space="0" w:color="auto"/>
              </w:divBdr>
            </w:div>
          </w:divsChild>
        </w:div>
        <w:div w:id="1362055153">
          <w:marLeft w:val="0"/>
          <w:marRight w:val="0"/>
          <w:marTop w:val="0"/>
          <w:marBottom w:val="0"/>
          <w:divBdr>
            <w:top w:val="none" w:sz="0" w:space="0" w:color="auto"/>
            <w:left w:val="none" w:sz="0" w:space="0" w:color="auto"/>
            <w:bottom w:val="none" w:sz="0" w:space="0" w:color="auto"/>
            <w:right w:val="none" w:sz="0" w:space="0" w:color="auto"/>
          </w:divBdr>
          <w:divsChild>
            <w:div w:id="205168118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982879926">
      <w:bodyDiv w:val="1"/>
      <w:marLeft w:val="0"/>
      <w:marRight w:val="0"/>
      <w:marTop w:val="0"/>
      <w:marBottom w:val="0"/>
      <w:divBdr>
        <w:top w:val="none" w:sz="0" w:space="0" w:color="auto"/>
        <w:left w:val="none" w:sz="0" w:space="0" w:color="auto"/>
        <w:bottom w:val="none" w:sz="0" w:space="0" w:color="auto"/>
        <w:right w:val="none" w:sz="0" w:space="0" w:color="auto"/>
      </w:divBdr>
    </w:div>
    <w:div w:id="2017295821">
      <w:bodyDiv w:val="1"/>
      <w:marLeft w:val="0"/>
      <w:marRight w:val="0"/>
      <w:marTop w:val="0"/>
      <w:marBottom w:val="0"/>
      <w:divBdr>
        <w:top w:val="none" w:sz="0" w:space="0" w:color="auto"/>
        <w:left w:val="none" w:sz="0" w:space="0" w:color="auto"/>
        <w:bottom w:val="none" w:sz="0" w:space="0" w:color="auto"/>
        <w:right w:val="none" w:sz="0" w:space="0" w:color="auto"/>
      </w:divBdr>
    </w:div>
    <w:div w:id="2032031201">
      <w:bodyDiv w:val="1"/>
      <w:marLeft w:val="0"/>
      <w:marRight w:val="0"/>
      <w:marTop w:val="0"/>
      <w:marBottom w:val="0"/>
      <w:divBdr>
        <w:top w:val="none" w:sz="0" w:space="0" w:color="auto"/>
        <w:left w:val="none" w:sz="0" w:space="0" w:color="auto"/>
        <w:bottom w:val="none" w:sz="0" w:space="0" w:color="auto"/>
        <w:right w:val="none" w:sz="0" w:space="0" w:color="auto"/>
      </w:divBdr>
    </w:div>
    <w:div w:id="2051957842">
      <w:bodyDiv w:val="1"/>
      <w:marLeft w:val="0"/>
      <w:marRight w:val="0"/>
      <w:marTop w:val="0"/>
      <w:marBottom w:val="0"/>
      <w:divBdr>
        <w:top w:val="none" w:sz="0" w:space="0" w:color="auto"/>
        <w:left w:val="none" w:sz="0" w:space="0" w:color="auto"/>
        <w:bottom w:val="none" w:sz="0" w:space="0" w:color="auto"/>
        <w:right w:val="none" w:sz="0" w:space="0" w:color="auto"/>
      </w:divBdr>
    </w:div>
    <w:div w:id="2057462410">
      <w:bodyDiv w:val="1"/>
      <w:marLeft w:val="0"/>
      <w:marRight w:val="0"/>
      <w:marTop w:val="0"/>
      <w:marBottom w:val="0"/>
      <w:divBdr>
        <w:top w:val="none" w:sz="0" w:space="0" w:color="auto"/>
        <w:left w:val="none" w:sz="0" w:space="0" w:color="auto"/>
        <w:bottom w:val="none" w:sz="0" w:space="0" w:color="auto"/>
        <w:right w:val="none" w:sz="0" w:space="0" w:color="auto"/>
      </w:divBdr>
    </w:div>
    <w:div w:id="2058434361">
      <w:bodyDiv w:val="1"/>
      <w:marLeft w:val="0"/>
      <w:marRight w:val="0"/>
      <w:marTop w:val="0"/>
      <w:marBottom w:val="0"/>
      <w:divBdr>
        <w:top w:val="none" w:sz="0" w:space="0" w:color="auto"/>
        <w:left w:val="none" w:sz="0" w:space="0" w:color="auto"/>
        <w:bottom w:val="none" w:sz="0" w:space="0" w:color="auto"/>
        <w:right w:val="none" w:sz="0" w:space="0" w:color="auto"/>
      </w:divBdr>
      <w:divsChild>
        <w:div w:id="582568374">
          <w:marLeft w:val="0"/>
          <w:marRight w:val="0"/>
          <w:marTop w:val="150"/>
          <w:marBottom w:val="168"/>
          <w:divBdr>
            <w:top w:val="none" w:sz="0" w:space="0" w:color="auto"/>
            <w:left w:val="none" w:sz="0" w:space="0" w:color="auto"/>
            <w:bottom w:val="none" w:sz="0" w:space="0" w:color="auto"/>
            <w:right w:val="none" w:sz="0" w:space="0" w:color="auto"/>
          </w:divBdr>
        </w:div>
      </w:divsChild>
    </w:div>
    <w:div w:id="2060399246">
      <w:bodyDiv w:val="1"/>
      <w:marLeft w:val="0"/>
      <w:marRight w:val="0"/>
      <w:marTop w:val="0"/>
      <w:marBottom w:val="0"/>
      <w:divBdr>
        <w:top w:val="none" w:sz="0" w:space="0" w:color="auto"/>
        <w:left w:val="none" w:sz="0" w:space="0" w:color="auto"/>
        <w:bottom w:val="none" w:sz="0" w:space="0" w:color="auto"/>
        <w:right w:val="none" w:sz="0" w:space="0" w:color="auto"/>
      </w:divBdr>
    </w:div>
    <w:div w:id="2138448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ip.legalis.pl/document-view.seam?documentId=mfrxilrtg4ytsmzqgazto" TargetMode="External"/><Relationship Id="rId21" Type="http://schemas.openxmlformats.org/officeDocument/2006/relationships/image" Target="media/image2.jpeg"/><Relationship Id="rId63" Type="http://schemas.openxmlformats.org/officeDocument/2006/relationships/hyperlink" Target="https://stowi.pl/list-otwarty-dot-koniecznosci-potwierdzenia-zakonczenia-prac-nad-projektem-ustawy-prawo-wlasnosci-przemyslowej-ud-263/" TargetMode="External"/><Relationship Id="rId159" Type="http://schemas.openxmlformats.org/officeDocument/2006/relationships/hyperlink" Target="https://sip.legalis.pl/document-view.seam?documentId=mfrxilrtg4ytcmbxgqydaltqmfyc4mzygu2dcmryge" TargetMode="External"/><Relationship Id="rId170" Type="http://schemas.openxmlformats.org/officeDocument/2006/relationships/image" Target="media/image58.jpeg"/><Relationship Id="rId226" Type="http://schemas.openxmlformats.org/officeDocument/2006/relationships/hyperlink" Target="https://en.wikipedia.org/wiki/CRAM_(file_format)" TargetMode="External"/><Relationship Id="rId268" Type="http://schemas.openxmlformats.org/officeDocument/2006/relationships/hyperlink" Target="https://stowi.pl/silimarol-2/" TargetMode="External"/><Relationship Id="rId32" Type="http://schemas.openxmlformats.org/officeDocument/2006/relationships/hyperlink" Target="https://www.sejm.gov.pl/sejm9.nsf/interpelacja.xsp?documentId=ED3BE9E2FE512341C12588FA004D9838" TargetMode="External"/><Relationship Id="rId74" Type="http://schemas.openxmlformats.org/officeDocument/2006/relationships/image" Target="media/image29.png"/><Relationship Id="rId128" Type="http://schemas.openxmlformats.org/officeDocument/2006/relationships/image" Target="media/image46.jpeg"/><Relationship Id="rId5" Type="http://schemas.openxmlformats.org/officeDocument/2006/relationships/webSettings" Target="webSettings.xml"/><Relationship Id="rId181" Type="http://schemas.openxmlformats.org/officeDocument/2006/relationships/image" Target="media/image65.png"/><Relationship Id="rId237" Type="http://schemas.openxmlformats.org/officeDocument/2006/relationships/hyperlink" Target="https://www.theregister.com/2021/03/13/microsoft_ans_patent/" TargetMode="External"/><Relationship Id="rId258" Type="http://schemas.openxmlformats.org/officeDocument/2006/relationships/hyperlink" Target="https://www.youtube.com/watch?v=bWqMSbKH0kY" TargetMode="External"/><Relationship Id="rId279" Type="http://schemas.openxmlformats.org/officeDocument/2006/relationships/theme" Target="theme/theme1.xml"/><Relationship Id="rId22" Type="http://schemas.openxmlformats.org/officeDocument/2006/relationships/hyperlink" Target="https://www.youtube.com/watch?v=q9G-UJCi9go" TargetMode="External"/><Relationship Id="rId43" Type="http://schemas.openxmlformats.org/officeDocument/2006/relationships/image" Target="media/image11.jpeg"/><Relationship Id="rId64" Type="http://schemas.openxmlformats.org/officeDocument/2006/relationships/image" Target="media/image21.jpeg"/><Relationship Id="rId118" Type="http://schemas.openxmlformats.org/officeDocument/2006/relationships/hyperlink" Target="https://sip.legalis.pl/document-view.seam?documentId=mfrxilrtg4ytimzugm4doltqmfyc4njrgyydmojzha" TargetMode="External"/><Relationship Id="rId139" Type="http://schemas.openxmlformats.org/officeDocument/2006/relationships/image" Target="media/image52.jpeg"/><Relationship Id="rId85" Type="http://schemas.openxmlformats.org/officeDocument/2006/relationships/image" Target="media/image36.png"/><Relationship Id="rId150" Type="http://schemas.openxmlformats.org/officeDocument/2006/relationships/hyperlink" Target="https://sip.legalis.pl/document-view.seam?documentId=mfrxilrtg4ytcmbxgqydaltqmfyc4mzygu2dcmrsga" TargetMode="External"/><Relationship Id="rId171" Type="http://schemas.openxmlformats.org/officeDocument/2006/relationships/hyperlink" Target="https://stowi.pl/odpowiedzialnosc-osoby-z-uslug-ktorej-korzystano-przy-naruszeniu-prawa/" TargetMode="External"/><Relationship Id="rId192" Type="http://schemas.openxmlformats.org/officeDocument/2006/relationships/image" Target="media/image71.jpeg"/><Relationship Id="rId206" Type="http://schemas.openxmlformats.org/officeDocument/2006/relationships/image" Target="media/image84.jpeg"/><Relationship Id="rId227" Type="http://schemas.openxmlformats.org/officeDocument/2006/relationships/hyperlink" Target="https://en.wikipedia.org/wiki/JPEG_XL" TargetMode="External"/><Relationship Id="rId248" Type="http://schemas.openxmlformats.org/officeDocument/2006/relationships/image" Target="media/image99.png"/><Relationship Id="rId269" Type="http://schemas.openxmlformats.org/officeDocument/2006/relationships/hyperlink" Target="https://www.youtube.com/watch?v=dEIT-zyRZh8" TargetMode="External"/><Relationship Id="rId12" Type="http://schemas.openxmlformats.org/officeDocument/2006/relationships/hyperlink" Target="https://stowi.pl/interpelacja-nr-37332/" TargetMode="External"/><Relationship Id="rId33" Type="http://schemas.openxmlformats.org/officeDocument/2006/relationships/hyperlink" Target="https://stowi.pl/interpelacja-nr-33731/" TargetMode="External"/><Relationship Id="rId108" Type="http://schemas.openxmlformats.org/officeDocument/2006/relationships/hyperlink" Target="https://sip.legalis.pl/urlSearch.seam?HitlistCaption=Odes%C5%82ania&amp;pap_group=25009739&amp;refSource=guide&amp;sortField=document-date&amp;filterByUniqueVersionBaseId=true" TargetMode="External"/><Relationship Id="rId129" Type="http://schemas.openxmlformats.org/officeDocument/2006/relationships/hyperlink" Target="https://sip.legalis.pl/document-view.seam?documentId=mfrxilrtg4ytcmbxgqydaltqmfyc4mzygu2demzwgu" TargetMode="External"/><Relationship Id="rId54" Type="http://schemas.openxmlformats.org/officeDocument/2006/relationships/image" Target="media/image16.jpeg"/><Relationship Id="rId75" Type="http://schemas.openxmlformats.org/officeDocument/2006/relationships/image" Target="media/image30.jpeg"/><Relationship Id="rId96" Type="http://schemas.openxmlformats.org/officeDocument/2006/relationships/hyperlink" Target="https://sip.legalis.pl/document-full.seam?documentId=mfrxilrsgm4taoboobqxalrsgyydeltwmvzc4mjzg44tm" TargetMode="External"/><Relationship Id="rId140" Type="http://schemas.openxmlformats.org/officeDocument/2006/relationships/hyperlink" Target="https://stowi.pl/pwp-art-315-nie-mozna-uzywac-rejestracji-znaku-w-postaci-ciastka-delicje-w-celu-uzyskania-lub-przedluzenia-wylacznych-praw-w-zakresie-rozwiazan-technicznych-wyrok-nsa/" TargetMode="External"/><Relationship Id="rId161" Type="http://schemas.openxmlformats.org/officeDocument/2006/relationships/image" Target="media/image54.jpeg"/><Relationship Id="rId182" Type="http://schemas.openxmlformats.org/officeDocument/2006/relationships/hyperlink" Target="https://worldwide.espacenet.com/patent/search/family/070857294/publication/WO2020263438A1?q=EP3991303" TargetMode="External"/><Relationship Id="rId217" Type="http://schemas.openxmlformats.org/officeDocument/2006/relationships/hyperlink" Target="https://www.dropbox.com/s/m85rm1zi7gh5gfl/linki%20promocyjne%20ANS.pdf" TargetMode="External"/><Relationship Id="rId6" Type="http://schemas.openxmlformats.org/officeDocument/2006/relationships/footnotes" Target="footnotes.xml"/><Relationship Id="rId238" Type="http://schemas.openxmlformats.org/officeDocument/2006/relationships/hyperlink" Target="https://www.theregister.com/2022/02/17/microsoft_ans_patent/" TargetMode="External"/><Relationship Id="rId259" Type="http://schemas.openxmlformats.org/officeDocument/2006/relationships/hyperlink" Target="https://www.youtube.com/watch?v=bWqMSbKH0kY" TargetMode="External"/><Relationship Id="rId23" Type="http://schemas.openxmlformats.org/officeDocument/2006/relationships/hyperlink" Target="https://www.youtube.com/watch?v=uXtmN9fE01k" TargetMode="External"/><Relationship Id="rId119" Type="http://schemas.openxmlformats.org/officeDocument/2006/relationships/hyperlink" Target="https://sip.legalis.pl/document-view.seam?documentId=mfrxilrtg4ytimzugm4doltqmfyc4njrgyydomrugi" TargetMode="External"/><Relationship Id="rId270" Type="http://schemas.openxmlformats.org/officeDocument/2006/relationships/hyperlink" Target="https://www.youtube.com/watch?v=dEIT-zyRZh8" TargetMode="External"/><Relationship Id="rId44" Type="http://schemas.openxmlformats.org/officeDocument/2006/relationships/hyperlink" Target="https://stowi.pl/list-otwarty-dot-nieudostepniania-informacji-o-aktualnym-stanie-praw-przez-urzad-patentowy-rp/" TargetMode="External"/><Relationship Id="rId65" Type="http://schemas.openxmlformats.org/officeDocument/2006/relationships/image" Target="media/image22.jpeg"/><Relationship Id="rId86" Type="http://schemas.openxmlformats.org/officeDocument/2006/relationships/hyperlink" Target="https://stowi.pl/przeciwnik-procesowy-przedsiebiorcy-decyduje-o-trybie-rozprawy/" TargetMode="External"/><Relationship Id="rId130" Type="http://schemas.openxmlformats.org/officeDocument/2006/relationships/hyperlink" Target="https://www.sn.pl/sites/orzecznictwo/Orzeczenia2/V%20CSK%20503-07-1.pdf" TargetMode="External"/><Relationship Id="rId151" Type="http://schemas.openxmlformats.org/officeDocument/2006/relationships/hyperlink" Target="https://sip.legalis.pl/document-view.seam?documentId=mfrxilrtg4ytcmbxgqydaltqmfyc4mzygu2dcmryge" TargetMode="External"/><Relationship Id="rId172" Type="http://schemas.openxmlformats.org/officeDocument/2006/relationships/image" Target="media/image59.jpeg"/><Relationship Id="rId193" Type="http://schemas.openxmlformats.org/officeDocument/2006/relationships/image" Target="media/image72.png"/><Relationship Id="rId207" Type="http://schemas.openxmlformats.org/officeDocument/2006/relationships/image" Target="media/image85.png"/><Relationship Id="rId228" Type="http://schemas.openxmlformats.org/officeDocument/2006/relationships/hyperlink" Target="https://encode.su/threads/2078-List-of-Asymmetric-Numeral-Systems-implementations" TargetMode="External"/><Relationship Id="rId249" Type="http://schemas.openxmlformats.org/officeDocument/2006/relationships/image" Target="media/image100.jpeg"/><Relationship Id="rId13" Type="http://schemas.openxmlformats.org/officeDocument/2006/relationships/hyperlink" Target="https://orka.sejm.gov.pl/zapisy9.nsf/0/F653D708A7088ED6C125890B004A56AA/%24File/0325009.pdf" TargetMode="External"/><Relationship Id="rId109" Type="http://schemas.openxmlformats.org/officeDocument/2006/relationships/hyperlink" Target="https://sip.legalis.pl/urlSearch.seam?HitlistCaption=Odes%C5%82ania&amp;pap_group=25009762&amp;refSource=guide&amp;sortField=document-date&amp;filterByUniqueVersionBaseId=true" TargetMode="External"/><Relationship Id="rId260" Type="http://schemas.openxmlformats.org/officeDocument/2006/relationships/image" Target="media/image108.jpeg"/><Relationship Id="rId34" Type="http://schemas.openxmlformats.org/officeDocument/2006/relationships/image" Target="media/image3.jpeg"/><Relationship Id="rId55" Type="http://schemas.openxmlformats.org/officeDocument/2006/relationships/image" Target="media/image17.png"/><Relationship Id="rId76" Type="http://schemas.openxmlformats.org/officeDocument/2006/relationships/image" Target="media/image31.png"/><Relationship Id="rId97" Type="http://schemas.openxmlformats.org/officeDocument/2006/relationships/hyperlink" Target="https://sip.legalis.pl/document-full.seam?documentId=mfrxilrsgm4taoboobqxalrsgyydeltwmvzc4mjzg44tm" TargetMode="External"/><Relationship Id="rId120" Type="http://schemas.openxmlformats.org/officeDocument/2006/relationships/hyperlink" Target="https://www.inforlex.pl/dok/tresc,WSA.2020.006.016049203,Postanowienie-WSA-we-Wroclawiu-z-dnia-23-czerwca-2020-r-sygn-I-SA-Wr-748-19.htm" TargetMode="External"/><Relationship Id="rId141" Type="http://schemas.openxmlformats.org/officeDocument/2006/relationships/image" Target="media/image53.jpeg"/><Relationship Id="rId7" Type="http://schemas.openxmlformats.org/officeDocument/2006/relationships/endnotes" Target="endnotes.xml"/><Relationship Id="rId162" Type="http://schemas.openxmlformats.org/officeDocument/2006/relationships/hyperlink" Target="https://stowi.pl/sposob-na-wnuczka-i-sposob-na-patent/" TargetMode="External"/><Relationship Id="rId183" Type="http://schemas.openxmlformats.org/officeDocument/2006/relationships/image" Target="media/image66.png"/><Relationship Id="rId218" Type="http://schemas.openxmlformats.org/officeDocument/2006/relationships/hyperlink" Target="https://pl.wikipedia.org/wiki/Asymmetric_Numeral_Systems" TargetMode="External"/><Relationship Id="rId239" Type="http://schemas.openxmlformats.org/officeDocument/2006/relationships/hyperlink" Target="https://patents.google.com/patent/US11234023B2/en" TargetMode="External"/><Relationship Id="rId250" Type="http://schemas.openxmlformats.org/officeDocument/2006/relationships/image" Target="media/image101.jpeg"/><Relationship Id="rId271" Type="http://schemas.openxmlformats.org/officeDocument/2006/relationships/image" Target="media/image110.jpeg"/><Relationship Id="rId24" Type="http://schemas.openxmlformats.org/officeDocument/2006/relationships/hyperlink" Target="https://www.sejm.gov.pl/sejm9.nsf/interpelacja.xsp?documentId=F0469F3B2E159260C12588FA004D9827" TargetMode="External"/><Relationship Id="rId45" Type="http://schemas.openxmlformats.org/officeDocument/2006/relationships/image" Target="media/image12.jpeg"/><Relationship Id="rId66" Type="http://schemas.openxmlformats.org/officeDocument/2006/relationships/image" Target="media/image23.jpeg"/><Relationship Id="rId87" Type="http://schemas.openxmlformats.org/officeDocument/2006/relationships/hyperlink" Target="https://sip.legalis.pl/document-view.seam?documentId=mfrxilrtg4ytsmzqgazto" TargetMode="External"/><Relationship Id="rId110" Type="http://schemas.openxmlformats.org/officeDocument/2006/relationships/hyperlink" Target="https://sip.legalis.pl/document-view.seam?documentId=mfrxilrtg4yteobxge3doltqmfyc4nbygu4tanjygy" TargetMode="External"/><Relationship Id="rId131" Type="http://schemas.openxmlformats.org/officeDocument/2006/relationships/hyperlink" Target="https://stowi.pl/wyrok-z-dnia-09-04-2008-r-wydany-w-sprawie-sygn-akt-v-csk-503-07-w-ktorym-sad-najwyzszy-przypomnial-o/" TargetMode="External"/><Relationship Id="rId152" Type="http://schemas.openxmlformats.org/officeDocument/2006/relationships/hyperlink" Target="https://sip.legalis.pl/document-view.seam?documentId=mfrxilrtg4ytmmbsge3tq" TargetMode="External"/><Relationship Id="rId173" Type="http://schemas.openxmlformats.org/officeDocument/2006/relationships/hyperlink" Target="https://youtube.com/watch?v=xd4lNIG_to0&amp;t=11s" TargetMode="External"/><Relationship Id="rId194" Type="http://schemas.openxmlformats.org/officeDocument/2006/relationships/image" Target="media/image73.jpeg"/><Relationship Id="rId208" Type="http://schemas.openxmlformats.org/officeDocument/2006/relationships/image" Target="media/image86.png"/><Relationship Id="rId229" Type="http://schemas.openxmlformats.org/officeDocument/2006/relationships/hyperlink" Target="https://www.rp.pl/Spoleczenstwo/210119906-Dziesiec-niezwykle-istotnychosiagniec-naukowych2020-roku.html" TargetMode="External"/><Relationship Id="rId240" Type="http://schemas.openxmlformats.org/officeDocument/2006/relationships/hyperlink" Target="https://register.epo.org/ipfwretrieve?apn=US.201916456602.A&amp;lng=en" TargetMode="External"/><Relationship Id="rId261" Type="http://schemas.openxmlformats.org/officeDocument/2006/relationships/hyperlink" Target="https://www.google.com/search?sca_esv=7a948dcc7f52f97d&amp;sca_upv=1&amp;q=olga+malinkiewicz&amp;uds=ADvngMgNG4qWEcyOv6mZ7d9R1NXinYLL-SWxNyVhgzICmSJE-T2a7IL27FUjOiUoFJiZWmVptxrQhTmOmAHW_EJsL5MXCQVBZkc7hiKmiYTfQNlhzy-hFToGxy3yhhLp3feTBqsbnhjaGXWbLrNUiBERKgjTI4ujAFu2na0kVrVK4fToXH47RBnRwPG_8ISCBK6ZIVCOycE5vae3SFqEybZuptMsth0m5_h5HeqgPESVIe4VKrBkOtENsOcCe_3W9NayjXIGdVFrfw_SVvRdp53o8bya30Arsah2yleGuYmctJb-FIjOryw&amp;udm=2&amp;prmd=ivnbz&amp;sa=X&amp;ved=2ahUKEwjDy8ihs8eGAxUwMRAIHVkYEy0QtKgLegQIDRAB&amp;biw=1152&amp;bih=612&amp;dpr=1.25" TargetMode="External"/><Relationship Id="rId14" Type="http://schemas.openxmlformats.org/officeDocument/2006/relationships/hyperlink" Target="https://orka.sejm.gov.pl/zapisy9.nsf/0/F653D708A7088ED6C125890B004A56AA/%24File/0325009.pdf" TargetMode="External"/><Relationship Id="rId35" Type="http://schemas.openxmlformats.org/officeDocument/2006/relationships/image" Target="media/image4.jpeg"/><Relationship Id="rId56" Type="http://schemas.openxmlformats.org/officeDocument/2006/relationships/hyperlink" Target="https://stowi.pl/interpelacj%20a-nr-37332/" TargetMode="External"/><Relationship Id="rId77" Type="http://schemas.openxmlformats.org/officeDocument/2006/relationships/image" Target="media/image32.png"/><Relationship Id="rId100" Type="http://schemas.openxmlformats.org/officeDocument/2006/relationships/image" Target="media/image37.png"/><Relationship Id="rId8" Type="http://schemas.openxmlformats.org/officeDocument/2006/relationships/footer" Target="footer1.xml"/><Relationship Id="rId98" Type="http://schemas.openxmlformats.org/officeDocument/2006/relationships/hyperlink" Target="https://sip.legalis.pl/document-full.seam?documentId=mfrxilrsgm4taoboobqxalrsgyydeltwmvzc4mjzg44tm" TargetMode="External"/><Relationship Id="rId121" Type="http://schemas.openxmlformats.org/officeDocument/2006/relationships/image" Target="media/image40.jpeg"/><Relationship Id="rId142" Type="http://schemas.openxmlformats.org/officeDocument/2006/relationships/hyperlink" Target="https://legislacja.rcl.gov.pl/projekt/12359055" TargetMode="External"/><Relationship Id="rId163" Type="http://schemas.openxmlformats.org/officeDocument/2006/relationships/image" Target="media/image55.jpeg"/><Relationship Id="rId184" Type="http://schemas.openxmlformats.org/officeDocument/2006/relationships/image" Target="media/image67.png"/><Relationship Id="rId219" Type="http://schemas.openxmlformats.org/officeDocument/2006/relationships/hyperlink" Target="https://en.wikipedia.org/wiki/Asymmetric_numeral_systems" TargetMode="External"/><Relationship Id="rId230" Type="http://schemas.openxmlformats.org/officeDocument/2006/relationships/hyperlink" Target="https://krakow.naszemiasto.pl/kodowanie-ans-dr-jaroslawa-dudy-jezykiem-swiatowej/ar/c1-%208133741" TargetMode="External"/><Relationship Id="rId251" Type="http://schemas.openxmlformats.org/officeDocument/2006/relationships/image" Target="media/image102.jpeg"/><Relationship Id="rId25" Type="http://schemas.openxmlformats.org/officeDocument/2006/relationships/hyperlink" Target="https://stowi.pl/interpelacja-nr-37330/" TargetMode="External"/><Relationship Id="rId46" Type="http://schemas.openxmlformats.org/officeDocument/2006/relationships/image" Target="media/image13.png"/><Relationship Id="rId67" Type="http://schemas.openxmlformats.org/officeDocument/2006/relationships/image" Target="media/image24.png"/><Relationship Id="rId272" Type="http://schemas.openxmlformats.org/officeDocument/2006/relationships/image" Target="media/image111.png"/><Relationship Id="rId88" Type="http://schemas.openxmlformats.org/officeDocument/2006/relationships/hyperlink" Target="https://sip.legalis.pl/document-view.seam?documentId=mfrxilrtg4ytsmryga4dc" TargetMode="External"/><Relationship Id="rId111" Type="http://schemas.openxmlformats.org/officeDocument/2006/relationships/hyperlink" Target="https://sip.legalis.pl/document-view.seam?documentId=mfrxilrtg4ytaojxgeztaltqmfyc4mzygiytknbxha" TargetMode="External"/><Relationship Id="rId132" Type="http://schemas.openxmlformats.org/officeDocument/2006/relationships/image" Target="media/image47.jpeg"/><Relationship Id="rId153" Type="http://schemas.openxmlformats.org/officeDocument/2006/relationships/hyperlink" Target="https://legislacja.rcl.gov.pl/projekt/12359055" TargetMode="External"/><Relationship Id="rId174" Type="http://schemas.openxmlformats.org/officeDocument/2006/relationships/image" Target="media/image60.jpeg"/><Relationship Id="rId195" Type="http://schemas.openxmlformats.org/officeDocument/2006/relationships/image" Target="media/image74.jpeg"/><Relationship Id="rId209" Type="http://schemas.openxmlformats.org/officeDocument/2006/relationships/image" Target="media/image87.png"/><Relationship Id="rId220" Type="http://schemas.openxmlformats.org/officeDocument/2006/relationships/hyperlink" Target="https://www.youtube.com/watch?v=q9G-UJCi9go" TargetMode="External"/><Relationship Id="rId241" Type="http://schemas.openxmlformats.org/officeDocument/2006/relationships/hyperlink" Target="https://register.epo.org/application?number=EP20728649&amp;lng=en&amp;tab=event" TargetMode="External"/><Relationship Id="rId15" Type="http://schemas.openxmlformats.org/officeDocument/2006/relationships/hyperlink" Target="https://orka.sejm.gov.pl/zapisy9.nsf/0/F653D708A7088ED6C125890B004A56AA/%24File/0325009.pdf" TargetMode="External"/><Relationship Id="rId36" Type="http://schemas.openxmlformats.org/officeDocument/2006/relationships/image" Target="media/image5.jpeg"/><Relationship Id="rId57" Type="http://schemas.openxmlformats.org/officeDocument/2006/relationships/hyperlink" Target="https://stowi.pl/rosyiska-ruletka-ktora-mozna-zlikwidowac-w-100-dni/" TargetMode="External"/><Relationship Id="rId262" Type="http://schemas.openxmlformats.org/officeDocument/2006/relationships/hyperlink" Target="https://www.youtube.com/watch?v=bWqMSbKH0kY" TargetMode="External"/><Relationship Id="rId78" Type="http://schemas.openxmlformats.org/officeDocument/2006/relationships/hyperlink" Target="https://stowi.pl/list-otwarty-pytanie-czy-up-rp-nie-angazuje-sie-juz-mocno-w-forsowanie-slabego-projektu-ud-263/" TargetMode="External"/><Relationship Id="rId99" Type="http://schemas.openxmlformats.org/officeDocument/2006/relationships/hyperlink" Target="https://stowi.pl/list-otwarty-w-sprawie-wprowadzenia-przez-urzad-patentowy-rp-racjonalnego-trybu-znoszenia-terminow-rozpraw/" TargetMode="External"/><Relationship Id="rId101" Type="http://schemas.openxmlformats.org/officeDocument/2006/relationships/hyperlink" Target="https://stowi.pl/list-otwarty-opisuje-praktyke-blokowania-rozpraw-zdalnych-przez-urzad-patentowy.rp/" TargetMode="External"/><Relationship Id="rId122" Type="http://schemas.openxmlformats.org/officeDocument/2006/relationships/hyperlink" Target="https://orzeczenia.nsa.gov.pl/doc/6204297404" TargetMode="External"/><Relationship Id="rId143" Type="http://schemas.openxmlformats.org/officeDocument/2006/relationships/hyperlink" Target="https://legislacja.rcl.gov.pl/projekt/12359055" TargetMode="External"/><Relationship Id="rId164" Type="http://schemas.openxmlformats.org/officeDocument/2006/relationships/hyperlink" Target="https://pl.wikipedia.org/wiki/Ostropest_plamisty" TargetMode="External"/><Relationship Id="rId185" Type="http://schemas.openxmlformats.org/officeDocument/2006/relationships/image" Target="media/image68.png"/><Relationship Id="rId9" Type="http://schemas.openxmlformats.org/officeDocument/2006/relationships/footer" Target="footer2.xml"/><Relationship Id="rId210" Type="http://schemas.openxmlformats.org/officeDocument/2006/relationships/image" Target="media/image88.png"/><Relationship Id="rId26" Type="http://schemas.openxmlformats.org/officeDocument/2006/relationships/hyperlink" Target="https://orzeczenia.nsa.gov.pl/doc/F12332F2B4" TargetMode="External"/><Relationship Id="rId231" Type="http://schemas.openxmlformats.org/officeDocument/2006/relationships/hyperlink" Target="https://www.money.pl/gospodarka/metoda-z-polski-jezykiem-swiatowej-elektroniki6587588258085696a.html" TargetMode="External"/><Relationship Id="rId252" Type="http://schemas.openxmlformats.org/officeDocument/2006/relationships/image" Target="media/image103.jpeg"/><Relationship Id="rId273" Type="http://schemas.openxmlformats.org/officeDocument/2006/relationships/image" Target="media/image112.png"/><Relationship Id="rId47" Type="http://schemas.openxmlformats.org/officeDocument/2006/relationships/image" Target="media/image14.jpeg"/><Relationship Id="rId68" Type="http://schemas.openxmlformats.org/officeDocument/2006/relationships/image" Target="media/image25.jpeg"/><Relationship Id="rId89" Type="http://schemas.openxmlformats.org/officeDocument/2006/relationships/hyperlink" Target="https://sip.legalis.pl/document-full.seam?documentId=mfrxilrsgm4taoboobqxalrsgyydeltwmvzc4mjzg44tm" TargetMode="External"/><Relationship Id="rId112" Type="http://schemas.openxmlformats.org/officeDocument/2006/relationships/hyperlink" Target="https://sip.legalis.pl/document-view.seam?documentId=mfrxilrtg4yteobxge3doltqmfyc4nbvgy2tanrygq" TargetMode="External"/><Relationship Id="rId133" Type="http://schemas.openxmlformats.org/officeDocument/2006/relationships/image" Target="media/image48.jpeg"/><Relationship Id="rId154" Type="http://schemas.openxmlformats.org/officeDocument/2006/relationships/hyperlink" Target="https://sip.legalis.pl/document-view.seam?documentId=mfrxilrtg4ytcmbxgqydaltqmfyc4mzygu2dcmjzhe" TargetMode="External"/><Relationship Id="rId175" Type="http://schemas.openxmlformats.org/officeDocument/2006/relationships/hyperlink" Target="https://stowi.pl/kod-geniusza-ans-2/%20" TargetMode="External"/><Relationship Id="rId196" Type="http://schemas.openxmlformats.org/officeDocument/2006/relationships/hyperlink" Target="https://wiadomosci.wp.pl/kod-geniusza-jak-jaroslaw-duda-zmienil-swiat-i-nic-na-tym-nie-zarobil-6824682458536864a" TargetMode="External"/><Relationship Id="rId200" Type="http://schemas.openxmlformats.org/officeDocument/2006/relationships/image" Target="media/image78.png"/><Relationship Id="rId16" Type="http://schemas.openxmlformats.org/officeDocument/2006/relationships/hyperlink" Target="https://www.prawo.pl/biznes/apel-o-kontynuacje-prac-nad-prawem-wlasnosci-przemyslowej,520005.html" TargetMode="External"/><Relationship Id="rId221" Type="http://schemas.openxmlformats.org/officeDocument/2006/relationships/hyperlink" Target="https://www.youtube.com/watch?v=uXtmN9fE01k" TargetMode="External"/><Relationship Id="rId242" Type="http://schemas.openxmlformats.org/officeDocument/2006/relationships/hyperlink" Target="https://register.epo.org/ipfwretrieve?apn=US.2020032397.W&amp;lng=en" TargetMode="External"/><Relationship Id="rId263" Type="http://schemas.openxmlformats.org/officeDocument/2006/relationships/hyperlink" Target="https://sauletech.com/" TargetMode="External"/><Relationship Id="rId37" Type="http://schemas.openxmlformats.org/officeDocument/2006/relationships/image" Target="media/image6.jpeg"/><Relationship Id="rId58" Type="http://schemas.openxmlformats.org/officeDocument/2006/relationships/hyperlink" Target="https://stowi.pl/projekt-ud263-aktu-prawnego-dodatkowo-blokuj&#261;cego-rozwoj-polskiej-innowacyjno&#347;ci/" TargetMode="External"/><Relationship Id="rId79" Type="http://schemas.openxmlformats.org/officeDocument/2006/relationships/hyperlink" Target="https://stowi.pl/list-otwarty-w-sprawie-wprowadzenia-do-polskiego-systemu-prawnego-sprawdzonych-unijnych-rozwiazan-dot-przedluzenia-biegu-terminow/" TargetMode="External"/><Relationship Id="rId102" Type="http://schemas.openxmlformats.org/officeDocument/2006/relationships/hyperlink" Target="https://stowi.pl/list-otwarty-zawierajacy-prosbe-o-realizowanie-przez-urzad-patentowy-rozpraw-zdalnych/" TargetMode="External"/><Relationship Id="rId123" Type="http://schemas.openxmlformats.org/officeDocument/2006/relationships/image" Target="media/image41.jpeg"/><Relationship Id="rId144" Type="http://schemas.openxmlformats.org/officeDocument/2006/relationships/hyperlink" Target="https://sip.legalis.pl/document-view.seam?documentId=mfrxilrtg4ytmmbsge3tq" TargetMode="External"/><Relationship Id="rId90" Type="http://schemas.openxmlformats.org/officeDocument/2006/relationships/hyperlink" Target="https://sip.legalis.pl/document-full.seam?documentId=mfrxilrsgm4taoboobqxalrsgyydeltwmvzc4mjzg44tm" TargetMode="External"/><Relationship Id="rId165" Type="http://schemas.openxmlformats.org/officeDocument/2006/relationships/image" Target="media/image56.jpeg"/><Relationship Id="rId186" Type="http://schemas.openxmlformats.org/officeDocument/2006/relationships/image" Target="media/image69.png"/><Relationship Id="rId211" Type="http://schemas.openxmlformats.org/officeDocument/2006/relationships/image" Target="media/image89.png"/><Relationship Id="rId232" Type="http://schemas.openxmlformats.org/officeDocument/2006/relationships/hyperlink" Target="https://www.tygodnikpowszechny.pl/kodowanie-po-krakosku-166670" TargetMode="External"/><Relationship Id="rId253" Type="http://schemas.openxmlformats.org/officeDocument/2006/relationships/image" Target="media/image104.jpeg"/><Relationship Id="rId274" Type="http://schemas.openxmlformats.org/officeDocument/2006/relationships/image" Target="media/image113.png"/><Relationship Id="rId27" Type="http://schemas.openxmlformats.org/officeDocument/2006/relationships/hyperlink" Target="https://orzeczenia.nsa.gov.pl/doc/F760F22B33" TargetMode="External"/><Relationship Id="rId48" Type="http://schemas.openxmlformats.org/officeDocument/2006/relationships/hyperlink" Target="mailto:biuro@stowi.pl" TargetMode="External"/><Relationship Id="rId69" Type="http://schemas.openxmlformats.org/officeDocument/2006/relationships/image" Target="media/image26.jpeg"/><Relationship Id="rId113" Type="http://schemas.openxmlformats.org/officeDocument/2006/relationships/hyperlink" Target="https://sip.legalis.pl/urlSearch.seam?HitlistCaption=Odes%C5%82ania&amp;pap_group=25009763&amp;refSource=guide&amp;sortField=document-date&amp;filterByUniqueVersionBaseId=true" TargetMode="External"/><Relationship Id="rId134" Type="http://schemas.openxmlformats.org/officeDocument/2006/relationships/image" Target="media/image49.jpeg"/><Relationship Id="rId80" Type="http://schemas.openxmlformats.org/officeDocument/2006/relationships/image" Target="media/image33.png"/><Relationship Id="rId155" Type="http://schemas.openxmlformats.org/officeDocument/2006/relationships/hyperlink" Target="https://sip.legalis.pl/document-view.seam?documentId=mfrxilrtg4ytcmbxgqydaltqmfyc4mzygu2dcmrtgq" TargetMode="External"/><Relationship Id="rId176" Type="http://schemas.openxmlformats.org/officeDocument/2006/relationships/image" Target="media/image61.jpeg"/><Relationship Id="rId197" Type="http://schemas.openxmlformats.org/officeDocument/2006/relationships/image" Target="media/image75.png"/><Relationship Id="rId201" Type="http://schemas.openxmlformats.org/officeDocument/2006/relationships/image" Target="media/image79.png"/><Relationship Id="rId222" Type="http://schemas.openxmlformats.org/officeDocument/2006/relationships/hyperlink" Target="https://www.dropbox.com/s/cy9g3aav0al8o1w/ANSminipl.pdf" TargetMode="External"/><Relationship Id="rId243" Type="http://schemas.openxmlformats.org/officeDocument/2006/relationships/image" Target="media/image94.jpeg"/><Relationship Id="rId264" Type="http://schemas.openxmlformats.org/officeDocument/2006/relationships/hyperlink" Target="https://www.youtube.com/watch?v=bWqMSbKH0kY" TargetMode="External"/><Relationship Id="rId17" Type="http://schemas.openxmlformats.org/officeDocument/2006/relationships/hyperlink" Target="https://www.youtube.com/watch?v=F3ZYG6pGEqE" TargetMode="External"/><Relationship Id="rId38" Type="http://schemas.openxmlformats.org/officeDocument/2006/relationships/image" Target="media/image7.jpeg"/><Relationship Id="rId59" Type="http://schemas.openxmlformats.org/officeDocument/2006/relationships/image" Target="media/image18.png"/><Relationship Id="rId103" Type="http://schemas.openxmlformats.org/officeDocument/2006/relationships/hyperlink" Target="https://stowi.pl/przeciwnik-procesowy-przedsiebiorcy-decyduje-o-trybie-rozprawy/" TargetMode="External"/><Relationship Id="rId124" Type="http://schemas.openxmlformats.org/officeDocument/2006/relationships/image" Target="media/image42.jpeg"/><Relationship Id="rId70" Type="http://schemas.openxmlformats.org/officeDocument/2006/relationships/hyperlink" Target="mailto:biuro.czestochowa@aak-ip.eu" TargetMode="External"/><Relationship Id="rId91" Type="http://schemas.openxmlformats.org/officeDocument/2006/relationships/hyperlink" Target="https://sip.legalis.pl/document-view.seam?documentId=mfrxilrtg4ytsmryga4dcltqmfyc4nrzgm2toobygi" TargetMode="External"/><Relationship Id="rId145" Type="http://schemas.openxmlformats.org/officeDocument/2006/relationships/hyperlink" Target="https://legislacja.rcl.gov.pl/projekt/12359055" TargetMode="External"/><Relationship Id="rId166" Type="http://schemas.openxmlformats.org/officeDocument/2006/relationships/hyperlink" Target="https://pl.wikipedia.org/wiki/Ostropest_plamisty" TargetMode="External"/><Relationship Id="rId187" Type="http://schemas.openxmlformats.org/officeDocument/2006/relationships/image" Target="media/image70.pn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hyperlink" Target="https://krakow.wyborcza.pl/krakow/7,44425,25635664,wygral-z-google-podbija-cyfrowyswiat.html" TargetMode="External"/><Relationship Id="rId254" Type="http://schemas.openxmlformats.org/officeDocument/2006/relationships/image" Target="media/image105.jpeg"/><Relationship Id="rId28" Type="http://schemas.openxmlformats.org/officeDocument/2006/relationships/hyperlink" Target="https://ewyszukiwarka.pue.uprp.gov.pl/search/pwp-details/P.386337" TargetMode="External"/><Relationship Id="rId49" Type="http://schemas.openxmlformats.org/officeDocument/2006/relationships/hyperlink" Target="mailto:zarz&#261;d@stowi.pl" TargetMode="External"/><Relationship Id="rId114" Type="http://schemas.openxmlformats.org/officeDocument/2006/relationships/hyperlink" Target="https://sip.legalis.pl/document-view.seam?documentId=mfrxilrtg4yteobxge3doltqmfyc4nbvgy2tanrygu" TargetMode="External"/><Relationship Id="rId275" Type="http://schemas.openxmlformats.org/officeDocument/2006/relationships/image" Target="media/image114.png"/><Relationship Id="rId60" Type="http://schemas.openxmlformats.org/officeDocument/2006/relationships/hyperlink" Target="https://stowi.pl/list-otwarty-dot-koniecznosci-potwierdzenia-zakonczenia-prac-nad-projektem-ustawy-prawo-wlasnosci-przemyslowej-ud-263/" TargetMode="External"/><Relationship Id="rId81" Type="http://schemas.openxmlformats.org/officeDocument/2006/relationships/image" Target="media/image34.png"/><Relationship Id="rId135" Type="http://schemas.openxmlformats.org/officeDocument/2006/relationships/hyperlink" Target="https://stowi.pl/pwp-art-315-prawo-z-rejestracji-przestrzennego-znaku-towarowego-w-postaci-ciastka-delicje-uniewaznila-decyzja-up-rp/" TargetMode="External"/><Relationship Id="rId156" Type="http://schemas.openxmlformats.org/officeDocument/2006/relationships/hyperlink" Target="https://sip.legalis.pl/document-view.seam?documentId=mfrxilrtg4ytcmbxgqydaltqmfyc4mzygu2dcmrtg4" TargetMode="External"/><Relationship Id="rId177" Type="http://schemas.openxmlformats.org/officeDocument/2006/relationships/image" Target="media/image62.jpeg"/><Relationship Id="rId198" Type="http://schemas.openxmlformats.org/officeDocument/2006/relationships/image" Target="media/image76.png"/><Relationship Id="rId202" Type="http://schemas.openxmlformats.org/officeDocument/2006/relationships/image" Target="media/image80.png"/><Relationship Id="rId223" Type="http://schemas.openxmlformats.org/officeDocument/2006/relationships/hyperlink" Target="https://www.dropbox.com/s/ycexgkvp0a8if90/ANSmini.pdf" TargetMode="External"/><Relationship Id="rId244" Type="http://schemas.openxmlformats.org/officeDocument/2006/relationships/image" Target="media/image95.png"/><Relationship Id="rId18" Type="http://schemas.openxmlformats.org/officeDocument/2006/relationships/hyperlink" Target="https://www.prawo.pl/biznes/projekt-prawa-wlasnosci-przemyslowej-nie-zostanie-uchwalony,522739.html" TargetMode="External"/><Relationship Id="rId39" Type="http://schemas.openxmlformats.org/officeDocument/2006/relationships/image" Target="media/image8.png"/><Relationship Id="rId265" Type="http://schemas.openxmlformats.org/officeDocument/2006/relationships/hyperlink" Target="https://sauletech.com/" TargetMode="External"/><Relationship Id="rId50" Type="http://schemas.openxmlformats.org/officeDocument/2006/relationships/hyperlink" Target="mailto:wszyscy@stowi.pl" TargetMode="External"/><Relationship Id="rId104" Type="http://schemas.openxmlformats.org/officeDocument/2006/relationships/image" Target="media/image38.png"/><Relationship Id="rId125" Type="http://schemas.openxmlformats.org/officeDocument/2006/relationships/image" Target="media/image43.jpeg"/><Relationship Id="rId146" Type="http://schemas.openxmlformats.org/officeDocument/2006/relationships/hyperlink" Target="https://sip.legalis.pl/document-view.seam?documentId=mfrxilrtg4ytcmbxgqydaltqmfyc4mzygu2dcmjzhe" TargetMode="External"/><Relationship Id="rId167" Type="http://schemas.openxmlformats.org/officeDocument/2006/relationships/hyperlink" Target="https://pl.wikipedia.org/wiki/Ostropest_plamisty" TargetMode="External"/><Relationship Id="rId188" Type="http://schemas.openxmlformats.org/officeDocument/2006/relationships/hyperlink" Target="https://stowi.pl/kodowanie-ans-pl/" TargetMode="External"/><Relationship Id="rId71" Type="http://schemas.openxmlformats.org/officeDocument/2006/relationships/image" Target="media/image27.png"/><Relationship Id="rId92" Type="http://schemas.openxmlformats.org/officeDocument/2006/relationships/hyperlink" Target="https://sip.legalis.pl/document-full.seam?documentId=mfrxilrsgm4taoboobqxalrsgyydeltwmvzc4mjzg44tm" TargetMode="External"/><Relationship Id="rId213" Type="http://schemas.openxmlformats.org/officeDocument/2006/relationships/image" Target="media/image91.png"/><Relationship Id="rId234" Type="http://schemas.openxmlformats.org/officeDocument/2006/relationships/hyperlink" Target="https://www.komputerswiat.pl/artykuly/redakcyjne/polski-geniusz-okradziony-przezgooglemicrosoft-i-apple-z-jego-pomyslu-korzysta-caly/nqrf0re" TargetMode="External"/><Relationship Id="rId2" Type="http://schemas.openxmlformats.org/officeDocument/2006/relationships/numbering" Target="numbering.xml"/><Relationship Id="rId29" Type="http://schemas.openxmlformats.org/officeDocument/2006/relationships/hyperlink" Target="https://eprofil.pue.uprp.gov.pl/public/registry/view/Ru.070891?lng=pl" TargetMode="External"/><Relationship Id="rId255" Type="http://schemas.openxmlformats.org/officeDocument/2006/relationships/image" Target="media/image106.jpeg"/><Relationship Id="rId276" Type="http://schemas.openxmlformats.org/officeDocument/2006/relationships/image" Target="media/image115.jpeg"/><Relationship Id="rId40" Type="http://schemas.openxmlformats.org/officeDocument/2006/relationships/hyperlink" Target="https://stowi.pl/list-otwarty-w-sprawie-braku-istotnych-informacji-dot-aktualnego-stanu-praw/" TargetMode="External"/><Relationship Id="rId115" Type="http://schemas.openxmlformats.org/officeDocument/2006/relationships/hyperlink" Target="https://sip.legalis.pl/document-view.seam?documentId=mfrxilrtgm2tsnrrguytsltqmfyc4mzuhaztimzygi" TargetMode="External"/><Relationship Id="rId136" Type="http://schemas.openxmlformats.org/officeDocument/2006/relationships/image" Target="media/image50.jpeg"/><Relationship Id="rId157" Type="http://schemas.openxmlformats.org/officeDocument/2006/relationships/hyperlink" Target="https://sip.legalis.pl/document-view.seam?documentId=mfrxilrtg4ytcmbxgqydaltqmfyc4mzygu2dcmrrgu" TargetMode="External"/><Relationship Id="rId178" Type="http://schemas.openxmlformats.org/officeDocument/2006/relationships/hyperlink" Target="https://worldwide.espacenet.com/patent/search/family/070857294/publication/US11234023B2?q=EP3991303" TargetMode="External"/><Relationship Id="rId61" Type="http://schemas.openxmlformats.org/officeDocument/2006/relationships/image" Target="media/image19.jpeg"/><Relationship Id="rId82" Type="http://schemas.openxmlformats.org/officeDocument/2006/relationships/hyperlink" Target="https://sip.legalis.pl/document-view.seam?documentId=mfrxilrtg4ytcmbxgqydaltqmfyc4mzygu2demrwgm" TargetMode="External"/><Relationship Id="rId199" Type="http://schemas.openxmlformats.org/officeDocument/2006/relationships/image" Target="media/image77.png"/><Relationship Id="rId203" Type="http://schemas.openxmlformats.org/officeDocument/2006/relationships/image" Target="media/image81.png"/><Relationship Id="rId19" Type="http://schemas.openxmlformats.org/officeDocument/2006/relationships/hyperlink" Target="https://stowi.pl/list-otwarty-dot-koniecznosci-potwierdzenia-zakonczenia-prac-nad-projektem-ustawy-prawo-wlasnosci-przemyslowej-ud-263/" TargetMode="External"/><Relationship Id="rId224" Type="http://schemas.openxmlformats.org/officeDocument/2006/relationships/hyperlink" Target="https://en.wikipedia.org/wiki/LZFSE" TargetMode="External"/><Relationship Id="rId245" Type="http://schemas.openxmlformats.org/officeDocument/2006/relationships/image" Target="media/image96.jpeg"/><Relationship Id="rId266" Type="http://schemas.openxmlformats.org/officeDocument/2006/relationships/hyperlink" Target="https://stowi.pl/elastyczne-panele-fotowoltaiczne-w-elewacjach-budynkow-szyby-generujace-prad-wymyslone-i-juz-produkowane-w-polsce/" TargetMode="External"/><Relationship Id="rId30" Type="http://schemas.openxmlformats.org/officeDocument/2006/relationships/hyperlink" Target="https://www.sejm.gov.pl/sejm9.nsf/interpelacja.xsp?documentId=D76EF96452A27423C12588FA004D9830" TargetMode="External"/><Relationship Id="rId105" Type="http://schemas.openxmlformats.org/officeDocument/2006/relationships/image" Target="media/image39.jpeg"/><Relationship Id="rId126" Type="http://schemas.openxmlformats.org/officeDocument/2006/relationships/image" Target="media/image44.jpeg"/><Relationship Id="rId147" Type="http://schemas.openxmlformats.org/officeDocument/2006/relationships/hyperlink" Target="https://sip.legalis.pl/document-view.seam?documentId=mfrxilrtg4ytcmbxgqydaltqmfyc4mzygu2dcmrtgq" TargetMode="External"/><Relationship Id="rId168" Type="http://schemas.openxmlformats.org/officeDocument/2006/relationships/image" Target="media/image57.emf"/><Relationship Id="rId51" Type="http://schemas.openxmlformats.org/officeDocument/2006/relationships/image" Target="media/image15.png"/><Relationship Id="rId72" Type="http://schemas.openxmlformats.org/officeDocument/2006/relationships/image" Target="media/image28.png"/><Relationship Id="rId93" Type="http://schemas.openxmlformats.org/officeDocument/2006/relationships/hyperlink" Target="https://sip.legalis.pl/document-full.seam?documentId=mfrxilrsgm4taoboobqxalrsgyydeltwmvzc4mjzg44tm" TargetMode="External"/><Relationship Id="rId189" Type="http://schemas.openxmlformats.org/officeDocument/2006/relationships/hyperlink" Target="https://www.youtube.com/watch?v=q9G-UJCi9go" TargetMode="External"/><Relationship Id="rId3" Type="http://schemas.openxmlformats.org/officeDocument/2006/relationships/styles" Target="styles.xml"/><Relationship Id="rId214" Type="http://schemas.openxmlformats.org/officeDocument/2006/relationships/image" Target="media/image92.png"/><Relationship Id="rId235" Type="http://schemas.openxmlformats.org/officeDocument/2006/relationships/hyperlink" Target="https://arstechnica.com/features/2018/06/inventor-says-google-is-patenting-work-he-put-inthepublic-domain/" TargetMode="External"/><Relationship Id="rId256" Type="http://schemas.openxmlformats.org/officeDocument/2006/relationships/image" Target="media/image107.jpeg"/><Relationship Id="rId277" Type="http://schemas.openxmlformats.org/officeDocument/2006/relationships/image" Target="media/image116.png"/><Relationship Id="rId116" Type="http://schemas.openxmlformats.org/officeDocument/2006/relationships/hyperlink" Target="https://sip.legalis.pl/document-view.seam?documentId=mfrxilrtgm2tsnrrguyts" TargetMode="External"/><Relationship Id="rId137" Type="http://schemas.openxmlformats.org/officeDocument/2006/relationships/image" Target="media/image51.jpeg"/><Relationship Id="rId158" Type="http://schemas.openxmlformats.org/officeDocument/2006/relationships/hyperlink" Target="https://sip.legalis.pl/document-view.seam?documentId=mfrxilrtg4ytcmbxgqydaltqmfyc4mzygu2dcmrsga" TargetMode="External"/><Relationship Id="rId20" Type="http://schemas.openxmlformats.org/officeDocument/2006/relationships/hyperlink" Target="https://legislacja.rcl.gov.pl/docs//2/12359055/12873998/12873999/dokument552317.pdf" TargetMode="External"/><Relationship Id="rId41" Type="http://schemas.openxmlformats.org/officeDocument/2006/relationships/image" Target="media/image9.png"/><Relationship Id="rId62" Type="http://schemas.openxmlformats.org/officeDocument/2006/relationships/image" Target="media/image20.jpeg"/><Relationship Id="rId83" Type="http://schemas.openxmlformats.org/officeDocument/2006/relationships/hyperlink" Target="https://stowi.pl/list-otwarty-w-sprawie-podjecia-przez-urzad-patentowy-rp-dzialan-zyczliwych-dla-przedsiebiorcow/" TargetMode="External"/><Relationship Id="rId179" Type="http://schemas.openxmlformats.org/officeDocument/2006/relationships/image" Target="media/image63.png"/><Relationship Id="rId190" Type="http://schemas.openxmlformats.org/officeDocument/2006/relationships/hyperlink" Target="https://stowi.pl/kodowanie-ans-en/" TargetMode="External"/><Relationship Id="rId204" Type="http://schemas.openxmlformats.org/officeDocument/2006/relationships/image" Target="media/image82.png"/><Relationship Id="rId225" Type="http://schemas.openxmlformats.org/officeDocument/2006/relationships/hyperlink" Target="https://en.wikipedia.org/wiki/Zstd" TargetMode="External"/><Relationship Id="rId246" Type="http://schemas.openxmlformats.org/officeDocument/2006/relationships/image" Target="media/image97.png"/><Relationship Id="rId267" Type="http://schemas.openxmlformats.org/officeDocument/2006/relationships/image" Target="media/image109.jpeg"/><Relationship Id="rId106" Type="http://schemas.openxmlformats.org/officeDocument/2006/relationships/hyperlink" Target="http://isap.sejm.gov.pl/DetailsServlet?id=WDU20170001257" TargetMode="External"/><Relationship Id="rId127" Type="http://schemas.openxmlformats.org/officeDocument/2006/relationships/image" Target="media/image45.jpeg"/><Relationship Id="rId10" Type="http://schemas.openxmlformats.org/officeDocument/2006/relationships/image" Target="media/image1.png"/><Relationship Id="rId31" Type="http://schemas.openxmlformats.org/officeDocument/2006/relationships/hyperlink" Target="https://stowi.pl/interpelacja-nr-33731/" TargetMode="External"/><Relationship Id="rId52" Type="http://schemas.openxmlformats.org/officeDocument/2006/relationships/hyperlink" Target="https://stowi.pl/list-otwarty-pytanie-czy-up-rp-nie-angazuje-sie-juz-mocno-w-forsowanie-slabego-projektu-ud-263/" TargetMode="External"/><Relationship Id="rId73" Type="http://schemas.openxmlformats.org/officeDocument/2006/relationships/oleObject" Target="embeddings/oleObject1.bin"/><Relationship Id="rId94" Type="http://schemas.openxmlformats.org/officeDocument/2006/relationships/hyperlink" Target="https://sip.legalis.pl/document-view.seam?documentId=mfrxilrtg4ytsmryga4dcltqmfyc4nrzgm3dgobvha" TargetMode="External"/><Relationship Id="rId148" Type="http://schemas.openxmlformats.org/officeDocument/2006/relationships/hyperlink" Target="https://sip.legalis.pl/document-view.seam?documentId=mfrxilrtg4ytcmbxgqydaltqmfyc4mzygu2dcmrtg4" TargetMode="External"/><Relationship Id="rId169" Type="http://schemas.openxmlformats.org/officeDocument/2006/relationships/hyperlink" Target="https://stowi.pl/silimarol/" TargetMode="External"/><Relationship Id="rId4" Type="http://schemas.openxmlformats.org/officeDocument/2006/relationships/settings" Target="settings.xml"/><Relationship Id="rId180" Type="http://schemas.openxmlformats.org/officeDocument/2006/relationships/image" Target="media/image64.png"/><Relationship Id="rId215" Type="http://schemas.openxmlformats.org/officeDocument/2006/relationships/image" Target="media/image93.jpeg"/><Relationship Id="rId236" Type="http://schemas.openxmlformats.org/officeDocument/2006/relationships/hyperlink" Target="https://www.eff.org/deeplinks/2018/08/after-patent-office-rejection-it-time-google-abandonitsattempt-patent-use-public" TargetMode="External"/><Relationship Id="rId257" Type="http://schemas.openxmlformats.org/officeDocument/2006/relationships/hyperlink" Target="https://sauletech.com/" TargetMode="External"/><Relationship Id="rId278" Type="http://schemas.openxmlformats.org/officeDocument/2006/relationships/fontTable" Target="fontTable.xml"/><Relationship Id="rId42" Type="http://schemas.openxmlformats.org/officeDocument/2006/relationships/image" Target="media/image10.jpeg"/><Relationship Id="rId84" Type="http://schemas.openxmlformats.org/officeDocument/2006/relationships/image" Target="media/image35.png"/><Relationship Id="rId138" Type="http://schemas.openxmlformats.org/officeDocument/2006/relationships/hyperlink" Target="https://stowi.pl/pwp-art-315w-odniesieniu-do-ciastek-delicje-oznaczenie-przestrzenne-w-postaci-takiego-ciastka-nie-moze-pelnic-funkcji-znaku-towarowego-wyrok-wsa/" TargetMode="External"/><Relationship Id="rId191" Type="http://schemas.openxmlformats.org/officeDocument/2006/relationships/hyperlink" Target="https://www.youtube.com/watch?v=uXtmN9fE01k" TargetMode="External"/><Relationship Id="rId205" Type="http://schemas.openxmlformats.org/officeDocument/2006/relationships/image" Target="media/image83.png"/><Relationship Id="rId247" Type="http://schemas.openxmlformats.org/officeDocument/2006/relationships/image" Target="media/image98.png"/><Relationship Id="rId107" Type="http://schemas.openxmlformats.org/officeDocument/2006/relationships/hyperlink" Target="https://sip.legalis.pl/document-view.seam?documentId=mfrxilrtg4zdanbrgiydk" TargetMode="External"/><Relationship Id="rId11" Type="http://schemas.openxmlformats.org/officeDocument/2006/relationships/hyperlink" Target="https://stowi.pl/edyta-demby-siwek-prezes-urzedu-patentowego-rp/" TargetMode="External"/><Relationship Id="rId53" Type="http://schemas.openxmlformats.org/officeDocument/2006/relationships/hyperlink" Target="https://stowi.pl/list-otwarty-pytanie-czy-up-rp-nie-angazuje-sie-juz-mocno-w-forsowanie-slabego-projektu-ud-263/" TargetMode="External"/><Relationship Id="rId149" Type="http://schemas.openxmlformats.org/officeDocument/2006/relationships/hyperlink" Target="https://sip.legalis.pl/document-view.seam?documentId=mfrxilrtg4ytcmbxgqydaltqmfyc4mzygu2dcmrrgu" TargetMode="External"/><Relationship Id="rId95" Type="http://schemas.openxmlformats.org/officeDocument/2006/relationships/hyperlink" Target="https://sip.legalis.pl/document-full.seam?documentId=mfrxilrsgm4taoboobqxalrsgyydeltwmvzc4mjzg44tm" TargetMode="External"/><Relationship Id="rId160" Type="http://schemas.openxmlformats.org/officeDocument/2006/relationships/hyperlink" Target="https://stowi.pl/projekt-ud263-aktu-prawnego-dodatkowo-blokujacego-rozwoj-polskiej-innowacyjnosci/" TargetMode="External"/><Relationship Id="rId216" Type="http://schemas.openxmlformats.org/officeDocument/2006/relationships/hyperlink" Target="https://www.dropbox.com/s/m85rm1zi7gh5gfl/linki%20promocyjne%20ANS.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E809A-8F02-4564-958C-A4FE6969A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247</Pages>
  <Words>83796</Words>
  <Characters>502781</Characters>
  <Application>Microsoft Office Word</Application>
  <DocSecurity>0</DocSecurity>
  <Lines>4189</Lines>
  <Paragraphs>1170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585407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Motulewicz-Wolańska</dc:creator>
  <cp:keywords/>
  <dc:description/>
  <cp:lastModifiedBy>Anna Korbela</cp:lastModifiedBy>
  <cp:revision>11</cp:revision>
  <cp:lastPrinted>2024-06-24T09:03:00Z</cp:lastPrinted>
  <dcterms:created xsi:type="dcterms:W3CDTF">2024-06-24T06:46:00Z</dcterms:created>
  <dcterms:modified xsi:type="dcterms:W3CDTF">2024-06-24T09:04:00Z</dcterms:modified>
</cp:coreProperties>
</file>